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340694" w:rsidRDefault="00063E15" w:rsidP="008314D1">
      <w:pPr>
        <w:pStyle w:val="Title"/>
        <w:pBdr>
          <w:bottom w:val="double" w:sz="6" w:space="0" w:color="auto"/>
        </w:pBdr>
      </w:pPr>
      <w:r w:rsidRPr="00340694">
        <w:t>М И Н И С Т Е Р С Т В О   Н А   Ф И Н А Н С И Т Е</w:t>
      </w:r>
    </w:p>
    <w:p w:rsidR="005F7245" w:rsidRPr="004B1466" w:rsidRDefault="005F7245" w:rsidP="00063E15">
      <w:pPr>
        <w:rPr>
          <w:color w:val="0070C0"/>
          <w:sz w:val="16"/>
          <w:szCs w:val="16"/>
        </w:rPr>
      </w:pPr>
    </w:p>
    <w:p w:rsidR="002734B2" w:rsidRPr="004B1466" w:rsidRDefault="002734B2" w:rsidP="009B536C">
      <w:pPr>
        <w:pStyle w:val="Heading1"/>
        <w:rPr>
          <w:color w:val="0070C0"/>
          <w:sz w:val="24"/>
        </w:rPr>
      </w:pPr>
    </w:p>
    <w:p w:rsidR="002734B2" w:rsidRPr="00F713E8" w:rsidRDefault="002734B2" w:rsidP="009B536C">
      <w:pPr>
        <w:pStyle w:val="Heading1"/>
        <w:rPr>
          <w:sz w:val="24"/>
        </w:rPr>
      </w:pPr>
    </w:p>
    <w:p w:rsidR="00E9260C" w:rsidRPr="00F713E8" w:rsidRDefault="00E9260C" w:rsidP="009B536C">
      <w:pPr>
        <w:pStyle w:val="Heading1"/>
        <w:rPr>
          <w:sz w:val="24"/>
        </w:rPr>
      </w:pPr>
      <w:r w:rsidRPr="00F713E8">
        <w:rPr>
          <w:sz w:val="24"/>
        </w:rPr>
        <w:t>ИНФОРМАЦИЯ</w:t>
      </w:r>
    </w:p>
    <w:p w:rsidR="00E9260C" w:rsidRPr="00F713E8" w:rsidRDefault="00E9260C" w:rsidP="009B536C">
      <w:pPr>
        <w:jc w:val="center"/>
        <w:rPr>
          <w:b/>
          <w:bCs/>
        </w:rPr>
      </w:pPr>
      <w:r w:rsidRPr="00F713E8">
        <w:rPr>
          <w:b/>
          <w:bCs/>
        </w:rPr>
        <w:t xml:space="preserve">ЗА </w:t>
      </w:r>
      <w:r w:rsidR="004E7BF8" w:rsidRPr="00F713E8">
        <w:rPr>
          <w:b/>
          <w:bCs/>
        </w:rPr>
        <w:t xml:space="preserve">КАСОВОТО </w:t>
      </w:r>
      <w:r w:rsidRPr="00F713E8">
        <w:rPr>
          <w:b/>
          <w:bCs/>
        </w:rPr>
        <w:t xml:space="preserve">ИЗПЪЛНЕНИЕ НА </w:t>
      </w:r>
      <w:r w:rsidR="004E7BF8" w:rsidRPr="00F713E8">
        <w:rPr>
          <w:b/>
          <w:bCs/>
        </w:rPr>
        <w:t>ДЪРЖАВНИЯ</w:t>
      </w:r>
      <w:r w:rsidRPr="00F713E8">
        <w:rPr>
          <w:b/>
          <w:bCs/>
        </w:rPr>
        <w:t xml:space="preserve"> БЮДЖЕТ</w:t>
      </w:r>
      <w:r w:rsidR="004E7BF8" w:rsidRPr="00F713E8">
        <w:rPr>
          <w:b/>
          <w:bCs/>
        </w:rPr>
        <w:t xml:space="preserve"> И НА ОСНОВНИТЕ ПОКАЗАТЕЛИ НА КОНСОЛИДИРАНАТА ФИСКАЛНА ПРОГРАМА </w:t>
      </w:r>
    </w:p>
    <w:p w:rsidR="003F47AB" w:rsidRPr="00F713E8" w:rsidRDefault="003F47AB" w:rsidP="003F47AB">
      <w:pPr>
        <w:jc w:val="center"/>
        <w:rPr>
          <w:b/>
          <w:bCs/>
        </w:rPr>
      </w:pPr>
      <w:r w:rsidRPr="00F713E8">
        <w:rPr>
          <w:b/>
          <w:bCs/>
        </w:rPr>
        <w:t>ЗА 20</w:t>
      </w:r>
      <w:r w:rsidR="00DB65C2" w:rsidRPr="005F542B">
        <w:rPr>
          <w:b/>
          <w:bCs/>
        </w:rPr>
        <w:t>20</w:t>
      </w:r>
      <w:r w:rsidRPr="00F713E8">
        <w:rPr>
          <w:b/>
          <w:bCs/>
        </w:rPr>
        <w:t xml:space="preserve"> ГОДИНА</w:t>
      </w:r>
    </w:p>
    <w:p w:rsidR="002734B2" w:rsidRPr="004B1466" w:rsidRDefault="002734B2" w:rsidP="0065462C">
      <w:pPr>
        <w:rPr>
          <w:b/>
          <w:bCs/>
          <w:color w:val="0070C0"/>
        </w:rPr>
      </w:pPr>
    </w:p>
    <w:p w:rsidR="00430A35" w:rsidRPr="004B1466" w:rsidRDefault="00430A35" w:rsidP="003A06C5">
      <w:pPr>
        <w:rPr>
          <w:b/>
          <w:bCs/>
          <w:color w:val="0070C0"/>
        </w:rPr>
      </w:pPr>
    </w:p>
    <w:p w:rsidR="00C04F4D" w:rsidRDefault="00C04F4D" w:rsidP="00C04F4D">
      <w:pPr>
        <w:spacing w:after="120"/>
        <w:jc w:val="both"/>
        <w:rPr>
          <w:b/>
          <w:bCs/>
          <w:u w:val="single"/>
          <w:lang w:eastAsia="bg-BG"/>
        </w:rPr>
      </w:pPr>
      <w:r w:rsidRPr="00342E7E">
        <w:rPr>
          <w:b/>
          <w:bCs/>
          <w:u w:val="single"/>
          <w:lang w:eastAsia="bg-BG"/>
        </w:rPr>
        <w:t>Преглед на икономическата среда</w:t>
      </w:r>
    </w:p>
    <w:p w:rsidR="00F534E0" w:rsidRPr="00AB0C8F" w:rsidRDefault="00F534E0" w:rsidP="00F534E0">
      <w:pPr>
        <w:spacing w:before="120" w:after="120"/>
        <w:jc w:val="both"/>
      </w:pPr>
      <w:r w:rsidRPr="00AB0C8F">
        <w:t>Реалният БВП на страната се понижи с 3</w:t>
      </w:r>
      <w:r w:rsidR="00BB253D">
        <w:t>,</w:t>
      </w:r>
      <w:r w:rsidRPr="00AB0C8F">
        <w:t>9</w:t>
      </w:r>
      <w:r w:rsidR="00BB253D">
        <w:t xml:space="preserve"> </w:t>
      </w:r>
      <w:r w:rsidRPr="00AB0C8F">
        <w:t xml:space="preserve">% </w:t>
      </w:r>
      <w:r>
        <w:t xml:space="preserve">на годишна база </w:t>
      </w:r>
      <w:r w:rsidRPr="00AB0C8F">
        <w:t>з</w:t>
      </w:r>
      <w:r w:rsidR="007340F5">
        <w:t>а периода януари-септември 2020 </w:t>
      </w:r>
      <w:r w:rsidRPr="00AB0C8F">
        <w:t>г. Спадът бе движен основно от намаление на износа на стоки и услуги с 12</w:t>
      </w:r>
      <w:r w:rsidR="00BB253D">
        <w:t xml:space="preserve"> </w:t>
      </w:r>
      <w:r w:rsidRPr="00AB0C8F">
        <w:t>% поради намаленото търсене на стоки сред основни търговски партньори и ограничения износ на транспортни и туристически услуги. Повишената несигурност доведе до слаба частна инвестиционна активност и спад на инвестициите в основен капитал от 7</w:t>
      </w:r>
      <w:r w:rsidR="00BB253D">
        <w:t>,</w:t>
      </w:r>
      <w:r w:rsidRPr="00AB0C8F">
        <w:t>7</w:t>
      </w:r>
      <w:r w:rsidR="00BB253D">
        <w:t xml:space="preserve"> </w:t>
      </w:r>
      <w:r w:rsidRPr="00AB0C8F">
        <w:t>%. При потреблението бе регистриран растеж от 2</w:t>
      </w:r>
      <w:r w:rsidR="00BB253D">
        <w:t>,</w:t>
      </w:r>
      <w:r w:rsidRPr="00AB0C8F">
        <w:t>7</w:t>
      </w:r>
      <w:r w:rsidR="00BB253D">
        <w:t xml:space="preserve"> </w:t>
      </w:r>
      <w:r w:rsidRPr="00AB0C8F">
        <w:t>%</w:t>
      </w:r>
      <w:r>
        <w:t>.</w:t>
      </w:r>
      <w:r w:rsidRPr="00AB0C8F">
        <w:t xml:space="preserve"> </w:t>
      </w:r>
      <w:r>
        <w:t xml:space="preserve">Той бе </w:t>
      </w:r>
      <w:r w:rsidRPr="00AB0C8F">
        <w:t xml:space="preserve">движен както от публичното потребление, така и от потребителските разходи на домакинствата, при които бе отчетено възстановяване през трето тримесечие. За четвърто тримесечие данните от бизнес анкетите показват влошаване на очакванията в услугите и търговията на дребно, но промишлеността изглежда не е засегната в толкова голяма степен </w:t>
      </w:r>
      <w:r>
        <w:t>както</w:t>
      </w:r>
      <w:r w:rsidRPr="00AB0C8F">
        <w:t xml:space="preserve"> през пролетта от наложените нови ограничителни мерки срещу </w:t>
      </w:r>
      <w:r w:rsidR="00A81EB5" w:rsidRPr="00AB0C8F">
        <w:t>COVID</w:t>
      </w:r>
      <w:r w:rsidRPr="00AB0C8F">
        <w:t>-19. За октомври-ноември промишленото производство в страната спадна с 4</w:t>
      </w:r>
      <w:r w:rsidR="00BB253D">
        <w:t>,</w:t>
      </w:r>
      <w:r w:rsidRPr="00AB0C8F">
        <w:t>8</w:t>
      </w:r>
      <w:r w:rsidR="00BB253D">
        <w:t xml:space="preserve"> </w:t>
      </w:r>
      <w:r w:rsidRPr="00AB0C8F">
        <w:t>%, което е съизмеримо със спада</w:t>
      </w:r>
      <w:r>
        <w:t>,</w:t>
      </w:r>
      <w:r w:rsidRPr="00AB0C8F">
        <w:t xml:space="preserve"> отчетен през трето тримесечие. </w:t>
      </w:r>
    </w:p>
    <w:p w:rsidR="00F534E0" w:rsidRPr="00AB0C8F" w:rsidRDefault="00F534E0" w:rsidP="00F534E0">
      <w:pPr>
        <w:spacing w:before="120" w:after="120"/>
        <w:jc w:val="both"/>
      </w:pPr>
      <w:r w:rsidRPr="00AB0C8F">
        <w:t>През единадесетте месеца на 2020 г. външната позиция на страната остана стабилна с нетни входящи потоци по текущата, капиталовата и финансовата сметка на платежния баланс</w:t>
      </w:r>
      <w:r w:rsidRPr="00AB0C8F">
        <w:rPr>
          <w:vertAlign w:val="superscript"/>
        </w:rPr>
        <w:footnoteReference w:id="2"/>
      </w:r>
      <w:r w:rsidRPr="00AB0C8F">
        <w:t xml:space="preserve"> и устойчиво ниво на външна задлъжнялост. Същевременно разпространението на коронавирусната пандемия и свързаните с нея ограничителни мерки доведоха до значителни промени в някои от подстатиите. Излишъкът по текущата сметка, в размер на 373</w:t>
      </w:r>
      <w:r w:rsidR="003C1505">
        <w:t>,</w:t>
      </w:r>
      <w:r w:rsidRPr="00AB0C8F">
        <w:t>4 млн. евро или 0</w:t>
      </w:r>
      <w:r w:rsidR="003C1505">
        <w:t>,</w:t>
      </w:r>
      <w:r w:rsidRPr="00AB0C8F">
        <w:t>6 % от прогнозния БВП, се понижи съществено спрямо година по-рано, като основен принос имаше влошаването на баланса на услугите. Приходите от пътувания на чужденци в страната се свиха с 63</w:t>
      </w:r>
      <w:r w:rsidR="00BC08B6">
        <w:t xml:space="preserve"> </w:t>
      </w:r>
      <w:r w:rsidRPr="00AB0C8F">
        <w:t>% в периода януари-ноември, а тези от предоставени към нерезиденти транспортни услуги – с 31</w:t>
      </w:r>
      <w:r w:rsidR="003C1505">
        <w:t>,</w:t>
      </w:r>
      <w:r w:rsidRPr="00AB0C8F">
        <w:t>1</w:t>
      </w:r>
      <w:r w:rsidR="00BC08B6">
        <w:t xml:space="preserve"> </w:t>
      </w:r>
      <w:r w:rsidRPr="00AB0C8F">
        <w:t>%. В резултат излишъкът по услугите намаля наполовина спрямо същия период на 2019 г. Понижение от над 70</w:t>
      </w:r>
      <w:r w:rsidR="00BC08B6">
        <w:t xml:space="preserve"> </w:t>
      </w:r>
      <w:r w:rsidRPr="00AB0C8F">
        <w:t>% бе отчетено и при паричните преводи от нерезиденти. Във външната търговия със стоки също бяха отчетени номинални спадове</w:t>
      </w:r>
      <w:r>
        <w:t>.</w:t>
      </w:r>
      <w:r w:rsidRPr="00AB0C8F">
        <w:t xml:space="preserve"> </w:t>
      </w:r>
      <w:r>
        <w:t>И</w:t>
      </w:r>
      <w:r w:rsidRPr="00AB0C8F">
        <w:t>зменението на износа (-7</w:t>
      </w:r>
      <w:r w:rsidR="003C1505">
        <w:t>,</w:t>
      </w:r>
      <w:r w:rsidRPr="00AB0C8F">
        <w:t>7</w:t>
      </w:r>
      <w:r w:rsidR="00BC08B6">
        <w:t xml:space="preserve"> </w:t>
      </w:r>
      <w:r w:rsidRPr="00AB0C8F">
        <w:t xml:space="preserve">%) </w:t>
      </w:r>
      <w:r>
        <w:t xml:space="preserve">обаче </w:t>
      </w:r>
      <w:r w:rsidRPr="00AB0C8F">
        <w:t>бе по-умерено в сравнение с понижението на вноса (10</w:t>
      </w:r>
      <w:r w:rsidR="00BC08B6">
        <w:t> </w:t>
      </w:r>
      <w:r w:rsidRPr="00AB0C8F">
        <w:t>%), което доведе до подобряване на търговския баланс с 1</w:t>
      </w:r>
      <w:r w:rsidR="003C1505">
        <w:t>,</w:t>
      </w:r>
      <w:r w:rsidRPr="00AB0C8F">
        <w:t>4 пр.п. до дефицит от 2</w:t>
      </w:r>
      <w:r w:rsidR="003C1505">
        <w:t>,</w:t>
      </w:r>
      <w:r w:rsidRPr="00AB0C8F">
        <w:t>4</w:t>
      </w:r>
      <w:r w:rsidR="00BC08B6">
        <w:t xml:space="preserve"> </w:t>
      </w:r>
      <w:r w:rsidRPr="00AB0C8F">
        <w:t>% от прогнозния БВП. Привлечените преки чуждестранни инвестиции бяха в размер на 1 млрд. евро или 1</w:t>
      </w:r>
      <w:r w:rsidR="003C1505">
        <w:t>,</w:t>
      </w:r>
      <w:r w:rsidRPr="00AB0C8F">
        <w:t>7</w:t>
      </w:r>
      <w:r w:rsidR="00E81919">
        <w:t xml:space="preserve"> </w:t>
      </w:r>
      <w:r w:rsidRPr="00AB0C8F">
        <w:t>% от прогнозния БВП. Към края на ноември външният дълг на страна</w:t>
      </w:r>
      <w:r w:rsidR="00E838BD">
        <w:t>та</w:t>
      </w:r>
      <w:r w:rsidRPr="00AB0C8F">
        <w:t xml:space="preserve"> бе 61</w:t>
      </w:r>
      <w:r w:rsidR="003C1505">
        <w:t>,</w:t>
      </w:r>
      <w:r w:rsidRPr="00AB0C8F">
        <w:t>5</w:t>
      </w:r>
      <w:r w:rsidR="00BC08B6">
        <w:t xml:space="preserve"> </w:t>
      </w:r>
      <w:r w:rsidRPr="00AB0C8F">
        <w:t xml:space="preserve">% от БВП. </w:t>
      </w:r>
    </w:p>
    <w:p w:rsidR="00F534E0" w:rsidRPr="008921A1" w:rsidRDefault="00F534E0" w:rsidP="00F534E0">
      <w:pPr>
        <w:jc w:val="both"/>
      </w:pPr>
      <w:r w:rsidRPr="008921A1">
        <w:t>През деветте месеца на 2020 г. броят на заетите (ЕСС 2010) намаля с 2</w:t>
      </w:r>
      <w:r w:rsidR="008963FD">
        <w:t>,</w:t>
      </w:r>
      <w:r w:rsidRPr="008921A1">
        <w:t>4</w:t>
      </w:r>
      <w:r w:rsidR="00E81919">
        <w:t xml:space="preserve"> </w:t>
      </w:r>
      <w:r w:rsidRPr="008921A1">
        <w:t xml:space="preserve">% на годишна база и средномесечната им стойност за периода </w:t>
      </w:r>
      <w:r>
        <w:t>б</w:t>
      </w:r>
      <w:r w:rsidRPr="008921A1">
        <w:t>е 3499</w:t>
      </w:r>
      <w:r w:rsidR="00AE39A2">
        <w:t>,</w:t>
      </w:r>
      <w:r w:rsidRPr="008921A1">
        <w:t>6 хил. д</w:t>
      </w:r>
      <w:r>
        <w:t>.</w:t>
      </w:r>
      <w:r w:rsidRPr="008921A1">
        <w:t xml:space="preserve"> (3587</w:t>
      </w:r>
      <w:r w:rsidR="008963FD">
        <w:t>,</w:t>
      </w:r>
      <w:r w:rsidRPr="008921A1">
        <w:t>3 хил.</w:t>
      </w:r>
      <w:r>
        <w:t xml:space="preserve"> </w:t>
      </w:r>
      <w:r w:rsidRPr="008921A1">
        <w:t>д</w:t>
      </w:r>
      <w:r>
        <w:t>.</w:t>
      </w:r>
      <w:r w:rsidRPr="008921A1">
        <w:t xml:space="preserve"> за същия период на </w:t>
      </w:r>
      <w:r>
        <w:t>2019 г.</w:t>
      </w:r>
      <w:r w:rsidRPr="008921A1">
        <w:t xml:space="preserve">). Тази динамика на заетостта се дължеше изключително на предприетите мерки за ограничаване на разпространението на </w:t>
      </w:r>
      <w:r w:rsidR="00A81EB5">
        <w:rPr>
          <w:lang w:val="en-US"/>
        </w:rPr>
        <w:t>COVID</w:t>
      </w:r>
      <w:r w:rsidRPr="001033E1">
        <w:t>-19</w:t>
      </w:r>
      <w:r w:rsidRPr="008921A1">
        <w:t>, като най-силен спад в броя на заетите се наблюдаваше през второто тримесечие на 2020 г., когато те намаляха с 3,3</w:t>
      </w:r>
      <w:r w:rsidR="002165EF">
        <w:t xml:space="preserve"> </w:t>
      </w:r>
      <w:r w:rsidRPr="008921A1">
        <w:t xml:space="preserve">% на годишна база, а броят на регистрираните безработни регистрира своя годишен максимум в средата на май. Най-голям спад на заетостта бе наблюдаван в </w:t>
      </w:r>
      <w:r w:rsidR="00E838BD">
        <w:t xml:space="preserve">секторите </w:t>
      </w:r>
      <w:r w:rsidRPr="008921A1">
        <w:rPr>
          <w:i/>
        </w:rPr>
        <w:t>търговия, ремонт на автомобили и мотоциклети; транспорт, складиране и пощи; хотелиерство и ресторантьорство</w:t>
      </w:r>
      <w:r w:rsidRPr="008921A1">
        <w:t>.</w:t>
      </w:r>
    </w:p>
    <w:p w:rsidR="00F534E0" w:rsidRPr="008921A1" w:rsidRDefault="00F534E0" w:rsidP="00F534E0">
      <w:pPr>
        <w:jc w:val="both"/>
      </w:pPr>
      <w:r w:rsidRPr="008921A1">
        <w:t>Основните показатели на пазара на труда също се характеризираха с влошаване особено през периода април-май. През второто тримесечие на 2020 г. коефициентът на икономическа активност на населението (15-64 г.) отчете намаление от 1</w:t>
      </w:r>
      <w:r w:rsidR="008963FD">
        <w:t>,</w:t>
      </w:r>
      <w:r w:rsidRPr="008921A1">
        <w:t>1 п</w:t>
      </w:r>
      <w:r>
        <w:t>р</w:t>
      </w:r>
      <w:r w:rsidRPr="008921A1">
        <w:t>.п. до 71</w:t>
      </w:r>
      <w:r w:rsidR="008963FD">
        <w:t>,</w:t>
      </w:r>
      <w:r w:rsidRPr="008921A1">
        <w:t>7</w:t>
      </w:r>
      <w:r w:rsidR="00E81919">
        <w:t xml:space="preserve"> </w:t>
      </w:r>
      <w:r w:rsidRPr="008921A1">
        <w:t>%, а коефициентът на заетост на населението в същата възрастова група се понижи с 3</w:t>
      </w:r>
      <w:r w:rsidR="008963FD">
        <w:t>,</w:t>
      </w:r>
      <w:r w:rsidRPr="008921A1">
        <w:t>3 п</w:t>
      </w:r>
      <w:r>
        <w:t>р</w:t>
      </w:r>
      <w:r w:rsidRPr="008921A1">
        <w:t>.п. до 67</w:t>
      </w:r>
      <w:r w:rsidR="008963FD">
        <w:t>,</w:t>
      </w:r>
      <w:r w:rsidRPr="008921A1">
        <w:t>4</w:t>
      </w:r>
      <w:r w:rsidR="00E81919">
        <w:t xml:space="preserve"> </w:t>
      </w:r>
      <w:r w:rsidRPr="008921A1">
        <w:t>%. Коефициентът на безработица възлезе на 6</w:t>
      </w:r>
      <w:r w:rsidR="00CA3E5F">
        <w:t>,</w:t>
      </w:r>
      <w:r w:rsidRPr="008921A1">
        <w:t>0</w:t>
      </w:r>
      <w:r w:rsidR="00CA3E5F">
        <w:t xml:space="preserve"> </w:t>
      </w:r>
      <w:r w:rsidRPr="008921A1">
        <w:t xml:space="preserve">% за същия период. През следващите месеци обаче, както поради прекратяването на извънредното положение в страната, така и поради сезонни фактори </w:t>
      </w:r>
      <w:r w:rsidRPr="008921A1">
        <w:lastRenderedPageBreak/>
        <w:t>безработицата постепенно започна да намалява, а броят на работните места започна постепенно</w:t>
      </w:r>
      <w:r>
        <w:t xml:space="preserve"> да се</w:t>
      </w:r>
      <w:r w:rsidRPr="008921A1">
        <w:t xml:space="preserve"> възстановява. Въпреки това, на годишна база показателите на пазара на труда остават влошени. За третото тримесечие на 2020 г. коефициентът на икономическа активност на населението (15-64 г.) отчете стойност от 77</w:t>
      </w:r>
      <w:r w:rsidR="00AE2E7B">
        <w:t>,</w:t>
      </w:r>
      <w:r w:rsidRPr="008921A1">
        <w:t>8</w:t>
      </w:r>
      <w:r w:rsidR="00E81919">
        <w:t xml:space="preserve"> </w:t>
      </w:r>
      <w:r w:rsidRPr="008921A1">
        <w:t>% (</w:t>
      </w:r>
      <w:r>
        <w:t>-</w:t>
      </w:r>
      <w:r w:rsidRPr="008921A1">
        <w:t>0</w:t>
      </w:r>
      <w:r>
        <w:t>.</w:t>
      </w:r>
      <w:r w:rsidRPr="008921A1">
        <w:t>9 п</w:t>
      </w:r>
      <w:r>
        <w:t>р</w:t>
      </w:r>
      <w:r w:rsidRPr="008921A1">
        <w:t xml:space="preserve">.п. </w:t>
      </w:r>
      <w:r>
        <w:t>на год. база</w:t>
      </w:r>
      <w:r w:rsidRPr="008921A1">
        <w:t>), а коефициентът на заетост на населението в същата възрастова група бе 69</w:t>
      </w:r>
      <w:r w:rsidR="00AE2E7B">
        <w:t>,</w:t>
      </w:r>
      <w:r w:rsidRPr="008921A1">
        <w:t>6</w:t>
      </w:r>
      <w:r w:rsidR="00E81919">
        <w:t xml:space="preserve"> </w:t>
      </w:r>
      <w:r w:rsidRPr="008921A1">
        <w:t>% (</w:t>
      </w:r>
      <w:r>
        <w:t>-</w:t>
      </w:r>
      <w:r w:rsidRPr="008921A1">
        <w:t>1</w:t>
      </w:r>
      <w:r w:rsidR="00AE2E7B">
        <w:t>,</w:t>
      </w:r>
      <w:r w:rsidRPr="008921A1">
        <w:t>8 п</w:t>
      </w:r>
      <w:r>
        <w:t>р</w:t>
      </w:r>
      <w:r w:rsidRPr="008921A1">
        <w:t>.п.). Коефициентът на безработица възлезе на 4</w:t>
      </w:r>
      <w:r w:rsidR="00BC2FA1">
        <w:t>,</w:t>
      </w:r>
      <w:r w:rsidRPr="008921A1">
        <w:t>9</w:t>
      </w:r>
      <w:r w:rsidR="00BC2FA1">
        <w:t xml:space="preserve"> </w:t>
      </w:r>
      <w:r w:rsidRPr="008921A1">
        <w:t>% за същия период. Данните от Агенция по заетостта показват, че броят на регистрираните безработни следва почти непрекъсната тенденция на намаление до края на календарната година, като не бе наблюдавано традиционното сезонно увеличение.</w:t>
      </w:r>
    </w:p>
    <w:p w:rsidR="00F534E0" w:rsidRPr="008921A1" w:rsidRDefault="00F534E0" w:rsidP="00E47CF0">
      <w:pPr>
        <w:spacing w:before="120"/>
        <w:jc w:val="both"/>
      </w:pPr>
      <w:r w:rsidRPr="008921A1">
        <w:t xml:space="preserve">Значение за поддържане на безработицата на относителни ниски равнища (по-ниски от средните за ЕС 27) през периода на извънредно положение имаше програмата за запазване на заетостта (програма 60/40). </w:t>
      </w:r>
      <w:r w:rsidR="00396349" w:rsidRPr="00396349">
        <w:t xml:space="preserve">По предварителни данни </w:t>
      </w:r>
      <w:r w:rsidRPr="008921A1">
        <w:t>през периода март-декември в тази програма са били включени около 250 хил</w:t>
      </w:r>
      <w:r>
        <w:t>.</w:t>
      </w:r>
      <w:r w:rsidRPr="008921A1">
        <w:t xml:space="preserve"> работни места.</w:t>
      </w:r>
    </w:p>
    <w:p w:rsidR="00F534E0" w:rsidRPr="008921A1" w:rsidRDefault="00F534E0" w:rsidP="00F534E0">
      <w:pPr>
        <w:pStyle w:val="xmsonormal"/>
        <w:shd w:val="clear" w:color="auto" w:fill="FFFFFF"/>
        <w:spacing w:before="120" w:beforeAutospacing="0" w:after="120" w:afterAutospacing="0"/>
        <w:jc w:val="both"/>
        <w:rPr>
          <w:lang w:val="bg-BG"/>
        </w:rPr>
      </w:pPr>
      <w:r w:rsidRPr="008921A1">
        <w:rPr>
          <w:color w:val="000000"/>
          <w:lang w:val="bg-BG"/>
        </w:rPr>
        <w:t>През първите девет месеца на 2020 г. номиналният растеж на средната работна заплата се забави до 8</w:t>
      </w:r>
      <w:r w:rsidR="00AE2E7B">
        <w:rPr>
          <w:color w:val="000000"/>
          <w:lang w:val="bg-BG"/>
        </w:rPr>
        <w:t>,</w:t>
      </w:r>
      <w:r w:rsidRPr="008921A1">
        <w:rPr>
          <w:color w:val="000000"/>
          <w:lang w:val="bg-BG"/>
        </w:rPr>
        <w:t>4</w:t>
      </w:r>
      <w:r w:rsidR="00E81919">
        <w:rPr>
          <w:color w:val="000000"/>
          <w:lang w:val="bg-BG"/>
        </w:rPr>
        <w:t xml:space="preserve"> </w:t>
      </w:r>
      <w:r w:rsidRPr="008921A1">
        <w:rPr>
          <w:color w:val="000000"/>
          <w:lang w:val="bg-BG"/>
        </w:rPr>
        <w:t>% спрямо 12</w:t>
      </w:r>
      <w:r w:rsidR="006C1BF2">
        <w:rPr>
          <w:color w:val="000000"/>
          <w:lang w:val="bg-BG"/>
        </w:rPr>
        <w:t xml:space="preserve"> </w:t>
      </w:r>
      <w:r w:rsidRPr="008921A1">
        <w:rPr>
          <w:color w:val="000000"/>
          <w:lang w:val="bg-BG"/>
        </w:rPr>
        <w:t xml:space="preserve">% през </w:t>
      </w:r>
      <w:r>
        <w:rPr>
          <w:color w:val="000000"/>
          <w:lang w:val="bg-BG"/>
        </w:rPr>
        <w:t>същия</w:t>
      </w:r>
      <w:r w:rsidRPr="008921A1">
        <w:rPr>
          <w:color w:val="000000"/>
          <w:lang w:val="bg-BG"/>
        </w:rPr>
        <w:t xml:space="preserve"> период на </w:t>
      </w:r>
      <w:r>
        <w:rPr>
          <w:color w:val="000000"/>
          <w:lang w:val="bg-BG"/>
        </w:rPr>
        <w:t>2019 г</w:t>
      </w:r>
      <w:r w:rsidRPr="008921A1">
        <w:rPr>
          <w:color w:val="000000"/>
          <w:lang w:val="bg-BG"/>
        </w:rPr>
        <w:t>. В реално изражение показателят също отчете по-нисък темп от 6</w:t>
      </w:r>
      <w:r w:rsidR="00AE2E7B">
        <w:rPr>
          <w:color w:val="000000"/>
          <w:lang w:val="bg-BG"/>
        </w:rPr>
        <w:t>,</w:t>
      </w:r>
      <w:r w:rsidRPr="008921A1">
        <w:rPr>
          <w:color w:val="000000"/>
          <w:lang w:val="bg-BG"/>
        </w:rPr>
        <w:t>8</w:t>
      </w:r>
      <w:r w:rsidR="00E81919">
        <w:rPr>
          <w:color w:val="000000"/>
          <w:lang w:val="bg-BG"/>
        </w:rPr>
        <w:t xml:space="preserve"> </w:t>
      </w:r>
      <w:r w:rsidRPr="008921A1">
        <w:rPr>
          <w:color w:val="000000"/>
          <w:lang w:val="bg-BG"/>
        </w:rPr>
        <w:t>% спрямо 9</w:t>
      </w:r>
      <w:r w:rsidR="00AE2E7B">
        <w:rPr>
          <w:color w:val="000000"/>
          <w:lang w:val="bg-BG"/>
        </w:rPr>
        <w:t>,</w:t>
      </w:r>
      <w:r w:rsidRPr="008921A1">
        <w:rPr>
          <w:color w:val="000000"/>
          <w:lang w:val="bg-BG"/>
        </w:rPr>
        <w:t>3</w:t>
      </w:r>
      <w:r w:rsidR="00E838BD">
        <w:rPr>
          <w:color w:val="000000"/>
          <w:lang w:val="bg-BG"/>
        </w:rPr>
        <w:t xml:space="preserve"> </w:t>
      </w:r>
      <w:r w:rsidRPr="008921A1">
        <w:rPr>
          <w:color w:val="000000"/>
          <w:lang w:val="bg-BG"/>
        </w:rPr>
        <w:t>% година по-рано. Наблюдаваното развитие отразяваше ефекта от въведените противоепидемични мерки от средата на месец март, което доведе до намаление на доходите от труд в най-силно засегнатите дейности (</w:t>
      </w:r>
      <w:r w:rsidRPr="008921A1">
        <w:rPr>
          <w:i/>
          <w:color w:val="000000"/>
          <w:lang w:val="bg-BG"/>
        </w:rPr>
        <w:t>хотелиерство и ресторантьорство, култура</w:t>
      </w:r>
      <w:r w:rsidR="00446ADD">
        <w:rPr>
          <w:i/>
          <w:color w:val="000000"/>
          <w:lang w:val="bg-BG"/>
        </w:rPr>
        <w:t>,</w:t>
      </w:r>
      <w:r w:rsidRPr="008921A1">
        <w:rPr>
          <w:i/>
          <w:color w:val="000000"/>
          <w:lang w:val="bg-BG"/>
        </w:rPr>
        <w:t xml:space="preserve"> спорт и развлечения, и транспорт</w:t>
      </w:r>
      <w:r w:rsidRPr="008921A1">
        <w:rPr>
          <w:color w:val="000000"/>
          <w:lang w:val="bg-BG"/>
        </w:rPr>
        <w:t>) през второто тримесечие на годината и значително ограничаване на динамиката на показателя общо в икономиката (6</w:t>
      </w:r>
      <w:r w:rsidR="00AE2E7B">
        <w:rPr>
          <w:color w:val="000000"/>
          <w:lang w:val="bg-BG"/>
        </w:rPr>
        <w:t>,</w:t>
      </w:r>
      <w:r w:rsidRPr="008921A1">
        <w:rPr>
          <w:color w:val="000000"/>
          <w:lang w:val="bg-BG"/>
        </w:rPr>
        <w:t>1</w:t>
      </w:r>
      <w:r w:rsidR="00E81919">
        <w:rPr>
          <w:color w:val="000000"/>
          <w:lang w:val="bg-BG"/>
        </w:rPr>
        <w:t xml:space="preserve"> </w:t>
      </w:r>
      <w:r w:rsidRPr="008921A1">
        <w:rPr>
          <w:color w:val="000000"/>
          <w:lang w:val="bg-BG"/>
        </w:rPr>
        <w:t>%). Водещ принос имаше частния сектор на икономиката, където темпът на изменение на заплатите се забави до 7</w:t>
      </w:r>
      <w:r w:rsidR="00AE2E7B">
        <w:rPr>
          <w:color w:val="000000"/>
          <w:lang w:val="bg-BG"/>
        </w:rPr>
        <w:t>,</w:t>
      </w:r>
      <w:r w:rsidRPr="008921A1">
        <w:rPr>
          <w:color w:val="000000"/>
          <w:lang w:val="bg-BG"/>
        </w:rPr>
        <w:t>8</w:t>
      </w:r>
      <w:r w:rsidR="00E81919">
        <w:rPr>
          <w:color w:val="000000"/>
          <w:lang w:val="bg-BG"/>
        </w:rPr>
        <w:t xml:space="preserve"> </w:t>
      </w:r>
      <w:r w:rsidRPr="008921A1">
        <w:rPr>
          <w:color w:val="000000"/>
          <w:lang w:val="bg-BG"/>
        </w:rPr>
        <w:t>% през деветмесечието, докато отчетената стойност в обществения сектор беше висока (10</w:t>
      </w:r>
      <w:r w:rsidR="00E81919">
        <w:rPr>
          <w:color w:val="000000"/>
          <w:lang w:val="bg-BG"/>
        </w:rPr>
        <w:t xml:space="preserve"> </w:t>
      </w:r>
      <w:r w:rsidRPr="008921A1">
        <w:rPr>
          <w:color w:val="000000"/>
          <w:lang w:val="bg-BG"/>
        </w:rPr>
        <w:t>%). През разглеждания период производителността на труда също беше повлияна в низходяща посока. Реалният растеж на показателя премина на отрицателна територия през второто и третото тримесечие, като средно за периода януари-септември 2020 г. отчете спад от 1</w:t>
      </w:r>
      <w:r w:rsidR="00221DF7">
        <w:rPr>
          <w:color w:val="000000"/>
          <w:lang w:val="bg-BG"/>
        </w:rPr>
        <w:t>,</w:t>
      </w:r>
      <w:r w:rsidRPr="008921A1">
        <w:rPr>
          <w:color w:val="000000"/>
          <w:lang w:val="bg-BG"/>
        </w:rPr>
        <w:t>2</w:t>
      </w:r>
      <w:r w:rsidR="00E81919">
        <w:rPr>
          <w:color w:val="000000"/>
          <w:lang w:val="bg-BG"/>
        </w:rPr>
        <w:t xml:space="preserve"> </w:t>
      </w:r>
      <w:r w:rsidRPr="008921A1">
        <w:rPr>
          <w:color w:val="000000"/>
          <w:lang w:val="bg-BG"/>
        </w:rPr>
        <w:t>% на годишна база. Динамиката на доходите и производителността на труда доведоха до нарастването на номиналните разходи за труд на единица продукция до 6</w:t>
      </w:r>
      <w:r w:rsidR="00221DF7">
        <w:rPr>
          <w:color w:val="000000"/>
          <w:lang w:val="bg-BG"/>
        </w:rPr>
        <w:t>,</w:t>
      </w:r>
      <w:r w:rsidRPr="008921A1">
        <w:rPr>
          <w:color w:val="000000"/>
          <w:lang w:val="bg-BG"/>
        </w:rPr>
        <w:t>8</w:t>
      </w:r>
      <w:r w:rsidR="00E81919">
        <w:rPr>
          <w:color w:val="000000"/>
          <w:lang w:val="bg-BG"/>
        </w:rPr>
        <w:t xml:space="preserve"> </w:t>
      </w:r>
      <w:r w:rsidRPr="008921A1">
        <w:rPr>
          <w:color w:val="000000"/>
          <w:lang w:val="bg-BG"/>
        </w:rPr>
        <w:t>%.</w:t>
      </w:r>
    </w:p>
    <w:p w:rsidR="00F534E0" w:rsidRPr="00AB0C8F" w:rsidRDefault="00F534E0" w:rsidP="00F534E0">
      <w:pPr>
        <w:pStyle w:val="xmsonormal"/>
        <w:shd w:val="clear" w:color="auto" w:fill="FFFFFF"/>
        <w:spacing w:before="120" w:beforeAutospacing="0" w:after="120" w:afterAutospacing="0"/>
        <w:jc w:val="both"/>
        <w:rPr>
          <w:lang w:val="bg-BG"/>
        </w:rPr>
      </w:pPr>
      <w:r w:rsidRPr="00AB0C8F">
        <w:rPr>
          <w:lang w:val="bg-BG"/>
        </w:rPr>
        <w:t>В края на годината инфлацията продължи да се забавя до 0</w:t>
      </w:r>
      <w:r w:rsidR="00E81919">
        <w:rPr>
          <w:lang w:val="bg-BG"/>
        </w:rPr>
        <w:t xml:space="preserve"> </w:t>
      </w:r>
      <w:r w:rsidRPr="00AB0C8F">
        <w:rPr>
          <w:lang w:val="bg-BG"/>
        </w:rPr>
        <w:t>% спрямо декември 2019 г., а средногодишната ѝ стойност бе 1</w:t>
      </w:r>
      <w:r w:rsidR="00221DF7">
        <w:rPr>
          <w:lang w:val="bg-BG"/>
        </w:rPr>
        <w:t>,</w:t>
      </w:r>
      <w:r w:rsidRPr="00AB0C8F">
        <w:rPr>
          <w:lang w:val="bg-BG"/>
        </w:rPr>
        <w:t>2</w:t>
      </w:r>
      <w:r w:rsidR="00E81919">
        <w:rPr>
          <w:lang w:val="bg-BG"/>
        </w:rPr>
        <w:t xml:space="preserve"> </w:t>
      </w:r>
      <w:r w:rsidRPr="00AB0C8F">
        <w:rPr>
          <w:lang w:val="bg-BG"/>
        </w:rPr>
        <w:t>%. По основни компоненти, най-голям отрицателен принос имаха енергийните стоки, чието поевтиняване от 8</w:t>
      </w:r>
      <w:r w:rsidR="00221DF7">
        <w:rPr>
          <w:lang w:val="bg-BG"/>
        </w:rPr>
        <w:t>,</w:t>
      </w:r>
      <w:r w:rsidRPr="00AB0C8F">
        <w:rPr>
          <w:lang w:val="bg-BG"/>
        </w:rPr>
        <w:t>2</w:t>
      </w:r>
      <w:r w:rsidR="00537770">
        <w:rPr>
          <w:lang w:val="bg-BG"/>
        </w:rPr>
        <w:t xml:space="preserve"> </w:t>
      </w:r>
      <w:r w:rsidRPr="00AB0C8F">
        <w:rPr>
          <w:lang w:val="bg-BG"/>
        </w:rPr>
        <w:t>% бе обусловено най-вече от по-ниските цени на петрола на международните пазари. Най-съществен положителен принос имаше поскъпването на услугите с 2</w:t>
      </w:r>
      <w:r w:rsidR="00221DF7">
        <w:rPr>
          <w:lang w:val="bg-BG"/>
        </w:rPr>
        <w:t>,</w:t>
      </w:r>
      <w:r w:rsidRPr="00AB0C8F">
        <w:rPr>
          <w:lang w:val="bg-BG"/>
        </w:rPr>
        <w:t>1</w:t>
      </w:r>
      <w:r w:rsidR="00E81919">
        <w:rPr>
          <w:lang w:val="bg-BG"/>
        </w:rPr>
        <w:t xml:space="preserve"> </w:t>
      </w:r>
      <w:r w:rsidRPr="00AB0C8F">
        <w:rPr>
          <w:lang w:val="bg-BG"/>
        </w:rPr>
        <w:t>% и преработените храни с 3</w:t>
      </w:r>
      <w:r w:rsidR="00221DF7">
        <w:rPr>
          <w:lang w:val="bg-BG"/>
        </w:rPr>
        <w:t>,</w:t>
      </w:r>
      <w:r w:rsidRPr="00AB0C8F">
        <w:rPr>
          <w:lang w:val="bg-BG"/>
        </w:rPr>
        <w:t>4</w:t>
      </w:r>
      <w:r w:rsidR="00E81919">
        <w:rPr>
          <w:lang w:val="bg-BG"/>
        </w:rPr>
        <w:t xml:space="preserve"> </w:t>
      </w:r>
      <w:r w:rsidRPr="00AB0C8F">
        <w:rPr>
          <w:lang w:val="bg-BG"/>
        </w:rPr>
        <w:t>%.</w:t>
      </w:r>
      <w:r w:rsidRPr="001033E1">
        <w:rPr>
          <w:lang w:val="bg-BG"/>
        </w:rPr>
        <w:t xml:space="preserve"> </w:t>
      </w:r>
      <w:r w:rsidRPr="00AB0C8F">
        <w:rPr>
          <w:lang w:val="bg-BG"/>
        </w:rPr>
        <w:t>Базисната инфлация продължи да се забавя, като се понижи с 0</w:t>
      </w:r>
      <w:r w:rsidR="00221DF7">
        <w:rPr>
          <w:lang w:val="bg-BG"/>
        </w:rPr>
        <w:t>,</w:t>
      </w:r>
      <w:r w:rsidRPr="00AB0C8F">
        <w:rPr>
          <w:lang w:val="bg-BG"/>
        </w:rPr>
        <w:t>1 пр.п. до 1</w:t>
      </w:r>
      <w:r w:rsidR="00221DF7">
        <w:rPr>
          <w:lang w:val="bg-BG"/>
        </w:rPr>
        <w:t>,</w:t>
      </w:r>
      <w:r w:rsidRPr="00AB0C8F">
        <w:rPr>
          <w:lang w:val="bg-BG"/>
        </w:rPr>
        <w:t>4</w:t>
      </w:r>
      <w:r w:rsidR="00E81919">
        <w:rPr>
          <w:lang w:val="bg-BG"/>
        </w:rPr>
        <w:t xml:space="preserve"> </w:t>
      </w:r>
      <w:r w:rsidRPr="00AB0C8F">
        <w:rPr>
          <w:lang w:val="bg-BG"/>
        </w:rPr>
        <w:t>% на годишна база през декември.</w:t>
      </w:r>
    </w:p>
    <w:p w:rsidR="00F534E0" w:rsidRPr="00AB0C8F" w:rsidRDefault="00F534E0" w:rsidP="00F534E0">
      <w:pPr>
        <w:pStyle w:val="xmsonormal"/>
        <w:shd w:val="clear" w:color="auto" w:fill="FFFFFF"/>
        <w:spacing w:before="120" w:beforeAutospacing="0" w:after="120" w:afterAutospacing="0"/>
        <w:jc w:val="both"/>
        <w:rPr>
          <w:lang w:val="bg-BG"/>
        </w:rPr>
      </w:pPr>
      <w:r w:rsidRPr="00AB0C8F">
        <w:rPr>
          <w:lang w:val="bg-BG"/>
        </w:rPr>
        <w:t>Брутните международни валутни резерви на страната продължиха да осигуряват стабилното функциониране на Паричния съвет, като пазарната им стойност към края на 2020 г. възлезе на 30</w:t>
      </w:r>
      <w:r w:rsidR="00B446D3">
        <w:rPr>
          <w:lang w:val="bg-BG"/>
        </w:rPr>
        <w:t>,</w:t>
      </w:r>
      <w:r w:rsidRPr="00AB0C8F">
        <w:rPr>
          <w:lang w:val="bg-BG"/>
        </w:rPr>
        <w:t>8 млрд. евро.</w:t>
      </w:r>
    </w:p>
    <w:p w:rsidR="00F534E0" w:rsidRPr="00AB0C8F" w:rsidRDefault="00F534E0" w:rsidP="00F534E0">
      <w:pPr>
        <w:pStyle w:val="xmsonormal"/>
        <w:shd w:val="clear" w:color="auto" w:fill="FFFFFF"/>
        <w:spacing w:before="120" w:beforeAutospacing="0" w:after="120" w:afterAutospacing="0"/>
        <w:jc w:val="both"/>
        <w:rPr>
          <w:lang w:val="bg-BG"/>
        </w:rPr>
      </w:pPr>
      <w:r w:rsidRPr="00AB0C8F">
        <w:rPr>
          <w:lang w:val="bg-BG"/>
        </w:rPr>
        <w:t>Търсенето на заемни средства в икономиката се сви в отговор на влошената макроикономическа среда. Кредитът за частния сектор започна последователно да забавя темпа си на растеж след въвеждането на ограничителните мерки през март. Низходящата тенденция не доведе до реализирането на спад на годишна база, а в края на 2020 г. частният кредит отбеляза нарастване с 4</w:t>
      </w:r>
      <w:r w:rsidR="00B446D3">
        <w:rPr>
          <w:lang w:val="bg-BG"/>
        </w:rPr>
        <w:t>,</w:t>
      </w:r>
      <w:r w:rsidRPr="00AB0C8F">
        <w:rPr>
          <w:lang w:val="bg-BG"/>
        </w:rPr>
        <w:t>4</w:t>
      </w:r>
      <w:r w:rsidR="00E81919">
        <w:rPr>
          <w:lang w:val="bg-BG"/>
        </w:rPr>
        <w:t xml:space="preserve"> </w:t>
      </w:r>
      <w:r w:rsidRPr="00AB0C8F">
        <w:rPr>
          <w:lang w:val="bg-BG"/>
        </w:rPr>
        <w:t xml:space="preserve">% спрямо края на 2019 г. За положителното развитие на кредитирането допринесоха и двете антикризисни програми на правителството за кредитиране при облекчени условия на физически лица и фирми, гарантирани от </w:t>
      </w:r>
      <w:r>
        <w:rPr>
          <w:lang w:val="bg-BG"/>
        </w:rPr>
        <w:t>ББР</w:t>
      </w:r>
      <w:r w:rsidRPr="00AB0C8F">
        <w:rPr>
          <w:lang w:val="bg-BG"/>
        </w:rPr>
        <w:t>. Кредитите на нефинансовите предприятия имаха по-рязко забавяне през април след значително понижение на задълженията по овърдрафт. През последното тримесечие овърдрафт кредитите започнаха да нарастват отново и това допринесе за стабилизиране и дори леко възстановяване на кредитите за нефинансови предприятия в края на годината. В края на декември те нараснаха на годишна база с 3</w:t>
      </w:r>
      <w:r w:rsidR="00E81919">
        <w:rPr>
          <w:lang w:val="bg-BG"/>
        </w:rPr>
        <w:t xml:space="preserve"> </w:t>
      </w:r>
      <w:r w:rsidRPr="00AB0C8F">
        <w:rPr>
          <w:lang w:val="bg-BG"/>
        </w:rPr>
        <w:t>% при 5</w:t>
      </w:r>
      <w:r w:rsidR="00B446D3">
        <w:rPr>
          <w:lang w:val="bg-BG"/>
        </w:rPr>
        <w:t>,</w:t>
      </w:r>
      <w:r w:rsidRPr="00AB0C8F">
        <w:rPr>
          <w:lang w:val="bg-BG"/>
        </w:rPr>
        <w:t>9</w:t>
      </w:r>
      <w:r w:rsidR="00E81919">
        <w:rPr>
          <w:lang w:val="bg-BG"/>
        </w:rPr>
        <w:t xml:space="preserve"> </w:t>
      </w:r>
      <w:r w:rsidRPr="00AB0C8F">
        <w:rPr>
          <w:lang w:val="bg-BG"/>
        </w:rPr>
        <w:t xml:space="preserve">% в края на предходната година. </w:t>
      </w:r>
    </w:p>
    <w:p w:rsidR="00F534E0" w:rsidRPr="00AB0C8F" w:rsidRDefault="00F534E0" w:rsidP="00F534E0">
      <w:pPr>
        <w:pStyle w:val="xmsonormal"/>
        <w:shd w:val="clear" w:color="auto" w:fill="FFFFFF"/>
        <w:spacing w:before="120" w:beforeAutospacing="0" w:after="120" w:afterAutospacing="0"/>
        <w:jc w:val="both"/>
        <w:rPr>
          <w:highlight w:val="yellow"/>
          <w:lang w:val="bg-BG"/>
        </w:rPr>
      </w:pPr>
      <w:r>
        <w:rPr>
          <w:lang w:val="bg-BG"/>
        </w:rPr>
        <w:t>Темпът на нарастване на к</w:t>
      </w:r>
      <w:r w:rsidRPr="00AB0C8F">
        <w:rPr>
          <w:lang w:val="bg-BG"/>
        </w:rPr>
        <w:t xml:space="preserve">редитите за домакинства също </w:t>
      </w:r>
      <w:r>
        <w:rPr>
          <w:lang w:val="bg-BG"/>
        </w:rPr>
        <w:t xml:space="preserve">се </w:t>
      </w:r>
      <w:r w:rsidRPr="00AB0C8F">
        <w:rPr>
          <w:lang w:val="bg-BG"/>
        </w:rPr>
        <w:t>понижи до 6</w:t>
      </w:r>
      <w:r w:rsidR="003E74C0">
        <w:rPr>
          <w:lang w:val="bg-BG"/>
        </w:rPr>
        <w:t>,</w:t>
      </w:r>
      <w:r w:rsidRPr="00AB0C8F">
        <w:rPr>
          <w:lang w:val="bg-BG"/>
        </w:rPr>
        <w:t>6</w:t>
      </w:r>
      <w:r w:rsidR="00E81919">
        <w:rPr>
          <w:lang w:val="bg-BG"/>
        </w:rPr>
        <w:t xml:space="preserve"> </w:t>
      </w:r>
      <w:r w:rsidRPr="00AB0C8F">
        <w:rPr>
          <w:lang w:val="bg-BG"/>
        </w:rPr>
        <w:t>% в края на декември при 9</w:t>
      </w:r>
      <w:r w:rsidR="003E74C0">
        <w:rPr>
          <w:lang w:val="bg-BG"/>
        </w:rPr>
        <w:t>,</w:t>
      </w:r>
      <w:r w:rsidRPr="00AB0C8F">
        <w:rPr>
          <w:lang w:val="bg-BG"/>
        </w:rPr>
        <w:t>5</w:t>
      </w:r>
      <w:r w:rsidR="00E81919">
        <w:rPr>
          <w:lang w:val="bg-BG"/>
        </w:rPr>
        <w:t xml:space="preserve"> </w:t>
      </w:r>
      <w:r w:rsidRPr="00AB0C8F">
        <w:rPr>
          <w:lang w:val="bg-BG"/>
        </w:rPr>
        <w:t>% година по-рано, като потребителските кредити бяха засегнати в по-голяма степен. Годишният им темп на растеж в края на 2020 г. се забави до 5</w:t>
      </w:r>
      <w:r w:rsidR="003E74C0">
        <w:rPr>
          <w:lang w:val="bg-BG"/>
        </w:rPr>
        <w:t>,</w:t>
      </w:r>
      <w:r w:rsidRPr="00AB0C8F">
        <w:rPr>
          <w:lang w:val="bg-BG"/>
        </w:rPr>
        <w:t>5</w:t>
      </w:r>
      <w:r w:rsidR="00E81919">
        <w:rPr>
          <w:lang w:val="bg-BG"/>
        </w:rPr>
        <w:t xml:space="preserve"> </w:t>
      </w:r>
      <w:r w:rsidRPr="00AB0C8F">
        <w:rPr>
          <w:lang w:val="bg-BG"/>
        </w:rPr>
        <w:t>% от 10</w:t>
      </w:r>
      <w:r w:rsidR="003E74C0">
        <w:rPr>
          <w:lang w:val="bg-BG"/>
        </w:rPr>
        <w:t>,</w:t>
      </w:r>
      <w:r w:rsidRPr="00AB0C8F">
        <w:rPr>
          <w:lang w:val="bg-BG"/>
        </w:rPr>
        <w:t>8</w:t>
      </w:r>
      <w:r w:rsidR="00E81919">
        <w:rPr>
          <w:lang w:val="bg-BG"/>
        </w:rPr>
        <w:t xml:space="preserve"> </w:t>
      </w:r>
      <w:r w:rsidR="007340F5">
        <w:rPr>
          <w:lang w:val="bg-BG"/>
        </w:rPr>
        <w:t>% през декември 2019</w:t>
      </w:r>
      <w:r w:rsidRPr="00AB0C8F">
        <w:rPr>
          <w:lang w:val="bg-BG"/>
        </w:rPr>
        <w:t xml:space="preserve">г. За постигнатия положителен ръст общо с около 110 млн. лв. допринесе програмата за безлихвено </w:t>
      </w:r>
      <w:r w:rsidRPr="00AB0C8F">
        <w:rPr>
          <w:lang w:val="bg-BG"/>
        </w:rPr>
        <w:lastRenderedPageBreak/>
        <w:t>кредитиране на физически лица. Жилищните кредити реагираха по-бавно и в по-малка степен на извънредната ситуация, като запазиха двуцифрен годишен темп на нарастване от 11</w:t>
      </w:r>
      <w:r w:rsidR="003E74C0">
        <w:rPr>
          <w:lang w:val="bg-BG"/>
        </w:rPr>
        <w:t>,</w:t>
      </w:r>
      <w:r w:rsidRPr="00AB0C8F">
        <w:rPr>
          <w:lang w:val="bg-BG"/>
        </w:rPr>
        <w:t>6</w:t>
      </w:r>
      <w:r w:rsidR="00E81919">
        <w:rPr>
          <w:lang w:val="bg-BG"/>
        </w:rPr>
        <w:t xml:space="preserve"> </w:t>
      </w:r>
      <w:r w:rsidRPr="00AB0C8F">
        <w:rPr>
          <w:lang w:val="bg-BG"/>
        </w:rPr>
        <w:t>%.</w:t>
      </w:r>
    </w:p>
    <w:p w:rsidR="00C04F4D" w:rsidRPr="00342E7E" w:rsidRDefault="00C04F4D" w:rsidP="0080216E">
      <w:pPr>
        <w:spacing w:before="240" w:after="120"/>
        <w:jc w:val="both"/>
        <w:rPr>
          <w:color w:val="4F81BD" w:themeColor="accent1"/>
        </w:rPr>
      </w:pPr>
      <w:r w:rsidRPr="00342E7E">
        <w:rPr>
          <w:b/>
          <w:color w:val="000000" w:themeColor="text1"/>
        </w:rPr>
        <w:t>Фискални развития през 2020 г</w:t>
      </w:r>
      <w:r w:rsidRPr="00342E7E">
        <w:rPr>
          <w:color w:val="4F81BD" w:themeColor="accent1"/>
        </w:rPr>
        <w:t>.</w:t>
      </w:r>
    </w:p>
    <w:p w:rsidR="00C04F4D" w:rsidRPr="00342E7E" w:rsidRDefault="00E14305" w:rsidP="00C04F4D">
      <w:pPr>
        <w:spacing w:after="210"/>
        <w:jc w:val="both"/>
        <w:rPr>
          <w:color w:val="000000" w:themeColor="text1"/>
        </w:rPr>
      </w:pPr>
      <w:r w:rsidRPr="00342E7E">
        <w:rPr>
          <w:color w:val="000000" w:themeColor="text1"/>
        </w:rPr>
        <w:t xml:space="preserve">Изпълнението на бюджета премина през няколко ясно изразени периода – период до обявяването на извънредно положение на територията на цялата страна на 13 март, период на строги карантинни мерки след въвеждането на извънредното положение последван от период на постепенно възстановяване на икономическата активност след премахването на част от наложените ограничения и ново затягане на ограниченията в последния месец на годината. </w:t>
      </w:r>
      <w:r w:rsidRPr="00904770">
        <w:rPr>
          <w:color w:val="000000" w:themeColor="text1"/>
        </w:rPr>
        <w:t>Внезапният шок от пандемията и влошената външна и вътрешна среда, в условията на които протече фискална</w:t>
      </w:r>
      <w:r w:rsidR="00102767">
        <w:rPr>
          <w:color w:val="000000" w:themeColor="text1"/>
        </w:rPr>
        <w:t>та</w:t>
      </w:r>
      <w:r w:rsidRPr="00904770">
        <w:rPr>
          <w:color w:val="000000" w:themeColor="text1"/>
        </w:rPr>
        <w:t xml:space="preserve"> година, наложиха на два пъти да бъде променяна бюджетната рамка по приходите и разходите. </w:t>
      </w:r>
      <w:r w:rsidRPr="00342E7E">
        <w:rPr>
          <w:color w:val="000000" w:themeColor="text1"/>
        </w:rPr>
        <w:t>Фискалната цел за годината бе променена от балансирано бюджетно салдо по КФП (одобрена с разчетите на ЗДБРБ за 2020 г., в края на 2019 г.), на дефицит в размер на 4,4 на сто от прогнозния БВП (одобрена заедно с Актуализираната средносрочна бюджетна прогноза за периода 2021-2023 г. в началото на декември 2020 г.)</w:t>
      </w:r>
      <w:r w:rsidR="00C04F4D" w:rsidRPr="00342E7E">
        <w:rPr>
          <w:color w:val="000000" w:themeColor="text1"/>
        </w:rPr>
        <w:t>.</w:t>
      </w:r>
    </w:p>
    <w:p w:rsidR="00C04F4D" w:rsidRPr="00342E7E" w:rsidRDefault="00C04F4D" w:rsidP="00C04F4D">
      <w:pPr>
        <w:spacing w:after="210"/>
        <w:jc w:val="both"/>
        <w:rPr>
          <w:color w:val="000000" w:themeColor="text1"/>
        </w:rPr>
      </w:pPr>
      <w:r w:rsidRPr="00342E7E">
        <w:rPr>
          <w:color w:val="000000" w:themeColor="text1"/>
        </w:rPr>
        <w:t>Първите два месеца на годината се характеризираха със запазване на положителните тенденции в приходите от предходните няколко години. Параметрите по изпълнението на приходите отчетоха значително подобрение спрямо същия период на предходната година, като постъпленията при повечето от основните данъци и осигурителни вноски отчетоха номинален растеж и параметрите по тяхното изпълнение съответстваха на заложеното с първоначалните годишни разчети за 2020 г. от есента на 2019 г. През месец февруари нивото на безработица все още бе сред най-ниските регистрирани стойности за страната, а подобрение се отчете и при редица важни макроикономически индикатори. Положителното развитие на параметрите по изпълнението на приходите позволи през първите два месеца на годината да бъде формирано значително по размер текущо превишение на приходите над разходите по КФП в размер на близо 1,5 млрд. лв. към края на февруари 2020 г.</w:t>
      </w:r>
    </w:p>
    <w:p w:rsidR="00C04F4D" w:rsidRPr="00342E7E" w:rsidRDefault="00C04F4D" w:rsidP="00C04F4D">
      <w:pPr>
        <w:spacing w:after="210"/>
        <w:jc w:val="both"/>
        <w:rPr>
          <w:color w:val="000000" w:themeColor="text1"/>
        </w:rPr>
      </w:pPr>
      <w:r w:rsidRPr="00342E7E">
        <w:rPr>
          <w:color w:val="000000" w:themeColor="text1"/>
        </w:rPr>
        <w:t>Безпрецедентната ситуация в началото на 2020 г. на разпространение</w:t>
      </w:r>
      <w:r w:rsidR="00937BBD">
        <w:rPr>
          <w:color w:val="000000" w:themeColor="text1"/>
        </w:rPr>
        <w:t>то</w:t>
      </w:r>
      <w:r w:rsidRPr="00342E7E">
        <w:rPr>
          <w:color w:val="000000" w:themeColor="text1"/>
        </w:rPr>
        <w:t xml:space="preserve"> на COVID-19 в Европа и света доведоха до внезапен и непредвиден шок, проявяващ се както в сферите, ангажирани пряко със здравните аспекти на пандемията, така и върху икономиката, финансовия сектор, социалните системи и другите области от социално-икономическия живот в България. На прага на това внезапно забавяне на икономиката, България разполагаше с необходимото фискално пространство за реакция. Текущите параметри по отношение на бюджетното изпълнение към края на първото тримесечие бяха положителни и показваха излишък от около 1,3 милиарда лева към края на март. Фискалният резерв към края на март бе в размер на 10,3 милиарда лева. Тези буфери позволиха да бъде ограничен в краткосрочен план фискалния шок от кризата с COVID-19 и осигуриха гъвкавост при очакваното забавяне на приходите.</w:t>
      </w:r>
    </w:p>
    <w:p w:rsidR="00C04F4D" w:rsidRPr="00342E7E" w:rsidRDefault="00C04F4D" w:rsidP="00C04F4D">
      <w:pPr>
        <w:spacing w:after="210"/>
        <w:jc w:val="both"/>
        <w:rPr>
          <w:color w:val="000000" w:themeColor="text1"/>
        </w:rPr>
      </w:pPr>
      <w:r w:rsidRPr="00342E7E">
        <w:rPr>
          <w:color w:val="000000" w:themeColor="text1"/>
        </w:rPr>
        <w:t xml:space="preserve">Променените макроикономически перспективи по отношение на външната и вътрешната среда, влошените прогнози по приходите и необходимостта от осигуряване на допълнителни разходи в изпълнение на Закона за мерките и действията по време на действието на извънредното положение, обявено с решение на Народното събрание от 13 март 2020 г., </w:t>
      </w:r>
      <w:r w:rsidR="00017980" w:rsidRPr="00342E7E">
        <w:rPr>
          <w:color w:val="000000" w:themeColor="text1"/>
        </w:rPr>
        <w:t>очертаха необходимост</w:t>
      </w:r>
      <w:r w:rsidR="00017980">
        <w:rPr>
          <w:color w:val="000000" w:themeColor="text1"/>
        </w:rPr>
        <w:t>та</w:t>
      </w:r>
      <w:r w:rsidR="00017980" w:rsidRPr="00342E7E">
        <w:rPr>
          <w:color w:val="000000" w:themeColor="text1"/>
        </w:rPr>
        <w:t xml:space="preserve"> от </w:t>
      </w:r>
      <w:r w:rsidR="005B4F5B">
        <w:rPr>
          <w:color w:val="000000" w:themeColor="text1"/>
        </w:rPr>
        <w:t>незабавно</w:t>
      </w:r>
      <w:r w:rsidR="00017980" w:rsidRPr="00342E7E">
        <w:rPr>
          <w:color w:val="000000" w:themeColor="text1"/>
        </w:rPr>
        <w:t xml:space="preserve"> актуализиране </w:t>
      </w:r>
      <w:r w:rsidRPr="00342E7E">
        <w:rPr>
          <w:color w:val="000000" w:themeColor="text1"/>
        </w:rPr>
        <w:t>на фискалната рамка за годината. На 30 март правителството одобри и представи в парламента предложение за изменение на ЗДБРБ за 2020 г. Изменението предвиждаше влошаване на приходите поради внезапно влошаване на макроикономическия сценарий и допълнителни разходи за най-спешните и неотложни мерки за борба и контрол на пандемията COVID-19 в България. Прогнозите очертаха неизпълнение на приходите в годишен план, като най-засегнати бяха основните данъци - ДДС, акцизи, корпоративни данъци, социалноосигурителни вноски и др. Очакваното неизпълнение на разчетите в приходите бе в размер на около 2,4 млрд. лева.</w:t>
      </w:r>
    </w:p>
    <w:p w:rsidR="00B153A2" w:rsidRPr="00342E7E" w:rsidRDefault="00B153A2" w:rsidP="00B153A2">
      <w:pPr>
        <w:spacing w:after="210"/>
        <w:jc w:val="both"/>
        <w:rPr>
          <w:color w:val="000000" w:themeColor="text1"/>
        </w:rPr>
      </w:pPr>
      <w:r w:rsidRPr="00342E7E">
        <w:rPr>
          <w:color w:val="000000" w:themeColor="text1"/>
        </w:rPr>
        <w:t xml:space="preserve">От разходната страна беше включен допълнителен ресурс по бюджета на Фонд „Безработица“ на ДОО за обезпечаване на мярката 60/40 за подпомагане на работната сила и бизнеса. Спешният порядък на предложените промени в разходната част позволи да бъде обезпечен ресурс за </w:t>
      </w:r>
      <w:r w:rsidRPr="00342E7E">
        <w:rPr>
          <w:color w:val="000000" w:themeColor="text1"/>
        </w:rPr>
        <w:lastRenderedPageBreak/>
        <w:t>финансиране на първия най-неотложен пакет социално-икономически мерки и да се мобилизират преките ресурси, свързани със системите на първа линия в борбата с разпространението на пандемията. Мерките, планирани за реализиране чрез разходната част на бюджета и финансови</w:t>
      </w:r>
      <w:r>
        <w:rPr>
          <w:color w:val="000000" w:themeColor="text1"/>
        </w:rPr>
        <w:t>те</w:t>
      </w:r>
      <w:r w:rsidRPr="00342E7E">
        <w:rPr>
          <w:color w:val="000000" w:themeColor="text1"/>
        </w:rPr>
        <w:t xml:space="preserve"> инструменти за финансиране чрез Българската банка за развитие, включително и ефектите от мултиплицирането на инструментите, осигуриха до 4,5 млрд. лв. за социално-икономически мерки. Заедно с това бе направен и анализ на възможностите за пренасочване на ресурс по Оперативните програми и фондовете на ЕС, който да подпомогне и допълни националните политики и мерки за преодоляване на последствията от пандемията. Основната част от мерки</w:t>
      </w:r>
      <w:r>
        <w:rPr>
          <w:color w:val="000000" w:themeColor="text1"/>
        </w:rPr>
        <w:t>те по първия пакет</w:t>
      </w:r>
      <w:r w:rsidRPr="00342E7E">
        <w:rPr>
          <w:color w:val="000000" w:themeColor="text1"/>
        </w:rPr>
        <w:t xml:space="preserve"> бяха разчетени да бъдат финансирани чрез увеличаване на разходите с 1,07 милиарда лева, докато в частта на финансирането бяха предвидени средства за допълнителна капитализация на Българската банка за развитие със 700 милиона лева за предоставяне на финансови инструменти и гаранционни схеми за подпомагане на бизнеса и физическите лица засегнати тежко от кризата. В ЗИД на ЗДБРБ за 2020 г. (ДВ, бр. 34/9.04.2020 г.) бе заложено влошаване на бюджетното салдо до дефицит в размер на 3,5 млрд. лв. (3,0 % от прогнозния БВП).</w:t>
      </w:r>
    </w:p>
    <w:p w:rsidR="00C04F4D" w:rsidRPr="00342E7E" w:rsidRDefault="00C04F4D" w:rsidP="00C04F4D">
      <w:pPr>
        <w:spacing w:after="210"/>
        <w:jc w:val="both"/>
        <w:rPr>
          <w:color w:val="000000" w:themeColor="text1"/>
        </w:rPr>
      </w:pPr>
      <w:r w:rsidRPr="00342E7E">
        <w:rPr>
          <w:color w:val="000000" w:themeColor="text1"/>
        </w:rPr>
        <w:t xml:space="preserve">Въпреки насочените безпрецедентни по размер ресурси, развитието на икономическата среда в хода на кризата очерта необходимост от спешни действия в редица сектори и от допълнителни мерки за подпомагане на най-засегнатите групи от населението. През юли правителството одобри втори пакет социално-икономически мерки, в т.ч.: </w:t>
      </w:r>
    </w:p>
    <w:p w:rsidR="00C04F4D" w:rsidRPr="00342E7E" w:rsidRDefault="00C04F4D" w:rsidP="00C04F4D">
      <w:pPr>
        <w:pStyle w:val="ListParagraph"/>
        <w:numPr>
          <w:ilvl w:val="2"/>
          <w:numId w:val="32"/>
        </w:numPr>
        <w:spacing w:after="210" w:line="240" w:lineRule="auto"/>
        <w:ind w:left="567" w:hanging="283"/>
        <w:rPr>
          <w:rFonts w:ascii="Times New Roman" w:hAnsi="Times New Roman"/>
          <w:color w:val="000000" w:themeColor="text1"/>
          <w:szCs w:val="24"/>
        </w:rPr>
      </w:pPr>
      <w:r w:rsidRPr="00342E7E">
        <w:rPr>
          <w:rFonts w:ascii="Times New Roman" w:hAnsi="Times New Roman"/>
          <w:color w:val="000000" w:themeColor="text1"/>
          <w:szCs w:val="24"/>
        </w:rPr>
        <w:t xml:space="preserve">увеличение с 30 на сто на заплатите на служители, ангажирани с борбата с пандемията и администрации с ниски възнаграждения; </w:t>
      </w:r>
    </w:p>
    <w:p w:rsidR="00C04F4D" w:rsidRPr="00342E7E" w:rsidRDefault="00C04F4D" w:rsidP="00C04F4D">
      <w:pPr>
        <w:pStyle w:val="ListParagraph"/>
        <w:numPr>
          <w:ilvl w:val="2"/>
          <w:numId w:val="32"/>
        </w:numPr>
        <w:spacing w:after="210" w:line="240" w:lineRule="auto"/>
        <w:ind w:left="567" w:hanging="283"/>
        <w:rPr>
          <w:rFonts w:ascii="Times New Roman" w:hAnsi="Times New Roman"/>
          <w:color w:val="000000" w:themeColor="text1"/>
          <w:szCs w:val="24"/>
        </w:rPr>
      </w:pPr>
      <w:r w:rsidRPr="00342E7E">
        <w:rPr>
          <w:rFonts w:ascii="Times New Roman" w:hAnsi="Times New Roman"/>
          <w:color w:val="000000" w:themeColor="text1"/>
          <w:szCs w:val="24"/>
        </w:rPr>
        <w:t xml:space="preserve">изплащане на добавки в размер на 50 лева към пенсиите на всички пенсионери за месеците от август до октомври (в последствие бе решено да бъде продължена до края на 2020 г.); </w:t>
      </w:r>
    </w:p>
    <w:p w:rsidR="00C04F4D" w:rsidRPr="00342E7E" w:rsidRDefault="00C04F4D" w:rsidP="00C04F4D">
      <w:pPr>
        <w:pStyle w:val="ListParagraph"/>
        <w:numPr>
          <w:ilvl w:val="2"/>
          <w:numId w:val="32"/>
        </w:numPr>
        <w:spacing w:after="210" w:line="240" w:lineRule="auto"/>
        <w:ind w:left="567" w:hanging="283"/>
        <w:rPr>
          <w:rFonts w:ascii="Times New Roman" w:hAnsi="Times New Roman"/>
          <w:color w:val="000000" w:themeColor="text1"/>
          <w:szCs w:val="24"/>
        </w:rPr>
      </w:pPr>
      <w:r w:rsidRPr="00342E7E">
        <w:rPr>
          <w:rFonts w:ascii="Times New Roman" w:hAnsi="Times New Roman"/>
          <w:color w:val="000000" w:themeColor="text1"/>
          <w:szCs w:val="24"/>
        </w:rPr>
        <w:t xml:space="preserve">насочване на разходи чрез НЗОК към дейностите, свързани с превенция и лечение на последствията от </w:t>
      </w:r>
      <w:r w:rsidRPr="00342E7E">
        <w:rPr>
          <w:rFonts w:ascii="Times New Roman" w:hAnsi="Times New Roman"/>
          <w:color w:val="000000" w:themeColor="text1"/>
          <w:szCs w:val="24"/>
          <w:lang w:val="en-US"/>
        </w:rPr>
        <w:t>COVID</w:t>
      </w:r>
      <w:r w:rsidRPr="00342E7E">
        <w:rPr>
          <w:rFonts w:ascii="Times New Roman" w:hAnsi="Times New Roman"/>
          <w:color w:val="000000" w:themeColor="text1"/>
          <w:szCs w:val="24"/>
        </w:rPr>
        <w:t xml:space="preserve">-19; </w:t>
      </w:r>
    </w:p>
    <w:p w:rsidR="00C04F4D" w:rsidRPr="00342E7E" w:rsidRDefault="00C04F4D" w:rsidP="00C04F4D">
      <w:pPr>
        <w:pStyle w:val="ListParagraph"/>
        <w:numPr>
          <w:ilvl w:val="2"/>
          <w:numId w:val="32"/>
        </w:numPr>
        <w:spacing w:after="210" w:line="240" w:lineRule="auto"/>
        <w:ind w:left="567" w:hanging="283"/>
        <w:rPr>
          <w:rFonts w:ascii="Times New Roman" w:hAnsi="Times New Roman"/>
          <w:color w:val="000000" w:themeColor="text1"/>
          <w:szCs w:val="24"/>
        </w:rPr>
      </w:pPr>
      <w:r w:rsidRPr="00342E7E">
        <w:rPr>
          <w:rFonts w:ascii="Times New Roman" w:hAnsi="Times New Roman"/>
          <w:color w:val="000000" w:themeColor="text1"/>
          <w:szCs w:val="24"/>
        </w:rPr>
        <w:t xml:space="preserve">мерки за насърчаване на инвестициите, подпомагане на туризма, обезпечаване на дистанционното обучение, подпомагане на общини и други. </w:t>
      </w:r>
    </w:p>
    <w:p w:rsidR="004F5151" w:rsidRPr="007340F5" w:rsidRDefault="004F5151" w:rsidP="004F5151">
      <w:pPr>
        <w:spacing w:after="210"/>
        <w:jc w:val="both"/>
        <w:rPr>
          <w:color w:val="000000" w:themeColor="text1"/>
        </w:rPr>
      </w:pPr>
      <w:r w:rsidRPr="009162A8">
        <w:rPr>
          <w:color w:val="000000" w:themeColor="text1"/>
        </w:rPr>
        <w:t xml:space="preserve">На база на предварителни данни за размера на разходите за 2020 г. по мерките, свързани с усилията за ограничаване и овладяване на пандемията от COVID-19, както и социалните и икономическите мерки за намаляване на последствията за населението и бизнеса може да се обобщи, че по линия на националния бюджет са мобилизирани безпрецедентни по размер ресурси. </w:t>
      </w:r>
      <w:r w:rsidRPr="007340F5">
        <w:rPr>
          <w:color w:val="000000" w:themeColor="text1"/>
        </w:rPr>
        <w:t xml:space="preserve">Предварителните данни за 2020 г. сочат, че след въвеждането на извънредното положение в България и последвалата го извънредна епидемична ситуация са одобрени мерки и фискални стимули за овладяване на пандемията от COVID-19 и последствията от нея, в размер на около 2,9 млрд. лв. (2,4 % от прогнозния БВП). Към този ресурс следва да се добавят и разходите по линия на Оперативните програми и фондовете на ЕС, които бяха пренасочени за финансиране на мерки за борба с пандемията и преодоляване на негативните ефекти върху икономиката. По предварителни данни тези разходи са в размер на около 0,6 млрд. лв. (0,5 % от БВП) за 2020 година. Отделно за обезпечаване на финансовите инструменти, предоставени от Българската банка за развитие бяха предоставени средства под формата на увеличение на капитала на банката в размер на 0,7 млрд. лв. (0,6 % от БВП). </w:t>
      </w:r>
    </w:p>
    <w:p w:rsidR="00C04F4D" w:rsidRPr="007340F5" w:rsidRDefault="00C04F4D" w:rsidP="00C04F4D">
      <w:pPr>
        <w:spacing w:after="210"/>
        <w:jc w:val="both"/>
        <w:rPr>
          <w:color w:val="000000" w:themeColor="text1"/>
        </w:rPr>
      </w:pPr>
      <w:r w:rsidRPr="007340F5">
        <w:rPr>
          <w:color w:val="000000" w:themeColor="text1"/>
        </w:rPr>
        <w:t xml:space="preserve">Важен приоритет, допълващ мерките, свързани с усилията за борба с пандемията и за намаляване на негативните социално-икономически последствия, са инвестициите в публична инфраструктура, които имат за цел, от една страна, да компенсират частично очертаващия се спад при инвестициите в останалите сектори на икономиката, и от друга - целят запазване на работни места. При прогнозираното рязко забавяне на икономиката и потенциално навлизане в рецесия поради негативните ефекти от пандемията в България, повишаването на публичните инвестиции може да окаже положителен ефект върху растежа по канала на разходите за крайното потребление, който допълнително </w:t>
      </w:r>
      <w:r w:rsidR="00EC3DC9" w:rsidRPr="007340F5">
        <w:rPr>
          <w:color w:val="000000" w:themeColor="text1"/>
        </w:rPr>
        <w:t>да</w:t>
      </w:r>
      <w:r w:rsidRPr="007340F5">
        <w:rPr>
          <w:color w:val="000000" w:themeColor="text1"/>
        </w:rPr>
        <w:t xml:space="preserve"> се подсили от мултипликаторите, чрез веригата от изпълнители, доставчици на материали и работници, които са предимно местни за икономиката </w:t>
      </w:r>
      <w:r w:rsidRPr="007340F5">
        <w:rPr>
          <w:color w:val="000000" w:themeColor="text1"/>
        </w:rPr>
        <w:lastRenderedPageBreak/>
        <w:t xml:space="preserve">субекти. В тази връзка правителството пое ясен ангажимент, че в условията на криза няма по никакъв начин да намали планираните разходи за строителство на инфраструктурни проекти. </w:t>
      </w:r>
    </w:p>
    <w:p w:rsidR="00C04F4D" w:rsidRPr="007340F5" w:rsidRDefault="00C04F4D" w:rsidP="00C04F4D">
      <w:pPr>
        <w:spacing w:after="210"/>
        <w:jc w:val="both"/>
        <w:rPr>
          <w:color w:val="000000" w:themeColor="text1"/>
        </w:rPr>
      </w:pPr>
      <w:r w:rsidRPr="007340F5">
        <w:rPr>
          <w:color w:val="000000" w:themeColor="text1"/>
        </w:rPr>
        <w:t>Следвайки тази политика и отчитайки прогнозираното неизпълнение на разчетите в частта на неданъчните приходи по държавния бюджет, правителството изготви и внесе за разглеждане и обсъждане в Народното събрание нови промени в рамката по приходите и разходите към ЗДБРБ за 2020 г. При неданъчните приходи в годишен план се очерта неизпълнение на разчетите в общ размер на около 0,9 млрд. лв., като основната част от него се дължи на изместването за 2021 г. на заплащането на еднократно първоначално концесионно възнаграждение за възлагане на концесия за строителство на обект „Гражданско летище за обществено ползване София“ – публична държавна собственост. Освен това, на база на изготвени разчети бе прогнозирано и неизпълнение на приходите в частта на постъпленията от такси по държавния бюджет, което се дължи на по-ниски от планираните постъпления от ТОЛ такси за годината. Предложена бе и промяна в частта на разходите, с която да бъде осигурен и допълнителен ресурс в размер на 0,8 млрд. лв. за инфраструктурни разходи и ремонт на публична инфраструктура по бюджета на Министерството на регионалното развитие и благоустройството, която има за цел да надгради одобрените вече пакети социално-икономически мерки за преодоляване на последствията от пандемията и да ускори строителството на ключови инфраструктурни обекти и съоръжения. Предложените промени в показателите по приходите и разходите по държавния бюджет за 2020 г. бяха разгледани и одобрени заедно с Актуализираната средносрочна бюджетна прогноза за периода 2021-2023 г. и ЗДБРБ за 2021 г. (ДВ, бр. 104/08.12.2020 г.), с което бюджетната цел за годината бе променена - дефицитът по КФП да не надвиши 4,4 на сто от прогнозния БВП.</w:t>
      </w:r>
    </w:p>
    <w:p w:rsidR="00C04F4D" w:rsidRPr="007340F5" w:rsidRDefault="00C04F4D" w:rsidP="00C04F4D">
      <w:pPr>
        <w:spacing w:before="360"/>
        <w:jc w:val="both"/>
        <w:rPr>
          <w:b/>
          <w:i/>
          <w:color w:val="000000" w:themeColor="text1"/>
          <w:u w:val="single"/>
        </w:rPr>
      </w:pPr>
      <w:r w:rsidRPr="007340F5">
        <w:rPr>
          <w:b/>
          <w:i/>
          <w:color w:val="000000" w:themeColor="text1"/>
          <w:u w:val="single"/>
        </w:rPr>
        <w:t>Бюджетна позиция</w:t>
      </w:r>
    </w:p>
    <w:p w:rsidR="00C04F4D" w:rsidRPr="007340F5" w:rsidRDefault="00C04F4D" w:rsidP="004D11A9">
      <w:pPr>
        <w:spacing w:before="120" w:after="210"/>
        <w:jc w:val="both"/>
        <w:rPr>
          <w:color w:val="000000" w:themeColor="text1"/>
        </w:rPr>
      </w:pPr>
      <w:r w:rsidRPr="007340F5">
        <w:rPr>
          <w:color w:val="000000" w:themeColor="text1"/>
        </w:rPr>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за 2020 г. е отрицателно в размер на 3 531,8 млн. лв. (3,0 % от прогнозния БВП). Спрямо заложената цел с актуализираните разчети към ЗДБРБ за 2020 г. бюджетното салдо по КФП отчита номинално подобрение с 1,7 млрд. лева. Бюджетното салдо по КФП за годината на касова основа съответства на предвидения ограничител във фискалното правило по чл. 27, ал. 4 на ЗПФ.</w:t>
      </w:r>
    </w:p>
    <w:p w:rsidR="00C04F4D" w:rsidRPr="007340F5" w:rsidRDefault="00C04F4D" w:rsidP="00C04F4D">
      <w:pPr>
        <w:spacing w:after="210"/>
        <w:jc w:val="both"/>
        <w:rPr>
          <w:color w:val="000000" w:themeColor="text1"/>
        </w:rPr>
      </w:pPr>
      <w:r w:rsidRPr="007340F5">
        <w:rPr>
          <w:color w:val="000000" w:themeColor="text1"/>
        </w:rPr>
        <w:t>Заложените в ЗДБРБ за 2020 г. ограничители по отношение на държавния дълг са спазени. В номинално изражение държавният дълг за годината възлиза на 27,5 млрд. лв. (23,1% от прогнозния БВП), като индикатор</w:t>
      </w:r>
      <w:r w:rsidR="00AB4A85" w:rsidRPr="007340F5">
        <w:rPr>
          <w:color w:val="000000" w:themeColor="text1"/>
        </w:rPr>
        <w:t>ът</w:t>
      </w:r>
      <w:r w:rsidRPr="007340F5">
        <w:rPr>
          <w:color w:val="000000" w:themeColor="text1"/>
        </w:rPr>
        <w:t xml:space="preserve"> държавен дълг отнесен към БВП е значително под предвидения в националните фискални правила праг от 60 % от БВП.</w:t>
      </w:r>
    </w:p>
    <w:p w:rsidR="00C04F4D" w:rsidRPr="007340F5" w:rsidRDefault="00C04F4D" w:rsidP="00C04F4D">
      <w:pPr>
        <w:spacing w:before="360"/>
        <w:jc w:val="both"/>
        <w:rPr>
          <w:b/>
          <w:color w:val="000000" w:themeColor="text1"/>
          <w:u w:val="single"/>
        </w:rPr>
      </w:pPr>
      <w:r w:rsidRPr="007340F5">
        <w:rPr>
          <w:b/>
          <w:color w:val="000000" w:themeColor="text1"/>
          <w:u w:val="single"/>
        </w:rPr>
        <w:t>Основни акценти във връзка с текущото наблюдение на изпълнението на консолидираната фискална програма за 2020 г.</w:t>
      </w:r>
    </w:p>
    <w:p w:rsidR="00C04F4D" w:rsidRPr="007340F5" w:rsidRDefault="00C04F4D" w:rsidP="004D11A9">
      <w:pPr>
        <w:spacing w:before="120" w:after="210"/>
        <w:jc w:val="both"/>
        <w:rPr>
          <w:color w:val="000000" w:themeColor="text1"/>
        </w:rPr>
      </w:pPr>
      <w:r w:rsidRPr="007340F5">
        <w:rPr>
          <w:color w:val="000000" w:themeColor="text1"/>
        </w:rPr>
        <w:t xml:space="preserve">Вземайки предвид безпрецедентната ситуация, породена от пандемията от COVID-19, в която се намират държавните-членки през 2020 г., Европейската комисия предложи задействане на Общата предпазна клауза от Пакта за стабилност и растеж, която </w:t>
      </w:r>
      <w:r w:rsidR="0008377D" w:rsidRPr="007340F5">
        <w:rPr>
          <w:color w:val="000000" w:themeColor="text1"/>
        </w:rPr>
        <w:t>да</w:t>
      </w:r>
      <w:r w:rsidRPr="007340F5">
        <w:rPr>
          <w:color w:val="000000" w:themeColor="text1"/>
        </w:rPr>
        <w:t xml:space="preserve"> позволи на държавите-членки да предприемат мерки за справяне с разпространението на COVID-19, като се отклонят от фискалните правила, които обикновено се прилагат в рамките на европейската фискална рамка. По този начин бе дадена възможност за гъвкавост на националните правителства да предприемат мерки в условията на извънредно положение, което предполага значително увеличаване на публичните разходи на фона на очаквано неизпълнение на приходите и съответно изисква временно разхлабване. Ситуацията в момента попада в дефиницията за извънредно обстоятелство съгласно чл. 9 от Регламент (ЕО) на Съвета от 7 юли 1997 г.</w:t>
      </w:r>
    </w:p>
    <w:p w:rsidR="00C04F4D" w:rsidRPr="007340F5" w:rsidRDefault="00D45F6F" w:rsidP="00C04F4D">
      <w:pPr>
        <w:spacing w:after="210"/>
        <w:jc w:val="both"/>
        <w:rPr>
          <w:color w:val="000000" w:themeColor="text1"/>
        </w:rPr>
      </w:pPr>
      <w:r w:rsidRPr="007340F5">
        <w:rPr>
          <w:color w:val="000000" w:themeColor="text1"/>
        </w:rPr>
        <w:t xml:space="preserve">Благодарение на фискалното пространство, създадено през годините на възходяща фаза на икономическия цикъл, България се намираше в благоприятна позиция на прага на внезапния шок, породен от пандемията. Придържането към принципа за постигане на неутрално бюджетно салдо в средносрочен хоризонт, залегнал в националните фискални правила, осигури пространство и акумулира буфери, които предоставиха гъвкавост при настъпването на рязкото </w:t>
      </w:r>
      <w:r w:rsidRPr="007340F5">
        <w:rPr>
          <w:color w:val="000000" w:themeColor="text1"/>
        </w:rPr>
        <w:lastRenderedPageBreak/>
        <w:t>влошаване на вътрешната и външната среда, породено от пандемията от COVID-19 през пролетта на 2020 г. Независимо от безпрецедентните по размер фискални стимули, мобилизирани за борба с пандемията, бюджетната позиция през 2020 г. остана на устойчиво равнище, което е важно в контекста на дългосрочната устойчивост на публичните финанси</w:t>
      </w:r>
      <w:r w:rsidR="00C04F4D" w:rsidRPr="007340F5">
        <w:rPr>
          <w:color w:val="000000" w:themeColor="text1"/>
        </w:rPr>
        <w:t xml:space="preserve">.  </w:t>
      </w:r>
    </w:p>
    <w:p w:rsidR="00C04F4D" w:rsidRPr="007340F5" w:rsidRDefault="00C04F4D" w:rsidP="00C04F4D">
      <w:pPr>
        <w:spacing w:after="210"/>
        <w:jc w:val="both"/>
        <w:rPr>
          <w:color w:val="000000" w:themeColor="text1"/>
        </w:rPr>
      </w:pPr>
      <w:r w:rsidRPr="007340F5">
        <w:rPr>
          <w:color w:val="000000" w:themeColor="text1"/>
        </w:rPr>
        <w:t xml:space="preserve">От страна на приходите не се наблюдава драматично свиване при повечето от основните данъци и осигурителни вноски, като общо приходите, помощите и даренията дори нарастват номинално спрямо отчетените за 2019 г. с 0,3 млрд. лв. (0,6 на сто). Изпълнението спрямо заложените параметри с актуализираните разчетите към ЗДБРБ за 2020 г. е 101,9 на сто. Съпоставено с предходната година, данъчните, вкл. осигурителните приходи нарастват номинално с 0,6 млрд. лв. (1,6 %), като приходите от данъци по държавния бюджет нарастват с 0,1 млрд. лв. (0,3 %), а приходите от социални и здравноосигурителни вноски отчитат ръст от почти 0,5 млрд. лв. (4,4 %). Забавяне се отчита основно при приходите от ДДС от внос, акцизи и другите данъци по ЗКПО, докато преките данъци, приходите от ДДС </w:t>
      </w:r>
      <w:r w:rsidR="00707916" w:rsidRPr="007340F5">
        <w:rPr>
          <w:color w:val="000000" w:themeColor="text1"/>
        </w:rPr>
        <w:t>от сделки в страната и вътреобщностни придобивания (ВОП),</w:t>
      </w:r>
      <w:r w:rsidRPr="007340F5">
        <w:rPr>
          <w:color w:val="000000" w:themeColor="text1"/>
        </w:rPr>
        <w:t xml:space="preserve"> приходите от осигурителни вноски са по-слабо засегнати и отчитат номинален ръст спрямо предходната година. След периода на изразен спад при постъпленията в групата на косвените данъци през второто тримесечие последваха месеци на постепенно възстановяване, като в годишен план постъпленията в групата се доближиха до отчетените през 2019 г. В частта на преките данъци</w:t>
      </w:r>
      <w:r w:rsidR="00707916" w:rsidRPr="007340F5">
        <w:rPr>
          <w:color w:val="000000" w:themeColor="text1"/>
        </w:rPr>
        <w:t>,</w:t>
      </w:r>
      <w:r w:rsidRPr="007340F5">
        <w:rPr>
          <w:color w:val="000000" w:themeColor="text1"/>
        </w:rPr>
        <w:t xml:space="preserve"> постъпленията от ДДФЛ бяха по-слабо засегнати от негативните ефекти от пандемията, като те отчитат ръст спрямо 2019 г. Положителен ефект върху постъпленията от тези данъци оказаха редица фактори, в т.ч. увеличението на възнагражденията в бюджетния сектор и сектор образование от началото на 2020 г., изплатените допълнителни възнаграждения на здравните работници и служителите на администрациите на първа линия в борбата с пандемията, приложената веднага след избухването на пандемията мярка за субсидирана заетост придобила популярност като „60/40“, която спомогна голяма част от работодателите да задържат своите служители и работници, и други. Добро е изпълнението и при приходите от осигурителни вноски, за което влияние оказват някои от факторите, отразили се положително и върху постъпленията от ДДФЛ. Приходите от корпоративни данъци също са по-слабо засегнати от кризата и са номинално близки до отчетените за предходната година. </w:t>
      </w:r>
    </w:p>
    <w:p w:rsidR="00C04F4D" w:rsidRPr="007340F5" w:rsidRDefault="00C04F4D" w:rsidP="00C04F4D">
      <w:pPr>
        <w:spacing w:after="210"/>
        <w:jc w:val="both"/>
        <w:rPr>
          <w:color w:val="000000" w:themeColor="text1"/>
        </w:rPr>
      </w:pPr>
      <w:r w:rsidRPr="007340F5">
        <w:rPr>
          <w:color w:val="000000" w:themeColor="text1"/>
        </w:rPr>
        <w:t>Параметрите по разходите са близки до планираните с разчетите към ЗДБРБ за 2020 г., като разходите и вноската на Република България за общия бюджет на ЕС представляват 98,1 % от актуализираните годишни разчети към ЗДБРБ за 20</w:t>
      </w:r>
      <w:r w:rsidR="00B30D39" w:rsidRPr="007340F5">
        <w:rPr>
          <w:color w:val="000000" w:themeColor="text1"/>
        </w:rPr>
        <w:t>20</w:t>
      </w:r>
      <w:r w:rsidRPr="007340F5">
        <w:rPr>
          <w:color w:val="000000" w:themeColor="text1"/>
        </w:rPr>
        <w:t xml:space="preserve"> година. Съпоставено с предходната година се отчита номинален ръст в размер на 2,6 млрд. лв., като това се дължи основно на допълнителните разходи по социално-икономически мерки за минимизиране на ефектите от кризата, в т.ч. плащанията по мярка 60/40, плащанията към заетите на първа линия в борбата с пандемията, вкл. разходите за закупуване на медикаменти и ваксини, изплащането на месечни добавки в размер на 50 лева към пенсиите на всички пенсионери за месеците от август до декември включително, плащанията към бизнеса и земеделските стопани, както и на увеличението на възнагражденията в бюджетния сектор и в сферата на образованието от началото на 2020 г., увеличението на пенсиите от 01 юли 2020 г. и други. Номинално нарастване, съпоставено с предходната година, има при социалните плащания, разходите за персонал, разходите за субсидии и други, където са отчетени основната част от разходите, свързани със социално-икономическите мерки за борба с пандемията. При съпоставката с предходната година следва също така да се отчете базов ефект в 2019 г. от еднократни разходи за реализиране на проект за закупуване на нов тип боен самолет за ВВС. </w:t>
      </w:r>
    </w:p>
    <w:p w:rsidR="00944338" w:rsidRPr="007340F5" w:rsidRDefault="00C04F4D" w:rsidP="007340F5">
      <w:pPr>
        <w:spacing w:after="210"/>
        <w:jc w:val="both"/>
        <w:rPr>
          <w:color w:val="000000" w:themeColor="text1"/>
        </w:rPr>
      </w:pPr>
      <w:r w:rsidRPr="007340F5">
        <w:rPr>
          <w:color w:val="000000" w:themeColor="text1"/>
        </w:rPr>
        <w:t xml:space="preserve">Салдото по КФП за 2020 г. на касова основа е дефицит в размер на 3,0 на сто от прогнозния БВП. В случай, че се елиминира влиянието на разходите, свързани с мерките за борба с </w:t>
      </w:r>
      <w:r w:rsidRPr="007340F5">
        <w:rPr>
          <w:color w:val="000000" w:themeColor="text1"/>
          <w:lang w:val="en-US"/>
        </w:rPr>
        <w:t>COVID</w:t>
      </w:r>
      <w:r w:rsidRPr="007340F5">
        <w:rPr>
          <w:color w:val="000000" w:themeColor="text1"/>
        </w:rPr>
        <w:t>-19 и преодоляване на социално-икономическите последствия от пандемията по линия на националния бюджет и по линия на Оперативните програми и фондовете на ЕС, то бюджетната позиция за годината би била в съответствие с принципа за придържане към балансирано бюджетно салдо.</w:t>
      </w:r>
    </w:p>
    <w:p w:rsidR="00774DE7" w:rsidRPr="004B1466" w:rsidRDefault="00774DE7">
      <w:pPr>
        <w:rPr>
          <w:color w:val="0070C0"/>
        </w:rPr>
      </w:pPr>
      <w:r w:rsidRPr="004B1466">
        <w:rPr>
          <w:color w:val="0070C0"/>
        </w:rPr>
        <w:br w:type="page"/>
      </w:r>
    </w:p>
    <w:p w:rsidR="00D00AB4" w:rsidRPr="005F542B" w:rsidRDefault="00D00AB4" w:rsidP="00D00AB4">
      <w:pPr>
        <w:pStyle w:val="Heading1"/>
        <w:numPr>
          <w:ilvl w:val="0"/>
          <w:numId w:val="10"/>
        </w:numPr>
        <w:ind w:right="-108"/>
        <w:jc w:val="both"/>
        <w:rPr>
          <w:sz w:val="24"/>
        </w:rPr>
      </w:pPr>
      <w:r w:rsidRPr="00E76391">
        <w:rPr>
          <w:sz w:val="24"/>
        </w:rPr>
        <w:lastRenderedPageBreak/>
        <w:t>Основни показатели по консолидираната фискална програма</w:t>
      </w:r>
      <w:r w:rsidRPr="00E76391">
        <w:rPr>
          <w:rStyle w:val="FootnoteReference"/>
          <w:sz w:val="24"/>
        </w:rPr>
        <w:footnoteReference w:id="3"/>
      </w:r>
      <w:r w:rsidRPr="00E76391">
        <w:rPr>
          <w:sz w:val="24"/>
        </w:rPr>
        <w:t xml:space="preserve"> за 20</w:t>
      </w:r>
      <w:r w:rsidRPr="005F542B">
        <w:rPr>
          <w:sz w:val="24"/>
        </w:rPr>
        <w:t>20</w:t>
      </w:r>
      <w:r w:rsidRPr="00E76391">
        <w:rPr>
          <w:sz w:val="24"/>
        </w:rPr>
        <w:t> г.</w:t>
      </w:r>
    </w:p>
    <w:p w:rsidR="00E76391" w:rsidRPr="005F542B" w:rsidRDefault="00E76391" w:rsidP="00E76391"/>
    <w:p w:rsidR="008262CB" w:rsidRPr="00093F9B" w:rsidRDefault="008262CB" w:rsidP="008262CB">
      <w:pPr>
        <w:pStyle w:val="BodyText"/>
        <w:rPr>
          <w:bCs/>
        </w:rPr>
      </w:pPr>
      <w:r w:rsidRPr="00093F9B">
        <w:rPr>
          <w:b/>
        </w:rPr>
        <w:t>Постъпилите приходи, помощи и дарения по</w:t>
      </w:r>
      <w:r w:rsidRPr="00093F9B">
        <w:t xml:space="preserve"> </w:t>
      </w:r>
      <w:r w:rsidRPr="00093F9B">
        <w:rPr>
          <w:b/>
        </w:rPr>
        <w:t>КФП за 20</w:t>
      </w:r>
      <w:r w:rsidR="005313B1">
        <w:rPr>
          <w:b/>
        </w:rPr>
        <w:t>20</w:t>
      </w:r>
      <w:r w:rsidRPr="00093F9B">
        <w:rPr>
          <w:b/>
        </w:rPr>
        <w:t xml:space="preserve"> г. </w:t>
      </w:r>
      <w:r w:rsidRPr="00093F9B">
        <w:t xml:space="preserve">представляват </w:t>
      </w:r>
      <w:r w:rsidRPr="001033E1">
        <w:rPr>
          <w:b/>
        </w:rPr>
        <w:t>37</w:t>
      </w:r>
      <w:r w:rsidRPr="00093F9B">
        <w:rPr>
          <w:b/>
        </w:rPr>
        <w:t>,</w:t>
      </w:r>
      <w:r w:rsidRPr="001033E1">
        <w:rPr>
          <w:b/>
        </w:rPr>
        <w:t>2</w:t>
      </w:r>
      <w:r w:rsidRPr="00093F9B">
        <w:rPr>
          <w:b/>
        </w:rPr>
        <w:t xml:space="preserve"> % от прогнозния БВП. </w:t>
      </w:r>
      <w:r w:rsidRPr="00093F9B">
        <w:t>За сравнение</w:t>
      </w:r>
      <w:r w:rsidRPr="00093F9B">
        <w:rPr>
          <w:b/>
        </w:rPr>
        <w:t xml:space="preserve">  </w:t>
      </w:r>
      <w:r w:rsidRPr="00093F9B">
        <w:t>през предходната година приходите и помощите</w:t>
      </w:r>
      <w:r w:rsidRPr="00093F9B">
        <w:rPr>
          <w:b/>
        </w:rPr>
        <w:t xml:space="preserve"> </w:t>
      </w:r>
      <w:r w:rsidRPr="00093F9B">
        <w:t xml:space="preserve">са </w:t>
      </w:r>
      <w:r w:rsidRPr="00093F9B">
        <w:rPr>
          <w:b/>
        </w:rPr>
        <w:t xml:space="preserve">36,8 % от БВП. </w:t>
      </w:r>
      <w:r w:rsidRPr="003D59EE">
        <w:t>Като</w:t>
      </w:r>
      <w:r w:rsidRPr="00093F9B">
        <w:rPr>
          <w:b/>
        </w:rPr>
        <w:t xml:space="preserve"> </w:t>
      </w:r>
      <w:r w:rsidRPr="00093F9B">
        <w:t xml:space="preserve">относителният дял в БВП, сравнено с 2019 г., се отчита намаление при косвените данъци </w:t>
      </w:r>
      <w:r w:rsidRPr="001033E1">
        <w:t xml:space="preserve">(намаление с 0,1 пр. п.) </w:t>
      </w:r>
      <w:r w:rsidRPr="00093F9B">
        <w:t xml:space="preserve">и при неданъчните приходи и помощи </w:t>
      </w:r>
      <w:r w:rsidRPr="001033E1">
        <w:t xml:space="preserve">(намаление с </w:t>
      </w:r>
      <w:r w:rsidRPr="00093F9B">
        <w:t xml:space="preserve">0,2 </w:t>
      </w:r>
      <w:r w:rsidRPr="001033E1">
        <w:t>пр. п.)</w:t>
      </w:r>
      <w:r w:rsidRPr="00093F9B">
        <w:t>. При другите елементи на приходите като относителен дял в БВП, съпоставено с предходната година, се отчита ръст.</w:t>
      </w:r>
    </w:p>
    <w:tbl>
      <w:tblPr>
        <w:tblW w:w="10357" w:type="dxa"/>
        <w:tblLook w:val="04A0" w:firstRow="1" w:lastRow="0" w:firstColumn="1" w:lastColumn="0" w:noHBand="0" w:noVBand="1"/>
      </w:tblPr>
      <w:tblGrid>
        <w:gridCol w:w="10357"/>
      </w:tblGrid>
      <w:tr w:rsidR="008262CB" w:rsidRPr="00E76391" w:rsidTr="00925CA5">
        <w:tc>
          <w:tcPr>
            <w:tcW w:w="10357" w:type="dxa"/>
            <w:shd w:val="clear" w:color="auto" w:fill="auto"/>
          </w:tcPr>
          <w:p w:rsidR="008262CB" w:rsidRPr="00E76391" w:rsidRDefault="002F0B31" w:rsidP="00925CA5">
            <w:pPr>
              <w:jc w:val="both"/>
              <w:rPr>
                <w:color w:val="0070C0"/>
                <w:sz w:val="4"/>
                <w:szCs w:val="4"/>
              </w:rPr>
            </w:pPr>
            <w:r>
              <w:rPr>
                <w:bCs/>
                <w:noProof/>
                <w:color w:val="0070C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pt;margin-top:7.15pt;width:474.35pt;height:184.4pt;z-index:251658240">
                  <v:imagedata r:id="rId9" o:title=""/>
                  <w10:wrap type="square" side="right"/>
                </v:shape>
                <o:OLEObject Type="Embed" ProgID="MSGraph.Chart.8" ShapeID="_x0000_s1027" DrawAspect="Content" ObjectID="_1674043973" r:id="rId10">
                  <o:FieldCodes>\s</o:FieldCodes>
                </o:OLEObject>
              </w:pict>
            </w:r>
          </w:p>
        </w:tc>
      </w:tr>
    </w:tbl>
    <w:p w:rsidR="008262CB" w:rsidRPr="001033E1" w:rsidRDefault="008262CB" w:rsidP="008262CB">
      <w:pPr>
        <w:ind w:left="360"/>
        <w:jc w:val="both"/>
        <w:rPr>
          <w:sz w:val="18"/>
          <w:szCs w:val="18"/>
        </w:rPr>
      </w:pPr>
      <w:r w:rsidRPr="001542F4">
        <w:rPr>
          <w:sz w:val="18"/>
          <w:szCs w:val="18"/>
        </w:rPr>
        <w:t>*В частта на преките данъци са включени и други данъци</w:t>
      </w:r>
    </w:p>
    <w:p w:rsidR="008262CB" w:rsidRPr="00E0476D" w:rsidRDefault="008262CB" w:rsidP="008262CB">
      <w:pPr>
        <w:jc w:val="both"/>
        <w:rPr>
          <w:b/>
          <w:sz w:val="16"/>
          <w:highlight w:val="yellow"/>
        </w:rPr>
      </w:pPr>
    </w:p>
    <w:p w:rsidR="008262CB" w:rsidRPr="00D46C86" w:rsidRDefault="008262CB" w:rsidP="008262CB">
      <w:pPr>
        <w:jc w:val="both"/>
      </w:pPr>
      <w:r w:rsidRPr="0015656C">
        <w:rPr>
          <w:b/>
        </w:rPr>
        <w:t>Разходите по КФП за 20</w:t>
      </w:r>
      <w:r w:rsidRPr="001033E1">
        <w:rPr>
          <w:b/>
        </w:rPr>
        <w:t>20</w:t>
      </w:r>
      <w:r w:rsidRPr="0015656C">
        <w:rPr>
          <w:b/>
        </w:rPr>
        <w:t xml:space="preserve"> г. </w:t>
      </w:r>
      <w:r w:rsidRPr="0015656C">
        <w:t>(включително вноската на Република България в общия бюджет на ЕС)</w:t>
      </w:r>
      <w:r w:rsidRPr="0015656C">
        <w:rPr>
          <w:b/>
        </w:rPr>
        <w:t xml:space="preserve"> </w:t>
      </w:r>
      <w:r w:rsidRPr="0015656C">
        <w:t xml:space="preserve">представляват </w:t>
      </w:r>
      <w:r w:rsidRPr="001033E1">
        <w:rPr>
          <w:b/>
        </w:rPr>
        <w:t>40</w:t>
      </w:r>
      <w:r w:rsidRPr="0015656C">
        <w:rPr>
          <w:b/>
        </w:rPr>
        <w:t xml:space="preserve">,2 % от прогнозния БВП </w:t>
      </w:r>
      <w:r w:rsidRPr="0015656C">
        <w:t xml:space="preserve">и отбелязват увеличение с </w:t>
      </w:r>
      <w:r w:rsidRPr="001033E1">
        <w:t>2</w:t>
      </w:r>
      <w:r w:rsidRPr="0015656C">
        <w:t xml:space="preserve">,5 пр. п. спрямо </w:t>
      </w:r>
      <w:r w:rsidRPr="00F044E2">
        <w:t>отчетените за 2019 г. (37,7 % от БВП). Относителният дял в БВП на капиталовите разходи намалява с 2,0 пр. п</w:t>
      </w:r>
      <w:r w:rsidRPr="00A45E12">
        <w:t xml:space="preserve">., сравнено с 2019 г. </w:t>
      </w:r>
      <w:r w:rsidRPr="00A45E12">
        <w:rPr>
          <w:rFonts w:eastAsia="Calibri"/>
        </w:rPr>
        <w:t>При</w:t>
      </w:r>
      <w:r w:rsidRPr="006E20ED">
        <w:rPr>
          <w:rFonts w:eastAsia="Calibri"/>
        </w:rPr>
        <w:t xml:space="preserve"> съпоставката на капиталовите разходи с предходната година сле</w:t>
      </w:r>
      <w:r>
        <w:rPr>
          <w:rFonts w:eastAsia="Calibri"/>
        </w:rPr>
        <w:t xml:space="preserve">два да се има предвид, че през </w:t>
      </w:r>
      <w:r w:rsidRPr="006E20ED">
        <w:rPr>
          <w:rFonts w:eastAsia="Calibri"/>
        </w:rPr>
        <w:t xml:space="preserve">2019 г. </w:t>
      </w:r>
      <w:r>
        <w:rPr>
          <w:rFonts w:eastAsia="Calibri"/>
        </w:rPr>
        <w:t>са извършени</w:t>
      </w:r>
      <w:r w:rsidRPr="006E20ED">
        <w:rPr>
          <w:rFonts w:eastAsia="Calibri"/>
        </w:rPr>
        <w:t xml:space="preserve"> разходи по реализирането на проекта за придобиване на нов тип боен самолет за българските ВВС, които </w:t>
      </w:r>
      <w:r w:rsidRPr="00D46C86">
        <w:rPr>
          <w:rFonts w:eastAsia="Calibri"/>
        </w:rPr>
        <w:t xml:space="preserve">са с еднократен характер. </w:t>
      </w:r>
      <w:r w:rsidRPr="00D46C86">
        <w:t>Разходите за лихви, като относителен дял в БВП, са с еднакви стойности</w:t>
      </w:r>
      <w:r w:rsidR="00F61816">
        <w:t xml:space="preserve"> през 2019 и 2020 г.</w:t>
      </w:r>
      <w:r w:rsidRPr="00D46C86">
        <w:t xml:space="preserve">, а при останалите разходи има нарастване в сравнение с отчетените </w:t>
      </w:r>
      <w:r w:rsidR="00F61816">
        <w:t>в предходната година</w:t>
      </w:r>
      <w:r w:rsidRPr="00D46C86">
        <w:t xml:space="preserve">. </w:t>
      </w:r>
    </w:p>
    <w:p w:rsidR="008262CB" w:rsidRDefault="008262CB" w:rsidP="008262CB">
      <w:pPr>
        <w:jc w:val="both"/>
        <w:rPr>
          <w:color w:val="0070C0"/>
        </w:rPr>
      </w:pPr>
    </w:p>
    <w:p w:rsidR="008262CB" w:rsidRDefault="008262CB" w:rsidP="008262CB">
      <w:pPr>
        <w:jc w:val="both"/>
        <w:rPr>
          <w:color w:val="0070C0"/>
        </w:rPr>
      </w:pPr>
      <w:r>
        <w:rPr>
          <w:noProof/>
          <w:lang w:eastAsia="bg-BG"/>
        </w:rPr>
        <w:drawing>
          <wp:inline distT="0" distB="0" distL="0" distR="0" wp14:anchorId="0B073DBA" wp14:editId="2FD7AC51">
            <wp:extent cx="6027420" cy="28117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62CB" w:rsidRPr="00734F21" w:rsidRDefault="008262CB" w:rsidP="008262CB">
      <w:pPr>
        <w:ind w:firstLine="142"/>
        <w:jc w:val="both"/>
        <w:rPr>
          <w:color w:val="0070C0"/>
          <w:sz w:val="6"/>
          <w:szCs w:val="8"/>
        </w:rPr>
      </w:pPr>
      <w:bookmarkStart w:id="0" w:name="_MON_1608125583"/>
      <w:bookmarkStart w:id="1" w:name="_MON_1608125674"/>
      <w:bookmarkStart w:id="2" w:name="_MON_1608126274"/>
      <w:bookmarkStart w:id="3" w:name="_MON_1608124882"/>
      <w:bookmarkStart w:id="4" w:name="_MON_1608126650"/>
      <w:bookmarkStart w:id="5" w:name="_MON_1608126890"/>
      <w:bookmarkStart w:id="6" w:name="_MON_1608126952"/>
      <w:bookmarkStart w:id="7" w:name="_MON_1608127244"/>
      <w:bookmarkStart w:id="8" w:name="_MON_1608124980"/>
      <w:bookmarkStart w:id="9" w:name="_MON_1608125062"/>
      <w:bookmarkStart w:id="10" w:name="_MON_1608125088"/>
      <w:bookmarkStart w:id="11" w:name="_MON_1608125406"/>
      <w:bookmarkStart w:id="12" w:name="_MON_1609599545"/>
      <w:bookmarkStart w:id="13" w:name="_MON_1609599605"/>
      <w:bookmarkStart w:id="14" w:name="_MON_1608125426"/>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262CB" w:rsidRPr="00734F21" w:rsidRDefault="008262CB" w:rsidP="008262CB">
      <w:pPr>
        <w:ind w:left="360"/>
        <w:jc w:val="both"/>
        <w:rPr>
          <w:sz w:val="16"/>
          <w:szCs w:val="16"/>
        </w:rPr>
      </w:pPr>
      <w:r w:rsidRPr="001033E1">
        <w:rPr>
          <w:sz w:val="18"/>
          <w:szCs w:val="16"/>
        </w:rPr>
        <w:t>*</w:t>
      </w:r>
      <w:r w:rsidRPr="001033E1">
        <w:rPr>
          <w:sz w:val="16"/>
          <w:szCs w:val="16"/>
        </w:rPr>
        <w:t xml:space="preserve"> </w:t>
      </w:r>
      <w:r w:rsidRPr="00734F21">
        <w:rPr>
          <w:sz w:val="18"/>
          <w:szCs w:val="16"/>
        </w:rPr>
        <w:t>Вкл. нетния прираст на държавния резерв</w:t>
      </w:r>
    </w:p>
    <w:p w:rsidR="008262CB" w:rsidRPr="001033E1" w:rsidRDefault="008262CB" w:rsidP="008262CB"/>
    <w:p w:rsidR="008262CB" w:rsidRPr="004B1466" w:rsidRDefault="008262CB" w:rsidP="008262CB">
      <w:pPr>
        <w:rPr>
          <w:color w:val="0070C0"/>
          <w:sz w:val="6"/>
          <w:szCs w:val="12"/>
        </w:rPr>
      </w:pPr>
    </w:p>
    <w:p w:rsidR="008262CB" w:rsidRPr="009D5F8F" w:rsidRDefault="008262CB" w:rsidP="008262CB">
      <w:pPr>
        <w:jc w:val="both"/>
      </w:pPr>
      <w:r w:rsidRPr="009D5F8F">
        <w:t>Изпълнението на основните показатели по консолидираната фискална програма за 20</w:t>
      </w:r>
      <w:r w:rsidRPr="001033E1">
        <w:t>20</w:t>
      </w:r>
      <w:r w:rsidRPr="009D5F8F">
        <w:t xml:space="preserve"> г. е представено в следната таблица:</w:t>
      </w:r>
    </w:p>
    <w:p w:rsidR="008262CB" w:rsidRPr="004B1466" w:rsidRDefault="008262CB" w:rsidP="008262CB">
      <w:pPr>
        <w:jc w:val="both"/>
        <w:rPr>
          <w:color w:val="0070C0"/>
          <w:sz w:val="4"/>
          <w:szCs w:val="4"/>
        </w:rPr>
      </w:pPr>
    </w:p>
    <w:p w:rsidR="008262CB" w:rsidRPr="003A638B" w:rsidRDefault="008262CB" w:rsidP="008262CB">
      <w:pPr>
        <w:spacing w:before="120"/>
        <w:rPr>
          <w:b/>
          <w:i/>
          <w:sz w:val="18"/>
          <w:szCs w:val="18"/>
        </w:rPr>
      </w:pPr>
      <w:r w:rsidRPr="003A638B">
        <w:rPr>
          <w:b/>
          <w:i/>
          <w:sz w:val="22"/>
          <w:szCs w:val="22"/>
        </w:rPr>
        <w:t>Таблица</w:t>
      </w:r>
      <w:r w:rsidRPr="003A638B">
        <w:rPr>
          <w:b/>
          <w:i/>
          <w:sz w:val="22"/>
          <w:szCs w:val="22"/>
          <w:vertAlign w:val="superscript"/>
        </w:rPr>
        <w:footnoteReference w:id="4"/>
      </w:r>
      <w:r w:rsidRPr="003A638B">
        <w:rPr>
          <w:b/>
          <w:i/>
          <w:sz w:val="22"/>
          <w:szCs w:val="22"/>
        </w:rPr>
        <w:t xml:space="preserve"> №1</w:t>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22"/>
          <w:szCs w:val="22"/>
        </w:rPr>
        <w:tab/>
      </w:r>
      <w:r w:rsidRPr="003A638B">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8262CB" w:rsidRPr="004B1466" w:rsidTr="00925CA5">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Разчет 20</w:t>
            </w:r>
            <w:r w:rsidRPr="003A638B">
              <w:rPr>
                <w:b/>
                <w:bCs/>
                <w:sz w:val="18"/>
                <w:szCs w:val="18"/>
                <w:lang w:val="en-US"/>
              </w:rPr>
              <w:t>20</w:t>
            </w:r>
            <w:r w:rsidRPr="003A638B">
              <w:rPr>
                <w:b/>
                <w:bCs/>
                <w:sz w:val="18"/>
                <w:szCs w:val="18"/>
              </w:rPr>
              <w:t xml:space="preserve"> г.</w:t>
            </w:r>
            <w:r w:rsidRPr="003A638B">
              <w:rPr>
                <w:rStyle w:val="FootnoteReference"/>
                <w:b/>
                <w:bCs/>
                <w:sz w:val="18"/>
                <w:szCs w:val="18"/>
              </w:rPr>
              <w:footnoteReference w:id="5"/>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8262CB" w:rsidRPr="003A638B" w:rsidRDefault="008262CB" w:rsidP="00925CA5">
            <w:pPr>
              <w:jc w:val="center"/>
              <w:rPr>
                <w:b/>
                <w:bCs/>
                <w:sz w:val="18"/>
                <w:szCs w:val="18"/>
              </w:rPr>
            </w:pPr>
            <w:r w:rsidRPr="003A638B">
              <w:rPr>
                <w:b/>
                <w:bCs/>
                <w:sz w:val="18"/>
                <w:szCs w:val="18"/>
              </w:rPr>
              <w:t>Отчет за 20</w:t>
            </w:r>
            <w:r w:rsidRPr="003A638B">
              <w:rPr>
                <w:b/>
                <w:bCs/>
                <w:sz w:val="18"/>
                <w:szCs w:val="18"/>
                <w:lang w:val="en-US"/>
              </w:rPr>
              <w:t>20</w:t>
            </w:r>
            <w:r w:rsidRPr="003A638B">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Изпълнение</w:t>
            </w:r>
          </w:p>
        </w:tc>
      </w:tr>
      <w:tr w:rsidR="008262CB" w:rsidRPr="004B1466" w:rsidTr="00925CA5">
        <w:trPr>
          <w:trHeight w:val="255"/>
        </w:trPr>
        <w:tc>
          <w:tcPr>
            <w:tcW w:w="4263" w:type="dxa"/>
            <w:vMerge/>
            <w:tcBorders>
              <w:top w:val="single" w:sz="8" w:space="0" w:color="auto"/>
              <w:left w:val="single" w:sz="8" w:space="0" w:color="auto"/>
              <w:bottom w:val="single" w:sz="4" w:space="0" w:color="000000"/>
              <w:right w:val="nil"/>
            </w:tcBorders>
            <w:vAlign w:val="center"/>
            <w:hideMark/>
          </w:tcPr>
          <w:p w:rsidR="008262CB" w:rsidRPr="003A638B" w:rsidRDefault="008262CB" w:rsidP="00925CA5">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8262CB" w:rsidRPr="003A638B" w:rsidRDefault="008262CB" w:rsidP="00925CA5">
            <w:pPr>
              <w:jc w:val="center"/>
              <w:rPr>
                <w:b/>
                <w:bCs/>
                <w:sz w:val="18"/>
                <w:szCs w:val="18"/>
              </w:rPr>
            </w:pPr>
            <w:r w:rsidRPr="003A638B">
              <w:rPr>
                <w:b/>
                <w:bCs/>
                <w:sz w:val="18"/>
                <w:szCs w:val="18"/>
              </w:rPr>
              <w:t>спрямо разчет</w:t>
            </w:r>
          </w:p>
        </w:tc>
      </w:tr>
      <w:tr w:rsidR="008262CB" w:rsidRPr="004B1466" w:rsidTr="00925CA5">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8262CB" w:rsidRPr="003A638B" w:rsidRDefault="008262CB" w:rsidP="00925CA5">
            <w:pPr>
              <w:jc w:val="center"/>
              <w:rPr>
                <w:sz w:val="18"/>
                <w:szCs w:val="18"/>
              </w:rPr>
            </w:pPr>
            <w:r w:rsidRPr="003A638B">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8262CB" w:rsidRPr="003A638B" w:rsidRDefault="008262CB" w:rsidP="00925CA5">
            <w:pPr>
              <w:jc w:val="center"/>
              <w:rPr>
                <w:sz w:val="18"/>
                <w:szCs w:val="18"/>
              </w:rPr>
            </w:pPr>
            <w:r w:rsidRPr="003A638B">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8262CB" w:rsidRPr="003A638B" w:rsidRDefault="008262CB" w:rsidP="00925CA5">
            <w:pPr>
              <w:jc w:val="center"/>
              <w:rPr>
                <w:sz w:val="18"/>
                <w:szCs w:val="18"/>
              </w:rPr>
            </w:pPr>
            <w:r w:rsidRPr="003A638B">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8262CB" w:rsidRPr="003A638B" w:rsidRDefault="008262CB" w:rsidP="00925CA5">
            <w:pPr>
              <w:jc w:val="center"/>
              <w:rPr>
                <w:sz w:val="18"/>
                <w:szCs w:val="18"/>
              </w:rPr>
            </w:pPr>
            <w:r w:rsidRPr="003A638B">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8262CB" w:rsidRPr="003A638B" w:rsidRDefault="008262CB" w:rsidP="00925CA5">
            <w:pPr>
              <w:jc w:val="center"/>
              <w:rPr>
                <w:sz w:val="18"/>
                <w:szCs w:val="18"/>
              </w:rPr>
            </w:pPr>
            <w:r w:rsidRPr="003A638B">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8262CB" w:rsidRPr="003A638B" w:rsidRDefault="008262CB" w:rsidP="00925CA5">
            <w:pPr>
              <w:jc w:val="center"/>
              <w:rPr>
                <w:sz w:val="18"/>
                <w:szCs w:val="18"/>
              </w:rPr>
            </w:pPr>
            <w:r w:rsidRPr="003A638B">
              <w:rPr>
                <w:sz w:val="18"/>
                <w:szCs w:val="18"/>
              </w:rPr>
              <w:t>к.6=к.3:к.2</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b/>
                <w:bCs/>
                <w:sz w:val="18"/>
                <w:szCs w:val="18"/>
              </w:rPr>
            </w:pPr>
            <w:r w:rsidRPr="003A638B">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43 497,7</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44 308,8</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41 719,2</w:t>
            </w:r>
          </w:p>
        </w:tc>
        <w:tc>
          <w:tcPr>
            <w:tcW w:w="1199" w:type="dxa"/>
            <w:tcBorders>
              <w:top w:val="nil"/>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2 589,6</w:t>
            </w: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b/>
                <w:bCs/>
                <w:sz w:val="18"/>
                <w:szCs w:val="18"/>
              </w:rPr>
            </w:pPr>
            <w:r>
              <w:rPr>
                <w:b/>
                <w:bCs/>
                <w:sz w:val="18"/>
                <w:szCs w:val="18"/>
              </w:rPr>
              <w:t>101,9%</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34 915,9</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35 848,4</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35 848,4</w:t>
            </w:r>
          </w:p>
        </w:tc>
        <w:tc>
          <w:tcPr>
            <w:tcW w:w="1199" w:type="dxa"/>
            <w:tcBorders>
              <w:top w:val="nil"/>
              <w:left w:val="nil"/>
              <w:bottom w:val="nil"/>
              <w:right w:val="nil"/>
            </w:tcBorders>
            <w:shd w:val="clear" w:color="auto" w:fill="auto"/>
            <w:noWrap/>
            <w:vAlign w:val="bottom"/>
            <w:hideMark/>
          </w:tcPr>
          <w:p w:rsidR="008262CB" w:rsidRDefault="008262CB" w:rsidP="00925CA5">
            <w:pPr>
              <w:rPr>
                <w:color w:val="0070C0"/>
                <w:sz w:val="18"/>
                <w:szCs w:val="18"/>
              </w:rPr>
            </w:pP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102,7%</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5 887,7</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5 764,4</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5 756,7</w:t>
            </w:r>
          </w:p>
        </w:tc>
        <w:tc>
          <w:tcPr>
            <w:tcW w:w="1199"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7,7</w:t>
            </w: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97,9%</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2 694,2</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2 696,0</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114,1</w:t>
            </w:r>
          </w:p>
        </w:tc>
        <w:tc>
          <w:tcPr>
            <w:tcW w:w="1199" w:type="dxa"/>
            <w:tcBorders>
              <w:top w:val="nil"/>
              <w:left w:val="nil"/>
              <w:bottom w:val="single" w:sz="4" w:space="0" w:color="auto"/>
              <w:right w:val="nil"/>
            </w:tcBorders>
            <w:shd w:val="clear" w:color="auto" w:fill="auto"/>
            <w:noWrap/>
            <w:vAlign w:val="bottom"/>
            <w:hideMark/>
          </w:tcPr>
          <w:p w:rsidR="008262CB" w:rsidRDefault="008262CB" w:rsidP="00925CA5">
            <w:pPr>
              <w:jc w:val="right"/>
              <w:rPr>
                <w:sz w:val="18"/>
                <w:szCs w:val="18"/>
              </w:rPr>
            </w:pPr>
            <w:r>
              <w:rPr>
                <w:sz w:val="18"/>
                <w:szCs w:val="18"/>
              </w:rPr>
              <w:t>2581,9</w:t>
            </w: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100,1%</w:t>
            </w:r>
          </w:p>
        </w:tc>
      </w:tr>
      <w:tr w:rsidR="008262CB" w:rsidRPr="004B1466" w:rsidTr="00925CA5">
        <w:trPr>
          <w:trHeight w:val="480"/>
        </w:trPr>
        <w:tc>
          <w:tcPr>
            <w:tcW w:w="4263" w:type="dxa"/>
            <w:tcBorders>
              <w:top w:val="single" w:sz="4" w:space="0" w:color="auto"/>
              <w:left w:val="single" w:sz="8" w:space="0" w:color="auto"/>
              <w:bottom w:val="nil"/>
              <w:right w:val="nil"/>
            </w:tcBorders>
            <w:shd w:val="clear" w:color="auto" w:fill="auto"/>
            <w:vAlign w:val="bottom"/>
            <w:hideMark/>
          </w:tcPr>
          <w:p w:rsidR="008262CB" w:rsidRPr="003A638B" w:rsidRDefault="008262CB" w:rsidP="00925CA5">
            <w:pPr>
              <w:rPr>
                <w:b/>
                <w:bCs/>
                <w:sz w:val="18"/>
                <w:szCs w:val="18"/>
              </w:rPr>
            </w:pPr>
            <w:r w:rsidRPr="003A638B">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48 747,3</w:t>
            </w:r>
          </w:p>
        </w:tc>
        <w:tc>
          <w:tcPr>
            <w:tcW w:w="1087" w:type="dxa"/>
            <w:tcBorders>
              <w:top w:val="single" w:sz="4" w:space="0" w:color="auto"/>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47 840,4</w:t>
            </w:r>
          </w:p>
        </w:tc>
        <w:tc>
          <w:tcPr>
            <w:tcW w:w="1252" w:type="dxa"/>
            <w:tcBorders>
              <w:top w:val="single" w:sz="4" w:space="0" w:color="auto"/>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44 352,0</w:t>
            </w:r>
          </w:p>
        </w:tc>
        <w:tc>
          <w:tcPr>
            <w:tcW w:w="1199" w:type="dxa"/>
            <w:tcBorders>
              <w:top w:val="nil"/>
              <w:left w:val="nil"/>
              <w:bottom w:val="nil"/>
              <w:right w:val="nil"/>
            </w:tcBorders>
            <w:shd w:val="clear" w:color="auto" w:fill="auto"/>
            <w:noWrap/>
            <w:vAlign w:val="bottom"/>
            <w:hideMark/>
          </w:tcPr>
          <w:p w:rsidR="008262CB" w:rsidRDefault="008262CB" w:rsidP="00925CA5">
            <w:pPr>
              <w:jc w:val="right"/>
              <w:rPr>
                <w:b/>
                <w:bCs/>
                <w:sz w:val="18"/>
                <w:szCs w:val="18"/>
              </w:rPr>
            </w:pPr>
            <w:r>
              <w:rPr>
                <w:b/>
                <w:bCs/>
                <w:sz w:val="18"/>
                <w:szCs w:val="18"/>
              </w:rPr>
              <w:t>3 488,4</w:t>
            </w:r>
          </w:p>
        </w:tc>
        <w:tc>
          <w:tcPr>
            <w:tcW w:w="1300" w:type="dxa"/>
            <w:tcBorders>
              <w:top w:val="single" w:sz="4" w:space="0" w:color="auto"/>
              <w:left w:val="nil"/>
              <w:bottom w:val="nil"/>
              <w:right w:val="single" w:sz="8" w:space="0" w:color="auto"/>
            </w:tcBorders>
            <w:shd w:val="clear" w:color="auto" w:fill="auto"/>
            <w:noWrap/>
            <w:vAlign w:val="bottom"/>
            <w:hideMark/>
          </w:tcPr>
          <w:p w:rsidR="008262CB" w:rsidRDefault="008262CB" w:rsidP="00925CA5">
            <w:pPr>
              <w:jc w:val="right"/>
              <w:rPr>
                <w:b/>
                <w:bCs/>
                <w:sz w:val="18"/>
                <w:szCs w:val="18"/>
              </w:rPr>
            </w:pPr>
            <w:r>
              <w:rPr>
                <w:b/>
                <w:bCs/>
                <w:sz w:val="18"/>
                <w:szCs w:val="18"/>
              </w:rPr>
              <w:t>98,1%</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46 404,6</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45 921,1</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42 432,7</w:t>
            </w:r>
          </w:p>
        </w:tc>
        <w:tc>
          <w:tcPr>
            <w:tcW w:w="1199"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3 488,4</w:t>
            </w: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99,0%</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39 444,2</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40 781,1</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39 403,0</w:t>
            </w:r>
          </w:p>
        </w:tc>
        <w:tc>
          <w:tcPr>
            <w:tcW w:w="1199"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1 378,1</w:t>
            </w: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103,4%</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tcPr>
          <w:p w:rsidR="008262CB" w:rsidRPr="003A638B" w:rsidRDefault="008262CB" w:rsidP="00925CA5">
            <w:pPr>
              <w:rPr>
                <w:sz w:val="18"/>
                <w:szCs w:val="18"/>
              </w:rPr>
            </w:pPr>
            <w:r w:rsidRPr="001033E1">
              <w:rPr>
                <w:sz w:val="18"/>
                <w:szCs w:val="18"/>
              </w:rPr>
              <w:t xml:space="preserve">    </w:t>
            </w:r>
            <w:r w:rsidRPr="003A638B">
              <w:rPr>
                <w:sz w:val="18"/>
                <w:szCs w:val="18"/>
              </w:rPr>
              <w:t>Предоставени тек. и капит. трансфери за чужбина</w:t>
            </w:r>
          </w:p>
        </w:tc>
        <w:tc>
          <w:tcPr>
            <w:tcW w:w="992"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29,5</w:t>
            </w:r>
          </w:p>
        </w:tc>
        <w:tc>
          <w:tcPr>
            <w:tcW w:w="1087"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59,4</w:t>
            </w:r>
          </w:p>
        </w:tc>
        <w:tc>
          <w:tcPr>
            <w:tcW w:w="1252"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37,5</w:t>
            </w:r>
          </w:p>
        </w:tc>
        <w:tc>
          <w:tcPr>
            <w:tcW w:w="119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21,9</w:t>
            </w:r>
          </w:p>
        </w:tc>
        <w:tc>
          <w:tcPr>
            <w:tcW w:w="1300"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6 931,0</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5 080,5</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2 992,2</w:t>
            </w:r>
          </w:p>
        </w:tc>
        <w:tc>
          <w:tcPr>
            <w:tcW w:w="1199"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2 088,4</w:t>
            </w: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73,3%</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19,2</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53,8</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53,8</w:t>
            </w:r>
          </w:p>
        </w:tc>
        <w:tc>
          <w:tcPr>
            <w:tcW w:w="1199" w:type="dxa"/>
            <w:tcBorders>
              <w:top w:val="nil"/>
              <w:left w:val="nil"/>
              <w:bottom w:val="nil"/>
              <w:right w:val="nil"/>
            </w:tcBorders>
            <w:shd w:val="clear" w:color="auto" w:fill="auto"/>
            <w:noWrap/>
            <w:vAlign w:val="bottom"/>
          </w:tcPr>
          <w:p w:rsidR="008262CB" w:rsidRDefault="008262CB" w:rsidP="00925CA5">
            <w:pPr>
              <w:rPr>
                <w:sz w:val="18"/>
                <w:szCs w:val="18"/>
              </w:rPr>
            </w:pPr>
          </w:p>
        </w:tc>
        <w:tc>
          <w:tcPr>
            <w:tcW w:w="1300"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724,9</w:t>
            </w:r>
          </w:p>
        </w:tc>
        <w:tc>
          <w:tcPr>
            <w:tcW w:w="1087"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623,9</w:t>
            </w:r>
          </w:p>
        </w:tc>
        <w:tc>
          <w:tcPr>
            <w:tcW w:w="125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623,9</w:t>
            </w:r>
          </w:p>
        </w:tc>
        <w:tc>
          <w:tcPr>
            <w:tcW w:w="1199" w:type="dxa"/>
            <w:tcBorders>
              <w:top w:val="nil"/>
              <w:left w:val="nil"/>
              <w:bottom w:val="nil"/>
              <w:right w:val="nil"/>
            </w:tcBorders>
            <w:shd w:val="clear" w:color="auto" w:fill="auto"/>
            <w:noWrap/>
            <w:vAlign w:val="bottom"/>
          </w:tcPr>
          <w:p w:rsidR="008262CB" w:rsidRDefault="008262CB" w:rsidP="00925CA5">
            <w:pPr>
              <w:jc w:val="right"/>
              <w:rPr>
                <w:sz w:val="18"/>
                <w:szCs w:val="18"/>
              </w:rPr>
            </w:pP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86,1%</w:t>
            </w:r>
          </w:p>
        </w:tc>
      </w:tr>
      <w:tr w:rsidR="008262CB" w:rsidRPr="004B1466" w:rsidTr="00925CA5">
        <w:trPr>
          <w:trHeight w:val="255"/>
        </w:trPr>
        <w:tc>
          <w:tcPr>
            <w:tcW w:w="4263" w:type="dxa"/>
            <w:tcBorders>
              <w:top w:val="nil"/>
              <w:left w:val="single" w:sz="8" w:space="0" w:color="auto"/>
              <w:bottom w:val="nil"/>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8262CB" w:rsidRDefault="008262CB" w:rsidP="00925CA5">
            <w:pPr>
              <w:jc w:val="right"/>
              <w:rPr>
                <w:sz w:val="18"/>
                <w:szCs w:val="18"/>
              </w:rPr>
            </w:pPr>
            <w:r>
              <w:rPr>
                <w:sz w:val="18"/>
                <w:szCs w:val="18"/>
              </w:rPr>
              <w:t>220,3</w:t>
            </w:r>
          </w:p>
        </w:tc>
        <w:tc>
          <w:tcPr>
            <w:tcW w:w="1087" w:type="dxa"/>
            <w:tcBorders>
              <w:top w:val="nil"/>
              <w:left w:val="nil"/>
              <w:bottom w:val="nil"/>
              <w:right w:val="nil"/>
            </w:tcBorders>
            <w:shd w:val="clear" w:color="auto" w:fill="auto"/>
            <w:noWrap/>
            <w:vAlign w:val="bottom"/>
            <w:hideMark/>
          </w:tcPr>
          <w:p w:rsidR="008262CB" w:rsidRDefault="008262CB" w:rsidP="00925CA5">
            <w:pPr>
              <w:rPr>
                <w:sz w:val="18"/>
                <w:szCs w:val="18"/>
              </w:rPr>
            </w:pPr>
          </w:p>
        </w:tc>
        <w:tc>
          <w:tcPr>
            <w:tcW w:w="1252" w:type="dxa"/>
            <w:tcBorders>
              <w:top w:val="nil"/>
              <w:left w:val="nil"/>
              <w:bottom w:val="nil"/>
              <w:right w:val="nil"/>
            </w:tcBorders>
            <w:shd w:val="clear" w:color="auto" w:fill="auto"/>
            <w:noWrap/>
            <w:vAlign w:val="bottom"/>
            <w:hideMark/>
          </w:tcPr>
          <w:p w:rsidR="008262CB" w:rsidRDefault="008262CB" w:rsidP="00925CA5">
            <w:pPr>
              <w:rPr>
                <w:sz w:val="18"/>
                <w:szCs w:val="18"/>
              </w:rPr>
            </w:pPr>
          </w:p>
        </w:tc>
        <w:tc>
          <w:tcPr>
            <w:tcW w:w="1199" w:type="dxa"/>
            <w:tcBorders>
              <w:top w:val="nil"/>
              <w:left w:val="nil"/>
              <w:bottom w:val="nil"/>
              <w:right w:val="nil"/>
            </w:tcBorders>
            <w:shd w:val="clear" w:color="auto" w:fill="auto"/>
            <w:noWrap/>
            <w:vAlign w:val="bottom"/>
          </w:tcPr>
          <w:p w:rsidR="008262CB" w:rsidRDefault="008262CB" w:rsidP="00925CA5">
            <w:pPr>
              <w:rPr>
                <w:sz w:val="18"/>
                <w:szCs w:val="18"/>
              </w:rPr>
            </w:pPr>
          </w:p>
        </w:tc>
        <w:tc>
          <w:tcPr>
            <w:tcW w:w="1300" w:type="dxa"/>
            <w:tcBorders>
              <w:top w:val="nil"/>
              <w:left w:val="nil"/>
              <w:bottom w:val="nil"/>
              <w:right w:val="single" w:sz="8" w:space="0" w:color="auto"/>
            </w:tcBorders>
            <w:shd w:val="clear" w:color="auto" w:fill="auto"/>
            <w:noWrap/>
            <w:vAlign w:val="bottom"/>
            <w:hideMark/>
          </w:tcPr>
          <w:p w:rsidR="008262CB" w:rsidRDefault="008262CB" w:rsidP="00925CA5">
            <w:pPr>
              <w:rPr>
                <w:sz w:val="18"/>
                <w:szCs w:val="18"/>
              </w:rPr>
            </w:pPr>
            <w:r>
              <w:rPr>
                <w:sz w:val="18"/>
                <w:szCs w:val="18"/>
              </w:rPr>
              <w:t> </w:t>
            </w:r>
          </w:p>
        </w:tc>
      </w:tr>
      <w:tr w:rsidR="008262CB" w:rsidRPr="004B1466" w:rsidTr="00925CA5">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8262CB" w:rsidRPr="003A638B" w:rsidRDefault="008262CB" w:rsidP="00925CA5">
            <w:pPr>
              <w:rPr>
                <w:sz w:val="18"/>
                <w:szCs w:val="18"/>
              </w:rPr>
            </w:pPr>
            <w:r w:rsidRPr="003A638B">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8262CB" w:rsidRDefault="008262CB" w:rsidP="00925CA5">
            <w:pPr>
              <w:jc w:val="right"/>
              <w:rPr>
                <w:sz w:val="18"/>
                <w:szCs w:val="18"/>
              </w:rPr>
            </w:pPr>
            <w:r>
              <w:rPr>
                <w:sz w:val="18"/>
                <w:szCs w:val="18"/>
              </w:rPr>
              <w:t>1 397,4</w:t>
            </w:r>
          </w:p>
        </w:tc>
        <w:tc>
          <w:tcPr>
            <w:tcW w:w="1087" w:type="dxa"/>
            <w:tcBorders>
              <w:top w:val="nil"/>
              <w:left w:val="nil"/>
              <w:bottom w:val="single" w:sz="4" w:space="0" w:color="auto"/>
              <w:right w:val="nil"/>
            </w:tcBorders>
            <w:shd w:val="clear" w:color="auto" w:fill="auto"/>
            <w:noWrap/>
            <w:vAlign w:val="bottom"/>
            <w:hideMark/>
          </w:tcPr>
          <w:p w:rsidR="008262CB" w:rsidRDefault="008262CB" w:rsidP="00925CA5">
            <w:pPr>
              <w:jc w:val="right"/>
              <w:rPr>
                <w:sz w:val="18"/>
                <w:szCs w:val="18"/>
              </w:rPr>
            </w:pPr>
            <w:r>
              <w:rPr>
                <w:sz w:val="18"/>
                <w:szCs w:val="18"/>
              </w:rPr>
              <w:t>1 295,5</w:t>
            </w:r>
          </w:p>
        </w:tc>
        <w:tc>
          <w:tcPr>
            <w:tcW w:w="1252" w:type="dxa"/>
            <w:tcBorders>
              <w:top w:val="nil"/>
              <w:left w:val="nil"/>
              <w:bottom w:val="single" w:sz="4" w:space="0" w:color="auto"/>
              <w:right w:val="nil"/>
            </w:tcBorders>
            <w:shd w:val="clear" w:color="auto" w:fill="auto"/>
            <w:noWrap/>
            <w:vAlign w:val="bottom"/>
            <w:hideMark/>
          </w:tcPr>
          <w:p w:rsidR="008262CB" w:rsidRDefault="008262CB" w:rsidP="00925CA5">
            <w:pPr>
              <w:jc w:val="right"/>
              <w:rPr>
                <w:sz w:val="18"/>
                <w:szCs w:val="18"/>
              </w:rPr>
            </w:pPr>
            <w:r>
              <w:rPr>
                <w:sz w:val="18"/>
                <w:szCs w:val="18"/>
              </w:rPr>
              <w:t>1 295,5</w:t>
            </w:r>
          </w:p>
        </w:tc>
        <w:tc>
          <w:tcPr>
            <w:tcW w:w="1199" w:type="dxa"/>
            <w:tcBorders>
              <w:top w:val="nil"/>
              <w:left w:val="nil"/>
              <w:bottom w:val="single" w:sz="4" w:space="0" w:color="auto"/>
              <w:right w:val="nil"/>
            </w:tcBorders>
            <w:shd w:val="clear" w:color="auto" w:fill="auto"/>
            <w:noWrap/>
            <w:vAlign w:val="bottom"/>
          </w:tcPr>
          <w:p w:rsidR="008262CB" w:rsidRDefault="008262CB" w:rsidP="00925CA5">
            <w:pPr>
              <w:rPr>
                <w:sz w:val="18"/>
                <w:szCs w:val="18"/>
              </w:rPr>
            </w:pPr>
            <w:r>
              <w:rPr>
                <w:sz w:val="18"/>
                <w:szCs w:val="18"/>
              </w:rPr>
              <w:t> </w:t>
            </w:r>
          </w:p>
        </w:tc>
        <w:tc>
          <w:tcPr>
            <w:tcW w:w="1300" w:type="dxa"/>
            <w:tcBorders>
              <w:top w:val="nil"/>
              <w:left w:val="nil"/>
              <w:bottom w:val="single" w:sz="4" w:space="0" w:color="auto"/>
              <w:right w:val="single" w:sz="8" w:space="0" w:color="auto"/>
            </w:tcBorders>
            <w:shd w:val="clear" w:color="auto" w:fill="auto"/>
            <w:noWrap/>
            <w:vAlign w:val="bottom"/>
            <w:hideMark/>
          </w:tcPr>
          <w:p w:rsidR="008262CB" w:rsidRDefault="008262CB" w:rsidP="00925CA5">
            <w:pPr>
              <w:jc w:val="right"/>
              <w:rPr>
                <w:sz w:val="18"/>
                <w:szCs w:val="18"/>
              </w:rPr>
            </w:pPr>
            <w:r>
              <w:rPr>
                <w:sz w:val="18"/>
                <w:szCs w:val="18"/>
              </w:rPr>
              <w:t>92,7%</w:t>
            </w:r>
          </w:p>
        </w:tc>
      </w:tr>
      <w:tr w:rsidR="008262CB" w:rsidRPr="004B1466" w:rsidTr="00925CA5">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8262CB" w:rsidRPr="003A638B" w:rsidRDefault="008262CB" w:rsidP="00925CA5">
            <w:pPr>
              <w:rPr>
                <w:sz w:val="18"/>
                <w:szCs w:val="18"/>
              </w:rPr>
            </w:pPr>
            <w:r w:rsidRPr="003A638B">
              <w:rPr>
                <w:sz w:val="18"/>
                <w:szCs w:val="18"/>
              </w:rPr>
              <w:t>Трансфери</w:t>
            </w:r>
            <w:r w:rsidRPr="003A638B">
              <w:rPr>
                <w:sz w:val="18"/>
                <w:szCs w:val="18"/>
                <w:lang w:val="en-US"/>
              </w:rPr>
              <w:t xml:space="preserve"> </w:t>
            </w:r>
            <w:r w:rsidRPr="003A638B">
              <w:rPr>
                <w:sz w:val="18"/>
                <w:szCs w:val="18"/>
              </w:rPr>
              <w:t>-</w:t>
            </w:r>
            <w:r w:rsidRPr="003A638B">
              <w:rPr>
                <w:sz w:val="18"/>
                <w:szCs w:val="18"/>
                <w:lang w:val="en-US"/>
              </w:rPr>
              <w:t xml:space="preserve"> </w:t>
            </w:r>
            <w:r w:rsidRPr="003A638B">
              <w:rPr>
                <w:sz w:val="18"/>
                <w:szCs w:val="18"/>
              </w:rPr>
              <w:t>нето</w:t>
            </w:r>
          </w:p>
        </w:tc>
        <w:tc>
          <w:tcPr>
            <w:tcW w:w="992" w:type="dxa"/>
            <w:tcBorders>
              <w:top w:val="nil"/>
              <w:left w:val="nil"/>
              <w:bottom w:val="single" w:sz="4" w:space="0" w:color="auto"/>
              <w:right w:val="nil"/>
            </w:tcBorders>
            <w:shd w:val="clear" w:color="auto" w:fill="auto"/>
            <w:noWrap/>
            <w:vAlign w:val="bottom"/>
            <w:hideMark/>
          </w:tcPr>
          <w:p w:rsidR="008262CB" w:rsidRDefault="008262CB" w:rsidP="00925CA5">
            <w:pPr>
              <w:rPr>
                <w:color w:val="0070C0"/>
                <w:sz w:val="18"/>
                <w:szCs w:val="18"/>
              </w:rPr>
            </w:pPr>
            <w:r>
              <w:rPr>
                <w:color w:val="0070C0"/>
                <w:sz w:val="18"/>
                <w:szCs w:val="18"/>
              </w:rPr>
              <w:t> </w:t>
            </w:r>
          </w:p>
        </w:tc>
        <w:tc>
          <w:tcPr>
            <w:tcW w:w="1087" w:type="dxa"/>
            <w:tcBorders>
              <w:top w:val="nil"/>
              <w:left w:val="nil"/>
              <w:bottom w:val="single" w:sz="4" w:space="0" w:color="auto"/>
              <w:right w:val="nil"/>
            </w:tcBorders>
            <w:shd w:val="clear" w:color="auto" w:fill="auto"/>
            <w:noWrap/>
            <w:vAlign w:val="bottom"/>
            <w:hideMark/>
          </w:tcPr>
          <w:p w:rsidR="008262CB" w:rsidRDefault="008262CB" w:rsidP="00925CA5">
            <w:pPr>
              <w:rPr>
                <w:color w:val="0070C0"/>
                <w:sz w:val="18"/>
                <w:szCs w:val="18"/>
              </w:rPr>
            </w:pPr>
            <w:r>
              <w:rPr>
                <w:color w:val="0070C0"/>
                <w:sz w:val="18"/>
                <w:szCs w:val="18"/>
              </w:rPr>
              <w:t> </w:t>
            </w:r>
          </w:p>
        </w:tc>
        <w:tc>
          <w:tcPr>
            <w:tcW w:w="1252" w:type="dxa"/>
            <w:tcBorders>
              <w:top w:val="nil"/>
              <w:left w:val="nil"/>
              <w:bottom w:val="single" w:sz="4" w:space="0" w:color="auto"/>
              <w:right w:val="nil"/>
            </w:tcBorders>
            <w:shd w:val="clear" w:color="auto" w:fill="auto"/>
            <w:noWrap/>
            <w:vAlign w:val="bottom"/>
            <w:hideMark/>
          </w:tcPr>
          <w:p w:rsidR="008262CB" w:rsidRDefault="008262CB" w:rsidP="00925CA5">
            <w:pPr>
              <w:jc w:val="right"/>
              <w:rPr>
                <w:sz w:val="18"/>
                <w:szCs w:val="18"/>
              </w:rPr>
            </w:pPr>
            <w:r>
              <w:rPr>
                <w:sz w:val="18"/>
                <w:szCs w:val="18"/>
              </w:rPr>
              <w:t>-918,0</w:t>
            </w:r>
          </w:p>
        </w:tc>
        <w:tc>
          <w:tcPr>
            <w:tcW w:w="1199" w:type="dxa"/>
            <w:tcBorders>
              <w:top w:val="nil"/>
              <w:left w:val="nil"/>
              <w:bottom w:val="single" w:sz="4" w:space="0" w:color="auto"/>
              <w:right w:val="nil"/>
            </w:tcBorders>
            <w:shd w:val="clear" w:color="auto" w:fill="auto"/>
            <w:noWrap/>
            <w:vAlign w:val="bottom"/>
            <w:hideMark/>
          </w:tcPr>
          <w:p w:rsidR="008262CB" w:rsidRDefault="008262CB" w:rsidP="00925CA5">
            <w:pPr>
              <w:jc w:val="right"/>
              <w:rPr>
                <w:sz w:val="18"/>
                <w:szCs w:val="18"/>
              </w:rPr>
            </w:pPr>
            <w:r>
              <w:rPr>
                <w:sz w:val="18"/>
                <w:szCs w:val="18"/>
              </w:rPr>
              <w:t>918,0</w:t>
            </w:r>
          </w:p>
        </w:tc>
        <w:tc>
          <w:tcPr>
            <w:tcW w:w="1300" w:type="dxa"/>
            <w:tcBorders>
              <w:top w:val="nil"/>
              <w:left w:val="nil"/>
              <w:bottom w:val="single" w:sz="4" w:space="0" w:color="auto"/>
              <w:right w:val="single" w:sz="8" w:space="0" w:color="auto"/>
            </w:tcBorders>
            <w:shd w:val="clear" w:color="auto" w:fill="auto"/>
            <w:noWrap/>
            <w:vAlign w:val="bottom"/>
            <w:hideMark/>
          </w:tcPr>
          <w:p w:rsidR="008262CB" w:rsidRDefault="008262CB" w:rsidP="00925CA5">
            <w:pPr>
              <w:rPr>
                <w:sz w:val="18"/>
                <w:szCs w:val="18"/>
              </w:rPr>
            </w:pPr>
            <w:r>
              <w:rPr>
                <w:sz w:val="18"/>
                <w:szCs w:val="18"/>
              </w:rPr>
              <w:t> </w:t>
            </w:r>
          </w:p>
        </w:tc>
      </w:tr>
      <w:tr w:rsidR="008262CB" w:rsidRPr="004B1466" w:rsidTr="00925CA5">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8262CB" w:rsidRPr="003A638B" w:rsidRDefault="008262CB" w:rsidP="00925CA5">
            <w:pPr>
              <w:rPr>
                <w:b/>
                <w:bCs/>
                <w:sz w:val="18"/>
                <w:szCs w:val="18"/>
              </w:rPr>
            </w:pPr>
            <w:r w:rsidRPr="003A638B">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8262CB" w:rsidRDefault="008262CB" w:rsidP="00925CA5">
            <w:pPr>
              <w:jc w:val="right"/>
              <w:rPr>
                <w:b/>
                <w:bCs/>
                <w:sz w:val="18"/>
                <w:szCs w:val="18"/>
              </w:rPr>
            </w:pPr>
            <w:r>
              <w:rPr>
                <w:b/>
                <w:bCs/>
                <w:sz w:val="18"/>
                <w:szCs w:val="18"/>
              </w:rPr>
              <w:t>-5 249,5</w:t>
            </w:r>
          </w:p>
        </w:tc>
        <w:tc>
          <w:tcPr>
            <w:tcW w:w="1087" w:type="dxa"/>
            <w:tcBorders>
              <w:top w:val="nil"/>
              <w:left w:val="nil"/>
              <w:bottom w:val="single" w:sz="8" w:space="0" w:color="auto"/>
              <w:right w:val="nil"/>
            </w:tcBorders>
            <w:shd w:val="clear" w:color="000000" w:fill="D9D9D9"/>
            <w:noWrap/>
            <w:vAlign w:val="bottom"/>
            <w:hideMark/>
          </w:tcPr>
          <w:p w:rsidR="008262CB" w:rsidRDefault="008262CB" w:rsidP="00925CA5">
            <w:pPr>
              <w:jc w:val="right"/>
              <w:rPr>
                <w:b/>
                <w:bCs/>
                <w:sz w:val="18"/>
                <w:szCs w:val="18"/>
              </w:rPr>
            </w:pPr>
            <w:r>
              <w:rPr>
                <w:b/>
                <w:bCs/>
                <w:sz w:val="18"/>
                <w:szCs w:val="18"/>
              </w:rPr>
              <w:t>-3 531,6</w:t>
            </w:r>
          </w:p>
        </w:tc>
        <w:tc>
          <w:tcPr>
            <w:tcW w:w="1252" w:type="dxa"/>
            <w:tcBorders>
              <w:top w:val="nil"/>
              <w:left w:val="nil"/>
              <w:bottom w:val="single" w:sz="8" w:space="0" w:color="auto"/>
              <w:right w:val="nil"/>
            </w:tcBorders>
            <w:shd w:val="clear" w:color="000000" w:fill="D9D9D9"/>
            <w:noWrap/>
            <w:vAlign w:val="bottom"/>
            <w:hideMark/>
          </w:tcPr>
          <w:p w:rsidR="008262CB" w:rsidRDefault="008262CB" w:rsidP="00925CA5">
            <w:pPr>
              <w:jc w:val="right"/>
              <w:rPr>
                <w:b/>
                <w:bCs/>
                <w:sz w:val="18"/>
                <w:szCs w:val="18"/>
              </w:rPr>
            </w:pPr>
            <w:r>
              <w:rPr>
                <w:b/>
                <w:bCs/>
                <w:sz w:val="18"/>
                <w:szCs w:val="18"/>
              </w:rPr>
              <w:t>-3 550,8</w:t>
            </w:r>
          </w:p>
        </w:tc>
        <w:tc>
          <w:tcPr>
            <w:tcW w:w="1199" w:type="dxa"/>
            <w:tcBorders>
              <w:top w:val="nil"/>
              <w:left w:val="nil"/>
              <w:bottom w:val="single" w:sz="8" w:space="0" w:color="auto"/>
              <w:right w:val="nil"/>
            </w:tcBorders>
            <w:shd w:val="clear" w:color="000000" w:fill="D9D9D9"/>
            <w:noWrap/>
            <w:vAlign w:val="bottom"/>
            <w:hideMark/>
          </w:tcPr>
          <w:p w:rsidR="008262CB" w:rsidRDefault="008262CB" w:rsidP="00925CA5">
            <w:pPr>
              <w:jc w:val="right"/>
              <w:rPr>
                <w:b/>
                <w:bCs/>
                <w:sz w:val="18"/>
                <w:szCs w:val="18"/>
              </w:rPr>
            </w:pPr>
            <w:r>
              <w:rPr>
                <w:b/>
                <w:bCs/>
                <w:sz w:val="18"/>
                <w:szCs w:val="18"/>
              </w:rPr>
              <w:t>19,2</w:t>
            </w:r>
          </w:p>
        </w:tc>
        <w:tc>
          <w:tcPr>
            <w:tcW w:w="1300" w:type="dxa"/>
            <w:tcBorders>
              <w:top w:val="nil"/>
              <w:left w:val="nil"/>
              <w:bottom w:val="single" w:sz="8" w:space="0" w:color="auto"/>
              <w:right w:val="single" w:sz="8" w:space="0" w:color="auto"/>
            </w:tcBorders>
            <w:shd w:val="clear" w:color="000000" w:fill="D9D9D9"/>
            <w:noWrap/>
            <w:vAlign w:val="bottom"/>
            <w:hideMark/>
          </w:tcPr>
          <w:p w:rsidR="008262CB" w:rsidRDefault="008262CB" w:rsidP="00925CA5">
            <w:pPr>
              <w:rPr>
                <w:b/>
                <w:bCs/>
                <w:sz w:val="18"/>
                <w:szCs w:val="18"/>
              </w:rPr>
            </w:pPr>
            <w:r>
              <w:rPr>
                <w:b/>
                <w:bCs/>
                <w:sz w:val="18"/>
                <w:szCs w:val="18"/>
              </w:rPr>
              <w:t> </w:t>
            </w:r>
          </w:p>
        </w:tc>
      </w:tr>
    </w:tbl>
    <w:p w:rsidR="008262CB" w:rsidRPr="004B1466" w:rsidRDefault="008262CB" w:rsidP="008262CB">
      <w:pPr>
        <w:ind w:left="360"/>
        <w:jc w:val="both"/>
        <w:rPr>
          <w:color w:val="0070C0"/>
          <w:sz w:val="22"/>
        </w:rPr>
      </w:pPr>
    </w:p>
    <w:p w:rsidR="008262CB" w:rsidRPr="00C96321" w:rsidRDefault="008262CB" w:rsidP="008262CB">
      <w:pPr>
        <w:numPr>
          <w:ilvl w:val="1"/>
          <w:numId w:val="11"/>
        </w:numPr>
        <w:tabs>
          <w:tab w:val="num" w:pos="426"/>
        </w:tabs>
        <w:ind w:left="0" w:firstLine="0"/>
        <w:jc w:val="both"/>
        <w:rPr>
          <w:rFonts w:eastAsia="Calibri"/>
          <w:color w:val="0070C0"/>
        </w:rPr>
      </w:pPr>
      <w:r w:rsidRPr="00C96321">
        <w:rPr>
          <w:b/>
        </w:rPr>
        <w:t>Приходите, помощите и даренията по консолидираната фискална програма</w:t>
      </w:r>
      <w:r w:rsidRPr="00C96321">
        <w:t xml:space="preserve"> (КФП) за 2020 г. са в размер на </w:t>
      </w:r>
      <w:r w:rsidRPr="00C96321">
        <w:rPr>
          <w:b/>
          <w:bCs/>
        </w:rPr>
        <w:t>44 308,8</w:t>
      </w:r>
      <w:r w:rsidRPr="00C96321">
        <w:rPr>
          <w:b/>
          <w:bCs/>
          <w:lang w:val="en-US"/>
        </w:rPr>
        <w:t> </w:t>
      </w:r>
      <w:r w:rsidRPr="00C96321">
        <w:rPr>
          <w:b/>
        </w:rPr>
        <w:t>млн. лв.,</w:t>
      </w:r>
      <w:r w:rsidRPr="00C96321">
        <w:t xml:space="preserve"> което представлява </w:t>
      </w:r>
      <w:r w:rsidRPr="00C96321">
        <w:rPr>
          <w:bCs/>
        </w:rPr>
        <w:t>101,9</w:t>
      </w:r>
      <w:r w:rsidRPr="00C96321">
        <w:rPr>
          <w:b/>
          <w:bCs/>
        </w:rPr>
        <w:t> </w:t>
      </w:r>
      <w:r w:rsidRPr="00C96321">
        <w:t>% от годишните разчети към ЗДБРБ за 20</w:t>
      </w:r>
      <w:r w:rsidRPr="001033E1">
        <w:t>20</w:t>
      </w:r>
      <w:r w:rsidRPr="00C96321">
        <w:t xml:space="preserve"> г.</w:t>
      </w:r>
      <w:r w:rsidRPr="00C96321">
        <w:rPr>
          <w:color w:val="0070C0"/>
        </w:rPr>
        <w:t xml:space="preserve"> </w:t>
      </w:r>
      <w:r w:rsidRPr="00C96321">
        <w:rPr>
          <w:rFonts w:eastAsia="Calibri"/>
        </w:rPr>
        <w:t xml:space="preserve">Съпоставени с предходната година те нарастват номинално с 260,2 млн. лв. </w:t>
      </w:r>
      <w:r w:rsidRPr="00C96321">
        <w:t>Въпреки негативните ефекти на пандемията върху макроикономическите перспективи по отношение на външната и вътрешната среда и растежа, данъчните и осигурителните приходи отчитат номинален ръст спрямо предкризисната 2019 г. от 1,6 на сто (567,8 млн. лв.)</w:t>
      </w:r>
      <w:r w:rsidRPr="00C96321">
        <w:rPr>
          <w:rFonts w:eastAsia="Calibri"/>
          <w:color w:val="0070C0"/>
        </w:rPr>
        <w:t>.</w:t>
      </w:r>
    </w:p>
    <w:p w:rsidR="008262CB" w:rsidRPr="004B1466" w:rsidRDefault="008262CB" w:rsidP="008262CB">
      <w:pPr>
        <w:shd w:val="clear" w:color="auto" w:fill="FFFFFF"/>
        <w:spacing w:before="120" w:after="150"/>
        <w:jc w:val="both"/>
        <w:rPr>
          <w:color w:val="0070C0"/>
        </w:rPr>
      </w:pPr>
      <w:r w:rsidRPr="0044114F">
        <w:t>Общата сума</w:t>
      </w:r>
      <w:r w:rsidRPr="0044114F">
        <w:rPr>
          <w:b/>
        </w:rPr>
        <w:t xml:space="preserve"> </w:t>
      </w:r>
      <w:r w:rsidRPr="0044114F">
        <w:t>на</w:t>
      </w:r>
      <w:r w:rsidRPr="0044114F">
        <w:rPr>
          <w:b/>
        </w:rPr>
        <w:t xml:space="preserve"> </w:t>
      </w:r>
      <w:r w:rsidRPr="0044114F">
        <w:rPr>
          <w:b/>
          <w:i/>
        </w:rPr>
        <w:t>данъчните постъпления</w:t>
      </w:r>
      <w:r w:rsidRPr="0044114F">
        <w:t xml:space="preserve"> (вкл. приходите от осигурителни вноски) са в размер на </w:t>
      </w:r>
      <w:r w:rsidRPr="0044114F">
        <w:rPr>
          <w:b/>
          <w:bCs/>
          <w:i/>
        </w:rPr>
        <w:t>35 848,4</w:t>
      </w:r>
      <w:r w:rsidRPr="0044114F">
        <w:rPr>
          <w:b/>
          <w:i/>
        </w:rPr>
        <w:t> млн. лв</w:t>
      </w:r>
      <w:r w:rsidRPr="0044114F">
        <w:rPr>
          <w:i/>
        </w:rPr>
        <w:t>.</w:t>
      </w:r>
      <w:r w:rsidRPr="0044114F">
        <w:t>, което представлява 80,9 % от общите постъпления по КФП за периода. Постъпленията в групата представляват 102,7 % спрямо разчета за годината.</w:t>
      </w:r>
      <w:r>
        <w:t xml:space="preserve"> О</w:t>
      </w:r>
      <w:r>
        <w:rPr>
          <w:rFonts w:eastAsia="Calibri"/>
        </w:rPr>
        <w:t xml:space="preserve">тчетеното превишение на разчетите в групата </w:t>
      </w:r>
      <w:r w:rsidR="00EC04A7">
        <w:rPr>
          <w:rFonts w:eastAsia="Calibri"/>
        </w:rPr>
        <w:t xml:space="preserve">се дължи </w:t>
      </w:r>
      <w:r>
        <w:rPr>
          <w:rFonts w:eastAsia="Calibri"/>
        </w:rPr>
        <w:t xml:space="preserve">основно на по-високите от планираните постъпления от </w:t>
      </w:r>
      <w:r w:rsidRPr="00713665">
        <w:t>корпоративни данъци, данъци върху доходите</w:t>
      </w:r>
      <w:r>
        <w:t xml:space="preserve"> на физическите лица, ДДС</w:t>
      </w:r>
      <w:r w:rsidRPr="00713665">
        <w:t xml:space="preserve"> и </w:t>
      </w:r>
      <w:r>
        <w:t>о</w:t>
      </w:r>
      <w:r w:rsidRPr="00713665">
        <w:t>сигурителни вноски</w:t>
      </w:r>
      <w:r>
        <w:t xml:space="preserve">. Следва да се посочи, че постъпленията в групата на корпоративните данъци, данъците върху доходите на физическите лица и приходите от осигурителни вноски отчитат номинален ръст и спрямо предкризисната 2019 </w:t>
      </w:r>
      <w:r w:rsidRPr="00982637">
        <w:t>г. Приходите</w:t>
      </w:r>
      <w:r w:rsidRPr="004E30F3">
        <w:t xml:space="preserve"> в частта на </w:t>
      </w:r>
      <w:r w:rsidRPr="004E30F3">
        <w:rPr>
          <w:i/>
        </w:rPr>
        <w:t xml:space="preserve">преките данъци </w:t>
      </w:r>
      <w:r w:rsidRPr="00AA19BC">
        <w:t xml:space="preserve">възлизат на 6 913,6 млн. лв., което представлява 105,1 % спрямо разчета за 2020 г. Съпоставени с 2019 г., преките данъци </w:t>
      </w:r>
      <w:r w:rsidR="00917EE9">
        <w:t>нарастват</w:t>
      </w:r>
      <w:r w:rsidRPr="00AA19BC">
        <w:t xml:space="preserve"> с 3,0 % (198,7 млн. лв.).</w:t>
      </w:r>
      <w:r w:rsidRPr="00AA19BC">
        <w:rPr>
          <w:rFonts w:ascii="Arial" w:hAnsi="Arial" w:cs="Arial"/>
        </w:rPr>
        <w:t xml:space="preserve"> </w:t>
      </w:r>
      <w:r w:rsidRPr="00AA19BC">
        <w:t xml:space="preserve">Приходите от </w:t>
      </w:r>
      <w:r w:rsidRPr="00AA19BC">
        <w:rPr>
          <w:i/>
        </w:rPr>
        <w:t>косвени данъци</w:t>
      </w:r>
      <w:r w:rsidRPr="00AA19BC">
        <w:t xml:space="preserve"> са в размер на 16 722,4 млн. лв., което представлява 102,5 % спрямо годишния разчет. Съпоставени с 2019 г., косвените данъци намаляват с 0,7 </w:t>
      </w:r>
      <w:r w:rsidRPr="00811ED1">
        <w:t>% (125,3</w:t>
      </w:r>
      <w:r w:rsidR="00404BF1">
        <w:t> </w:t>
      </w:r>
      <w:r w:rsidRPr="00811ED1">
        <w:t xml:space="preserve">млн. лв.). Постъпленията от </w:t>
      </w:r>
      <w:r w:rsidRPr="00811ED1">
        <w:rPr>
          <w:i/>
        </w:rPr>
        <w:t>други данъци</w:t>
      </w:r>
      <w:r w:rsidRPr="00811ED1">
        <w:t xml:space="preserve"> (включват други данъци по ЗКПО, имуществени данъци и др.) са 1</w:t>
      </w:r>
      <w:r>
        <w:t> </w:t>
      </w:r>
      <w:r w:rsidRPr="00811ED1">
        <w:t>203</w:t>
      </w:r>
      <w:r>
        <w:t>,</w:t>
      </w:r>
      <w:r w:rsidRPr="00811ED1">
        <w:t xml:space="preserve">9 млн. лв., което представлява </w:t>
      </w:r>
      <w:r w:rsidRPr="00BE1918">
        <w:t xml:space="preserve">99,5 % от </w:t>
      </w:r>
      <w:r w:rsidRPr="00A072D1">
        <w:t xml:space="preserve">разчетите към ЗДБРБ за 2020 г. и сравнени с 2019 г. се увеличават с 2,8 % </w:t>
      </w:r>
      <w:r w:rsidRPr="001033E1">
        <w:t>(</w:t>
      </w:r>
      <w:r w:rsidRPr="00A072D1">
        <w:t>32,8 млн. лв.</w:t>
      </w:r>
      <w:r w:rsidRPr="001033E1">
        <w:t>)</w:t>
      </w:r>
      <w:r w:rsidRPr="00A072D1">
        <w:t xml:space="preserve">. Приходите от </w:t>
      </w:r>
      <w:r w:rsidRPr="00A072D1">
        <w:rPr>
          <w:b/>
          <w:i/>
        </w:rPr>
        <w:t>социалноосигурителни и здравни вноски</w:t>
      </w:r>
      <w:r w:rsidRPr="00A072D1">
        <w:rPr>
          <w:b/>
        </w:rPr>
        <w:t xml:space="preserve"> </w:t>
      </w:r>
      <w:r w:rsidRPr="00A072D1">
        <w:t>за 2020 г. са в размер на 11 008,5 млн. лв. или 101,9 % спрямо планираните, като сравнени с предходната година нарастват с 461,5 млн. лева. (4,4 %).</w:t>
      </w:r>
      <w:r w:rsidRPr="004B1466">
        <w:rPr>
          <w:color w:val="0070C0"/>
        </w:rPr>
        <w:t xml:space="preserve"> </w:t>
      </w:r>
    </w:p>
    <w:p w:rsidR="008262CB" w:rsidRPr="00D81078" w:rsidRDefault="008262CB" w:rsidP="008262CB">
      <w:pPr>
        <w:spacing w:before="120"/>
        <w:jc w:val="both"/>
      </w:pPr>
      <w:r w:rsidRPr="00D81078">
        <w:rPr>
          <w:b/>
          <w:bCs/>
          <w:i/>
          <w:iCs/>
        </w:rPr>
        <w:lastRenderedPageBreak/>
        <w:t>Неданъчните приходи</w:t>
      </w:r>
      <w:r w:rsidRPr="00D81078">
        <w:rPr>
          <w:b/>
          <w:bCs/>
          <w:iCs/>
        </w:rPr>
        <w:t xml:space="preserve"> </w:t>
      </w:r>
      <w:r w:rsidRPr="00D81078">
        <w:t xml:space="preserve">са в размер на </w:t>
      </w:r>
      <w:r w:rsidRPr="00D81078">
        <w:rPr>
          <w:b/>
          <w:i/>
        </w:rPr>
        <w:t xml:space="preserve">5 764,4 </w:t>
      </w:r>
      <w:r w:rsidRPr="00D81078">
        <w:rPr>
          <w:b/>
          <w:bCs/>
          <w:i/>
        </w:rPr>
        <w:t>млн. лв.</w:t>
      </w:r>
      <w:r w:rsidRPr="00D81078">
        <w:rPr>
          <w:b/>
          <w:bCs/>
        </w:rPr>
        <w:t>,</w:t>
      </w:r>
      <w:r w:rsidRPr="00D81078">
        <w:rPr>
          <w:b/>
          <w:i/>
        </w:rPr>
        <w:t xml:space="preserve"> </w:t>
      </w:r>
      <w:r w:rsidRPr="00D81078">
        <w:t>което представлява</w:t>
      </w:r>
      <w:r w:rsidRPr="00D81078">
        <w:rPr>
          <w:i/>
        </w:rPr>
        <w:t xml:space="preserve"> </w:t>
      </w:r>
      <w:r w:rsidRPr="00D81078">
        <w:t>97,9 %</w:t>
      </w:r>
      <w:r w:rsidRPr="00D81078">
        <w:rPr>
          <w:b/>
          <w:i/>
        </w:rPr>
        <w:t xml:space="preserve"> </w:t>
      </w:r>
      <w:r w:rsidRPr="00D81078">
        <w:t>от</w:t>
      </w:r>
      <w:r w:rsidRPr="00D81078">
        <w:rPr>
          <w:b/>
          <w:i/>
        </w:rPr>
        <w:t xml:space="preserve"> </w:t>
      </w:r>
      <w:r w:rsidRPr="00D81078">
        <w:t xml:space="preserve">годишните разчети. </w:t>
      </w:r>
    </w:p>
    <w:p w:rsidR="008262CB" w:rsidRPr="00E64477" w:rsidRDefault="008262CB" w:rsidP="008262CB">
      <w:pPr>
        <w:spacing w:before="120" w:after="120"/>
        <w:jc w:val="both"/>
      </w:pPr>
      <w:r w:rsidRPr="00E64477">
        <w:t xml:space="preserve">Постъпленията от </w:t>
      </w:r>
      <w:r w:rsidRPr="00E64477">
        <w:rPr>
          <w:b/>
          <w:i/>
        </w:rPr>
        <w:t>помощи</w:t>
      </w:r>
      <w:r w:rsidRPr="00E64477">
        <w:t xml:space="preserve"> </w:t>
      </w:r>
      <w:r w:rsidRPr="00E64477">
        <w:rPr>
          <w:b/>
          <w:i/>
        </w:rPr>
        <w:t xml:space="preserve">и дарения </w:t>
      </w:r>
      <w:r w:rsidRPr="00E64477">
        <w:t xml:space="preserve">от страната и чужбина (основно помощи от фондовете на ЕС) </w:t>
      </w:r>
      <w:r>
        <w:t>за</w:t>
      </w:r>
      <w:r w:rsidRPr="00E64477">
        <w:t xml:space="preserve"> 2020 г. са в размер на </w:t>
      </w:r>
      <w:r w:rsidRPr="00E64477">
        <w:rPr>
          <w:b/>
          <w:i/>
        </w:rPr>
        <w:t xml:space="preserve">2 696,0 </w:t>
      </w:r>
      <w:r w:rsidRPr="00E64477">
        <w:rPr>
          <w:b/>
        </w:rPr>
        <w:t>млн. лв.</w:t>
      </w:r>
      <w:r w:rsidRPr="00E64477">
        <w:t xml:space="preserve"> </w:t>
      </w:r>
    </w:p>
    <w:p w:rsidR="008262CB" w:rsidRPr="00247EB6" w:rsidRDefault="008262CB" w:rsidP="008262CB">
      <w:pPr>
        <w:spacing w:after="120"/>
        <w:jc w:val="both"/>
        <w:rPr>
          <w:rFonts w:eastAsia="Calibri"/>
          <w:color w:val="0070C0"/>
        </w:rPr>
      </w:pPr>
      <w:r w:rsidRPr="009D2221">
        <w:rPr>
          <w:b/>
          <w:szCs w:val="20"/>
        </w:rPr>
        <w:t xml:space="preserve">Разходите по консолидираната фискална програма </w:t>
      </w:r>
      <w:r w:rsidRPr="009D2221">
        <w:rPr>
          <w:szCs w:val="20"/>
        </w:rPr>
        <w:t xml:space="preserve">(вкл. вноската на Република България в общия бюджет на ЕС) </w:t>
      </w:r>
      <w:r w:rsidR="00374F80">
        <w:rPr>
          <w:szCs w:val="20"/>
        </w:rPr>
        <w:t xml:space="preserve">за </w:t>
      </w:r>
      <w:r w:rsidRPr="009D2221">
        <w:rPr>
          <w:szCs w:val="20"/>
        </w:rPr>
        <w:t>2020 г.</w:t>
      </w:r>
      <w:r w:rsidRPr="009D2221">
        <w:rPr>
          <w:b/>
          <w:szCs w:val="20"/>
        </w:rPr>
        <w:t xml:space="preserve"> са в размер на </w:t>
      </w:r>
      <w:r w:rsidRPr="009D2221">
        <w:rPr>
          <w:rFonts w:eastAsia="Calibri"/>
          <w:b/>
        </w:rPr>
        <w:t>47 840,4 млн. лв.</w:t>
      </w:r>
      <w:r w:rsidRPr="009D2221">
        <w:rPr>
          <w:rFonts w:eastAsia="Calibri"/>
        </w:rPr>
        <w:t>, което е 98,1 % от годишните разчети.</w:t>
      </w:r>
      <w:r w:rsidRPr="004B1466">
        <w:rPr>
          <w:rFonts w:eastAsia="Calibri"/>
          <w:color w:val="0070C0"/>
        </w:rPr>
        <w:t xml:space="preserve"> </w:t>
      </w:r>
      <w:r w:rsidRPr="009A4DCB">
        <w:rPr>
          <w:rFonts w:eastAsia="Calibri"/>
        </w:rPr>
        <w:t xml:space="preserve">За сравнение разходите по КФП за 2019 г. бяха в размер на 45 201,0 млн. лева. Извършените по-високи разходи са свързани </w:t>
      </w:r>
      <w:r>
        <w:rPr>
          <w:rFonts w:eastAsia="Calibri"/>
        </w:rPr>
        <w:t xml:space="preserve">основно </w:t>
      </w:r>
      <w:r w:rsidRPr="009A4DCB">
        <w:rPr>
          <w:rFonts w:eastAsia="Calibri"/>
        </w:rPr>
        <w:t>с</w:t>
      </w:r>
      <w:r>
        <w:rPr>
          <w:rFonts w:eastAsia="Calibri"/>
        </w:rPr>
        <w:t xml:space="preserve"> предприетите</w:t>
      </w:r>
      <w:r w:rsidRPr="009A4DCB">
        <w:rPr>
          <w:rFonts w:eastAsia="Calibri"/>
        </w:rPr>
        <w:t xml:space="preserve"> социално-икономически мерки за минимизиране на ефектите от кризата, </w:t>
      </w:r>
      <w:r w:rsidRPr="00C87B35">
        <w:rPr>
          <w:rFonts w:eastAsia="Calibri"/>
        </w:rPr>
        <w:t xml:space="preserve">в т.ч. плащания по мярка 60/40, </w:t>
      </w:r>
      <w:r w:rsidRPr="00BE7ED7">
        <w:rPr>
          <w:rFonts w:eastAsia="Calibri"/>
        </w:rPr>
        <w:t>плащания към заетите на първа линия в борбата с пандемията, вкл. разходите за закупуване на медикаменти и ваксини, изплащане на месечни добавки в размер на 50 лева към пенсиите на всички пенсионери за месеците от август до декември, плащания към бизнеса и земеделските стопани, както и други разходи по одобрените мерки. Номинално нарастване, съпоставено с предходната година, има при социалните плащания, разходите за персонал, разходите за субсидии и други, където са отчетени основната част от разходите, свързани със социално-икономическите мерки за борба с пандемията. При съпоставката на капиталовите разходи с предходната година следва да се има предвид ефекта в 2019 г. от извършените разходи по реализирането на проекта за придобиване на нов тип боен самолет за българските ВВС, които са с еднократен характер.</w:t>
      </w:r>
    </w:p>
    <w:p w:rsidR="008262CB" w:rsidRPr="004B1466" w:rsidRDefault="008262CB" w:rsidP="008262CB">
      <w:pPr>
        <w:spacing w:before="240" w:after="120"/>
        <w:jc w:val="both"/>
        <w:rPr>
          <w:color w:val="0070C0"/>
        </w:rPr>
      </w:pPr>
      <w:r w:rsidRPr="003636BE">
        <w:rPr>
          <w:b/>
          <w:i/>
        </w:rPr>
        <w:t>Нелихвените разходи</w:t>
      </w:r>
      <w:r w:rsidRPr="003636BE">
        <w:t xml:space="preserve"> са в размер на 45 921,1 млн. лв., което представлява 99,0 % от годишния разчет. </w:t>
      </w:r>
      <w:r w:rsidRPr="003636BE">
        <w:rPr>
          <w:i/>
        </w:rPr>
        <w:t>Текущите нелихвени разходи</w:t>
      </w:r>
      <w:r w:rsidRPr="003636BE">
        <w:t xml:space="preserve"> са в размер на 40 781,1 млн. лева. </w:t>
      </w:r>
      <w:r w:rsidRPr="003636BE">
        <w:rPr>
          <w:i/>
        </w:rPr>
        <w:t>Капиталовите разходи</w:t>
      </w:r>
      <w:r w:rsidRPr="00AE5DB2">
        <w:t xml:space="preserve"> (вкл. нетния прираст на държавния резерв) възлизат на 5 080,5 млн. лева. </w:t>
      </w:r>
      <w:r w:rsidRPr="00AE5DB2">
        <w:rPr>
          <w:i/>
        </w:rPr>
        <w:t>Предоставените текущи и капиталови трансфери за чужбина</w:t>
      </w:r>
      <w:r w:rsidRPr="00AE5DB2">
        <w:t xml:space="preserve"> са в размер на 59,4 млн. лева. </w:t>
      </w:r>
      <w:r w:rsidRPr="00AE5DB2">
        <w:rPr>
          <w:b/>
          <w:i/>
        </w:rPr>
        <w:t>Лихвените плащания</w:t>
      </w:r>
      <w:r w:rsidRPr="00AE5DB2">
        <w:t xml:space="preserve"> са в размер на 623,9 млн. лв. (86,1 % от планираните за 2020 година).</w:t>
      </w:r>
    </w:p>
    <w:p w:rsidR="008262CB" w:rsidRPr="003D53CD" w:rsidRDefault="008262CB" w:rsidP="008262CB">
      <w:pPr>
        <w:numPr>
          <w:ilvl w:val="0"/>
          <w:numId w:val="25"/>
        </w:numPr>
        <w:tabs>
          <w:tab w:val="left" w:pos="426"/>
        </w:tabs>
        <w:ind w:left="0" w:firstLine="0"/>
        <w:contextualSpacing/>
        <w:jc w:val="both"/>
        <w:rPr>
          <w:szCs w:val="20"/>
        </w:rPr>
      </w:pPr>
      <w:r w:rsidRPr="003D53CD">
        <w:rPr>
          <w:b/>
          <w:szCs w:val="20"/>
        </w:rPr>
        <w:t>Частта от вноската на Република България в общия бюджет на ЕС</w:t>
      </w:r>
      <w:r w:rsidRPr="003D53CD">
        <w:rPr>
          <w:szCs w:val="20"/>
        </w:rPr>
        <w:t xml:space="preserve">, изплатена през 2020 г. от централния бюджет, възлиза на </w:t>
      </w:r>
      <w:r w:rsidRPr="003D53CD">
        <w:rPr>
          <w:b/>
        </w:rPr>
        <w:t xml:space="preserve">1 295,5 </w:t>
      </w:r>
      <w:r w:rsidRPr="003D53CD">
        <w:rPr>
          <w:szCs w:val="20"/>
        </w:rPr>
        <w:t>млн. лв., което е в изпълнение на действащото към момента законодателство в областта на собствените ресурси на ЕС - Решение на Съвета 2014/335/ЕС, Евратом относно системата на собствените ресурси на Европейския съюз, Регламент (ЕС, Евратом) № 608/2014 на Съвета от 26 май 2014 г. за определяне на мерки за прилагане на системата на собствените ресурси на ЕС и Регламент (EС,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Евратом) 2016/804 на Съвета от 17 май 2016 г., в т.ч.:</w:t>
      </w:r>
    </w:p>
    <w:p w:rsidR="008262CB" w:rsidRPr="0013256A" w:rsidRDefault="008262CB" w:rsidP="008262CB">
      <w:pPr>
        <w:numPr>
          <w:ilvl w:val="0"/>
          <w:numId w:val="13"/>
        </w:numPr>
        <w:tabs>
          <w:tab w:val="clear" w:pos="1500"/>
          <w:tab w:val="num" w:pos="720"/>
        </w:tabs>
        <w:spacing w:before="120"/>
        <w:ind w:left="709" w:hanging="284"/>
        <w:jc w:val="both"/>
      </w:pPr>
      <w:r w:rsidRPr="0013256A">
        <w:t>ресурс на база брутен национален доход – 861,1 млн. лв.;</w:t>
      </w:r>
    </w:p>
    <w:p w:rsidR="008262CB" w:rsidRPr="0013256A" w:rsidRDefault="008262CB" w:rsidP="008262CB">
      <w:pPr>
        <w:numPr>
          <w:ilvl w:val="0"/>
          <w:numId w:val="13"/>
        </w:numPr>
        <w:tabs>
          <w:tab w:val="clear" w:pos="1500"/>
          <w:tab w:val="num" w:pos="720"/>
        </w:tabs>
        <w:ind w:left="709" w:hanging="283"/>
        <w:jc w:val="both"/>
      </w:pPr>
      <w:r w:rsidRPr="0013256A">
        <w:t>ресурс на база данък върху добавената стойност – 163,2 млн. лв.;</w:t>
      </w:r>
    </w:p>
    <w:p w:rsidR="008262CB" w:rsidRPr="0013256A" w:rsidRDefault="008262CB" w:rsidP="008262CB">
      <w:pPr>
        <w:numPr>
          <w:ilvl w:val="0"/>
          <w:numId w:val="13"/>
        </w:numPr>
        <w:tabs>
          <w:tab w:val="clear" w:pos="1500"/>
          <w:tab w:val="num" w:pos="720"/>
        </w:tabs>
        <w:ind w:left="709" w:hanging="283"/>
        <w:jc w:val="both"/>
      </w:pPr>
      <w:r w:rsidRPr="0013256A">
        <w:t>корекция за Обединеното кралство – 91,0 млн. лв.;</w:t>
      </w:r>
    </w:p>
    <w:p w:rsidR="008262CB" w:rsidRPr="0013256A" w:rsidRDefault="008262CB" w:rsidP="008262CB">
      <w:pPr>
        <w:numPr>
          <w:ilvl w:val="0"/>
          <w:numId w:val="13"/>
        </w:numPr>
        <w:tabs>
          <w:tab w:val="clear" w:pos="1500"/>
          <w:tab w:val="num" w:pos="720"/>
        </w:tabs>
        <w:ind w:left="709" w:hanging="283"/>
        <w:jc w:val="both"/>
      </w:pPr>
      <w:r w:rsidRPr="0013256A">
        <w:t>традиционни собствени ресурси (мита) – 170,6 млн. лв.;</w:t>
      </w:r>
    </w:p>
    <w:p w:rsidR="008262CB" w:rsidRPr="0013256A" w:rsidRDefault="008262CB" w:rsidP="008262CB">
      <w:pPr>
        <w:numPr>
          <w:ilvl w:val="0"/>
          <w:numId w:val="13"/>
        </w:numPr>
        <w:tabs>
          <w:tab w:val="clear" w:pos="1500"/>
        </w:tabs>
        <w:ind w:left="709" w:hanging="283"/>
        <w:jc w:val="both"/>
      </w:pPr>
      <w:r w:rsidRPr="0013256A">
        <w:t>участие във финансиране на брутното намаление за Нидерландия, Швеция и Дания – 9,6</w:t>
      </w:r>
      <w:r>
        <w:t> </w:t>
      </w:r>
      <w:r w:rsidRPr="0013256A">
        <w:t>млн. лв.</w:t>
      </w:r>
    </w:p>
    <w:p w:rsidR="008262CB" w:rsidRDefault="008262CB" w:rsidP="008262CB">
      <w:pPr>
        <w:spacing w:before="120" w:after="120"/>
        <w:jc w:val="both"/>
        <w:rPr>
          <w:color w:val="0070C0"/>
        </w:rPr>
      </w:pPr>
      <w:r w:rsidRPr="00C07857">
        <w:rPr>
          <w:b/>
        </w:rPr>
        <w:t>Бюджетното салдо</w:t>
      </w:r>
      <w:r w:rsidRPr="00C07857">
        <w:rPr>
          <w:bCs/>
        </w:rPr>
        <w:t xml:space="preserve"> по консолидираната фискална програма </w:t>
      </w:r>
      <w:r w:rsidRPr="00C07857">
        <w:t>за</w:t>
      </w:r>
      <w:r w:rsidRPr="00C07857">
        <w:rPr>
          <w:bCs/>
        </w:rPr>
        <w:t xml:space="preserve"> 2020 г. е </w:t>
      </w:r>
      <w:r w:rsidRPr="00C07857">
        <w:rPr>
          <w:b/>
          <w:bCs/>
        </w:rPr>
        <w:t>отрицателно</w:t>
      </w:r>
      <w:r w:rsidRPr="00C07857">
        <w:rPr>
          <w:bCs/>
        </w:rPr>
        <w:t xml:space="preserve"> в размер на </w:t>
      </w:r>
      <w:r w:rsidRPr="00C07857">
        <w:rPr>
          <w:b/>
          <w:bCs/>
        </w:rPr>
        <w:t xml:space="preserve">3 531,6 </w:t>
      </w:r>
      <w:r w:rsidRPr="00C07857">
        <w:rPr>
          <w:b/>
        </w:rPr>
        <w:t>млн. лв.</w:t>
      </w:r>
      <w:r w:rsidRPr="00C07857">
        <w:t xml:space="preserve"> </w:t>
      </w:r>
      <w:r w:rsidRPr="00C07857">
        <w:rPr>
          <w:rFonts w:eastAsia="Calibri"/>
        </w:rPr>
        <w:t xml:space="preserve">(3,0 % от прогнозния БВП) </w:t>
      </w:r>
      <w:r w:rsidRPr="00C07857">
        <w:t xml:space="preserve">и </w:t>
      </w:r>
      <w:r w:rsidRPr="00C07857">
        <w:rPr>
          <w:bCs/>
        </w:rPr>
        <w:t xml:space="preserve">се формира от </w:t>
      </w:r>
      <w:r w:rsidRPr="00C07857">
        <w:t xml:space="preserve">дефицит по </w:t>
      </w:r>
      <w:r w:rsidRPr="00AE1B83">
        <w:t>националния бюджет в размер на</w:t>
      </w:r>
      <w:r w:rsidR="00C55846">
        <w:t xml:space="preserve"> </w:t>
      </w:r>
      <w:r w:rsidRPr="00AE1B83">
        <w:t>3 550,8 млн. лв. и превишение на приходите над разходите по европейските средства в размер на 19,2 млн. лева. Отчита се номинално подобрение на бюджетното салдо по КФП с 1,7 млрд. лв., съпоставено с актуализираните разчети към ЗДБРБ за 2020 година. За това допринасят, от една страна, добрите параметри по изпълнението на приходите</w:t>
      </w:r>
      <w:r w:rsidR="00B83C42">
        <w:t>,</w:t>
      </w:r>
      <w:r w:rsidRPr="00AE1B83">
        <w:t xml:space="preserve"> и от друга, по-ниските от планираните разходи и вноска на Република България в общия бюджет на ЕС</w:t>
      </w:r>
      <w:r w:rsidRPr="004B1466">
        <w:rPr>
          <w:color w:val="0070C0"/>
        </w:rPr>
        <w:t>.</w:t>
      </w:r>
    </w:p>
    <w:p w:rsidR="008262CB" w:rsidRPr="001C383E" w:rsidRDefault="008262CB" w:rsidP="008262CB">
      <w:pPr>
        <w:numPr>
          <w:ilvl w:val="0"/>
          <w:numId w:val="9"/>
        </w:numPr>
        <w:tabs>
          <w:tab w:val="num" w:pos="0"/>
          <w:tab w:val="left" w:pos="426"/>
          <w:tab w:val="left" w:pos="720"/>
        </w:tabs>
        <w:spacing w:before="240" w:after="60"/>
        <w:ind w:left="0" w:firstLine="0"/>
        <w:jc w:val="both"/>
      </w:pPr>
      <w:r w:rsidRPr="001C383E">
        <w:rPr>
          <w:b/>
          <w:bCs/>
        </w:rPr>
        <w:t>Общият размер на касовите постъпления от ЕС</w:t>
      </w:r>
      <w:r w:rsidRPr="001C383E">
        <w:rPr>
          <w:bCs/>
        </w:rPr>
        <w:t xml:space="preserve"> (от Структурните и Кохезионния фондове, от</w:t>
      </w:r>
      <w:r w:rsidRPr="001C383E">
        <w:t xml:space="preserve"> ЕЗФРСР и ЕФР</w:t>
      </w:r>
      <w:r w:rsidRPr="001C383E">
        <w:rPr>
          <w:bCs/>
        </w:rPr>
        <w:t xml:space="preserve">, от средства за директни плащания към земеделските производители и плащания по пазарни мерки и др.) за 2020 г. е </w:t>
      </w:r>
      <w:r w:rsidRPr="001C383E">
        <w:rPr>
          <w:b/>
          <w:bCs/>
        </w:rPr>
        <w:t>4 307,6 млн. лв.</w:t>
      </w:r>
      <w:r w:rsidRPr="001C383E">
        <w:rPr>
          <w:b/>
        </w:rPr>
        <w:t xml:space="preserve"> </w:t>
      </w:r>
      <w:r w:rsidRPr="001C383E">
        <w:rPr>
          <w:b/>
          <w:bCs/>
        </w:rPr>
        <w:t xml:space="preserve">Нетните </w:t>
      </w:r>
      <w:r w:rsidRPr="00C345BC">
        <w:rPr>
          <w:b/>
          <w:bCs/>
        </w:rPr>
        <w:t xml:space="preserve">постъпления от ЕС </w:t>
      </w:r>
      <w:r w:rsidRPr="00C345BC">
        <w:rPr>
          <w:b/>
          <w:bCs/>
        </w:rPr>
        <w:lastRenderedPageBreak/>
        <w:t xml:space="preserve">към 31.12.2020 г. </w:t>
      </w:r>
      <w:r w:rsidRPr="00C345BC">
        <w:rPr>
          <w:bCs/>
        </w:rPr>
        <w:t>(касови постъпления от ЕС, намалени с вноската в</w:t>
      </w:r>
      <w:r w:rsidRPr="001C383E">
        <w:rPr>
          <w:bCs/>
        </w:rPr>
        <w:t xml:space="preserve"> общия бюджет на ЕС) са положителни в размер на </w:t>
      </w:r>
      <w:r w:rsidRPr="001C383E">
        <w:rPr>
          <w:b/>
          <w:bCs/>
        </w:rPr>
        <w:t>3 012,1 млн. лева</w:t>
      </w:r>
      <w:r w:rsidRPr="001C383E">
        <w:t>.</w:t>
      </w:r>
    </w:p>
    <w:p w:rsidR="008262CB" w:rsidRPr="004B1466" w:rsidRDefault="008262CB" w:rsidP="008262CB">
      <w:pPr>
        <w:numPr>
          <w:ilvl w:val="2"/>
          <w:numId w:val="17"/>
        </w:numPr>
        <w:tabs>
          <w:tab w:val="left" w:pos="426"/>
        </w:tabs>
        <w:spacing w:before="120" w:after="120"/>
        <w:ind w:left="0" w:firstLine="0"/>
        <w:jc w:val="both"/>
        <w:rPr>
          <w:color w:val="0070C0"/>
          <w:sz w:val="8"/>
          <w:szCs w:val="8"/>
        </w:rPr>
      </w:pPr>
      <w:r w:rsidRPr="008E5378">
        <w:rPr>
          <w:b/>
        </w:rPr>
        <w:t>Фискалният резерв</w:t>
      </w:r>
      <w:r w:rsidRPr="008E5378">
        <w:rPr>
          <w:b/>
          <w:bCs/>
          <w:vertAlign w:val="superscript"/>
          <w:lang w:eastAsia="bg-BG"/>
        </w:rPr>
        <w:footnoteReference w:id="6"/>
      </w:r>
      <w:r w:rsidRPr="008E5378">
        <w:rPr>
          <w:bCs/>
          <w:lang w:eastAsia="bg-BG"/>
        </w:rPr>
        <w:t xml:space="preserve"> към </w:t>
      </w:r>
      <w:r w:rsidRPr="008E5378">
        <w:rPr>
          <w:bCs/>
        </w:rPr>
        <w:t xml:space="preserve">31.12.2020 г. е </w:t>
      </w:r>
      <w:r w:rsidRPr="008E5378">
        <w:rPr>
          <w:b/>
          <w:bCs/>
        </w:rPr>
        <w:t>8,6 млрд. лв</w:t>
      </w:r>
      <w:r w:rsidRPr="008E5378">
        <w:rPr>
          <w:bCs/>
        </w:rPr>
        <w:t>., в т.ч. 8,5 млрд.</w:t>
      </w:r>
      <w:r w:rsidRPr="008E5378">
        <w:rPr>
          <w:bCs/>
          <w:lang w:val="en-US"/>
        </w:rPr>
        <w:t> </w:t>
      </w:r>
      <w:r w:rsidRPr="008E5378">
        <w:rPr>
          <w:bCs/>
        </w:rPr>
        <w:t>лв. депозити на</w:t>
      </w:r>
      <w:r w:rsidRPr="001C6879">
        <w:rPr>
          <w:bCs/>
        </w:rPr>
        <w:t xml:space="preserve"> фискалния резерв в БНБ и банки и 0,1 млрд. лв. вземания от фондовете на Европейския съюз за сертифицирани разходи, аванси и други</w:t>
      </w:r>
      <w:r w:rsidRPr="004B1466">
        <w:rPr>
          <w:bCs/>
          <w:color w:val="0070C0"/>
          <w:lang w:eastAsia="bg-BG"/>
        </w:rPr>
        <w:t>.</w:t>
      </w:r>
      <w:r w:rsidRPr="004B1466">
        <w:rPr>
          <w:bCs/>
          <w:color w:val="0070C0"/>
        </w:rPr>
        <w:t xml:space="preserve"> </w:t>
      </w:r>
    </w:p>
    <w:p w:rsidR="008262CB" w:rsidRPr="004B1466" w:rsidRDefault="008262CB" w:rsidP="008262CB">
      <w:pPr>
        <w:tabs>
          <w:tab w:val="left" w:pos="426"/>
        </w:tabs>
        <w:spacing w:before="120" w:after="120"/>
        <w:jc w:val="both"/>
        <w:rPr>
          <w:color w:val="0070C0"/>
          <w:sz w:val="8"/>
          <w:szCs w:val="8"/>
        </w:rPr>
      </w:pPr>
    </w:p>
    <w:p w:rsidR="008262CB" w:rsidRPr="009E1AEF" w:rsidRDefault="008262CB" w:rsidP="008262CB">
      <w:pPr>
        <w:keepNext/>
        <w:numPr>
          <w:ilvl w:val="0"/>
          <w:numId w:val="10"/>
        </w:numPr>
        <w:ind w:right="-108"/>
        <w:jc w:val="both"/>
        <w:outlineLvl w:val="0"/>
        <w:rPr>
          <w:b/>
          <w:bCs/>
        </w:rPr>
      </w:pPr>
      <w:r w:rsidRPr="009E1AEF">
        <w:rPr>
          <w:b/>
          <w:bCs/>
        </w:rPr>
        <w:t>Изпълнение на държавния бюджет</w:t>
      </w:r>
      <w:r w:rsidRPr="009E1AEF">
        <w:rPr>
          <w:b/>
          <w:sz w:val="20"/>
          <w:szCs w:val="20"/>
          <w:vertAlign w:val="superscript"/>
        </w:rPr>
        <w:footnoteReference w:id="7"/>
      </w:r>
      <w:r w:rsidRPr="009E1AEF">
        <w:rPr>
          <w:b/>
          <w:bCs/>
        </w:rPr>
        <w:t xml:space="preserve"> </w:t>
      </w:r>
      <w:r>
        <w:rPr>
          <w:b/>
          <w:bCs/>
        </w:rPr>
        <w:t>за</w:t>
      </w:r>
      <w:r w:rsidRPr="009E1AEF">
        <w:rPr>
          <w:b/>
          <w:bCs/>
        </w:rPr>
        <w:t xml:space="preserve"> 20</w:t>
      </w:r>
      <w:r w:rsidRPr="001033E1">
        <w:rPr>
          <w:b/>
          <w:bCs/>
        </w:rPr>
        <w:t>20</w:t>
      </w:r>
      <w:r w:rsidRPr="009E1AEF">
        <w:rPr>
          <w:b/>
          <w:bCs/>
        </w:rPr>
        <w:t xml:space="preserve"> г.</w:t>
      </w:r>
    </w:p>
    <w:p w:rsidR="008262CB" w:rsidRPr="00310513" w:rsidRDefault="008262CB" w:rsidP="008262CB">
      <w:pPr>
        <w:tabs>
          <w:tab w:val="left" w:pos="1080"/>
        </w:tabs>
        <w:spacing w:before="120"/>
        <w:jc w:val="both"/>
      </w:pPr>
      <w:r w:rsidRPr="00310513">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8262CB" w:rsidRPr="004B1466" w:rsidRDefault="008262CB" w:rsidP="008262CB">
      <w:pPr>
        <w:tabs>
          <w:tab w:val="left" w:pos="1080"/>
        </w:tabs>
        <w:spacing w:before="120"/>
        <w:jc w:val="both"/>
        <w:rPr>
          <w:color w:val="0070C0"/>
          <w:sz w:val="2"/>
          <w:szCs w:val="2"/>
        </w:rPr>
      </w:pPr>
    </w:p>
    <w:p w:rsidR="008262CB" w:rsidRPr="0082698C" w:rsidRDefault="008262CB" w:rsidP="008262CB">
      <w:pPr>
        <w:ind w:right="-242"/>
        <w:rPr>
          <w:b/>
          <w:bCs/>
          <w:sz w:val="20"/>
          <w:szCs w:val="20"/>
          <w:lang w:eastAsia="bg-BG"/>
        </w:rPr>
      </w:pPr>
      <w:r w:rsidRPr="004B1466">
        <w:rPr>
          <w:b/>
          <w:bCs/>
          <w:color w:val="0070C0"/>
          <w:sz w:val="20"/>
          <w:szCs w:val="20"/>
          <w:lang w:eastAsia="bg-BG"/>
        </w:rPr>
        <w:t xml:space="preserve">            </w:t>
      </w:r>
      <w:r w:rsidRPr="0082698C">
        <w:rPr>
          <w:b/>
          <w:bCs/>
          <w:sz w:val="20"/>
          <w:szCs w:val="20"/>
          <w:lang w:eastAsia="bg-BG"/>
        </w:rPr>
        <w:t>Таблица</w:t>
      </w:r>
      <w:r w:rsidRPr="0082698C">
        <w:rPr>
          <w:b/>
          <w:bCs/>
          <w:sz w:val="20"/>
          <w:szCs w:val="20"/>
          <w:vertAlign w:val="superscript"/>
          <w:lang w:eastAsia="bg-BG"/>
        </w:rPr>
        <w:footnoteReference w:id="8"/>
      </w:r>
      <w:r w:rsidRPr="0082698C">
        <w:rPr>
          <w:b/>
          <w:bCs/>
          <w:sz w:val="20"/>
          <w:szCs w:val="20"/>
          <w:lang w:eastAsia="bg-BG"/>
        </w:rPr>
        <w:t xml:space="preserve">  №2      </w:t>
      </w:r>
      <w:r w:rsidRPr="0082698C">
        <w:rPr>
          <w:b/>
          <w:bCs/>
          <w:sz w:val="20"/>
          <w:szCs w:val="20"/>
          <w:lang w:eastAsia="bg-BG"/>
        </w:rPr>
        <w:tab/>
      </w:r>
      <w:r w:rsidRPr="0082698C">
        <w:rPr>
          <w:b/>
          <w:bCs/>
          <w:sz w:val="20"/>
          <w:szCs w:val="20"/>
          <w:lang w:eastAsia="bg-BG"/>
        </w:rPr>
        <w:tab/>
        <w:t xml:space="preserve">                                          </w:t>
      </w:r>
      <w:r w:rsidRPr="0082698C">
        <w:rPr>
          <w:b/>
          <w:bCs/>
          <w:sz w:val="20"/>
          <w:szCs w:val="20"/>
          <w:lang w:eastAsia="bg-BG"/>
        </w:rPr>
        <w:tab/>
      </w:r>
      <w:r w:rsidRPr="0082698C">
        <w:rPr>
          <w:b/>
          <w:bCs/>
          <w:sz w:val="20"/>
          <w:szCs w:val="20"/>
          <w:lang w:eastAsia="bg-BG"/>
        </w:rPr>
        <w:tab/>
      </w:r>
      <w:r w:rsidRPr="0082698C">
        <w:rPr>
          <w:b/>
          <w:bCs/>
          <w:sz w:val="20"/>
          <w:szCs w:val="20"/>
          <w:lang w:eastAsia="bg-BG"/>
        </w:rPr>
        <w:tab/>
      </w:r>
      <w:r w:rsidRPr="0082698C">
        <w:rPr>
          <w:b/>
          <w:bCs/>
          <w:sz w:val="20"/>
          <w:szCs w:val="20"/>
          <w:lang w:eastAsia="bg-BG"/>
        </w:rPr>
        <w:tab/>
        <w:t xml:space="preserve">  (млн. лв.)</w:t>
      </w:r>
    </w:p>
    <w:p w:rsidR="008262CB" w:rsidRPr="0082698C" w:rsidRDefault="008262CB" w:rsidP="008262CB">
      <w:pPr>
        <w:ind w:right="-242"/>
        <w:rPr>
          <w:b/>
          <w:bCs/>
          <w:sz w:val="6"/>
          <w:szCs w:val="6"/>
          <w:lang w:eastAsia="bg-BG"/>
        </w:rPr>
      </w:pPr>
    </w:p>
    <w:tbl>
      <w:tblPr>
        <w:tblW w:w="8642" w:type="dxa"/>
        <w:jc w:val="center"/>
        <w:tblCellMar>
          <w:left w:w="70" w:type="dxa"/>
          <w:right w:w="70" w:type="dxa"/>
        </w:tblCellMar>
        <w:tblLook w:val="0000" w:firstRow="0" w:lastRow="0" w:firstColumn="0" w:lastColumn="0" w:noHBand="0" w:noVBand="0"/>
      </w:tblPr>
      <w:tblGrid>
        <w:gridCol w:w="4853"/>
        <w:gridCol w:w="1276"/>
        <w:gridCol w:w="1209"/>
        <w:gridCol w:w="1304"/>
      </w:tblGrid>
      <w:tr w:rsidR="008262CB" w:rsidRPr="0082698C" w:rsidTr="00925CA5">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8262CB" w:rsidRPr="0082698C" w:rsidRDefault="008262CB" w:rsidP="00925CA5">
            <w:pPr>
              <w:jc w:val="center"/>
              <w:rPr>
                <w:b/>
                <w:bCs/>
                <w:sz w:val="18"/>
                <w:szCs w:val="18"/>
              </w:rPr>
            </w:pPr>
            <w:r w:rsidRPr="0082698C">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8262CB" w:rsidRPr="0082698C" w:rsidRDefault="008262CB" w:rsidP="00925CA5">
            <w:pPr>
              <w:jc w:val="center"/>
              <w:rPr>
                <w:b/>
                <w:bCs/>
                <w:sz w:val="18"/>
                <w:szCs w:val="18"/>
              </w:rPr>
            </w:pPr>
            <w:r w:rsidRPr="0082698C">
              <w:rPr>
                <w:b/>
                <w:bCs/>
                <w:sz w:val="18"/>
                <w:szCs w:val="18"/>
              </w:rPr>
              <w:t>ЗДБРБ     2020 г.</w:t>
            </w:r>
            <w:r w:rsidRPr="0082698C">
              <w:rPr>
                <w:rStyle w:val="FootnoteReference"/>
                <w:b/>
                <w:bCs/>
                <w:sz w:val="18"/>
                <w:szCs w:val="18"/>
              </w:rPr>
              <w:footnoteReference w:id="9"/>
            </w:r>
          </w:p>
        </w:tc>
        <w:tc>
          <w:tcPr>
            <w:tcW w:w="1209" w:type="dxa"/>
            <w:tcBorders>
              <w:top w:val="single" w:sz="8" w:space="0" w:color="auto"/>
              <w:left w:val="nil"/>
              <w:bottom w:val="nil"/>
              <w:right w:val="nil"/>
            </w:tcBorders>
            <w:shd w:val="clear" w:color="auto" w:fill="auto"/>
            <w:vAlign w:val="center"/>
          </w:tcPr>
          <w:p w:rsidR="008262CB" w:rsidRPr="0082698C" w:rsidRDefault="008262CB" w:rsidP="00925CA5">
            <w:pPr>
              <w:jc w:val="center"/>
              <w:rPr>
                <w:b/>
                <w:bCs/>
                <w:sz w:val="18"/>
                <w:szCs w:val="18"/>
              </w:rPr>
            </w:pPr>
            <w:r w:rsidRPr="0082698C">
              <w:rPr>
                <w:b/>
                <w:bCs/>
                <w:sz w:val="18"/>
                <w:szCs w:val="18"/>
              </w:rPr>
              <w:t>Отчет</w:t>
            </w:r>
          </w:p>
          <w:p w:rsidR="008262CB" w:rsidRPr="0082698C" w:rsidRDefault="008262CB" w:rsidP="00925CA5">
            <w:pPr>
              <w:jc w:val="center"/>
              <w:rPr>
                <w:b/>
                <w:bCs/>
                <w:sz w:val="18"/>
                <w:szCs w:val="18"/>
              </w:rPr>
            </w:pPr>
            <w:r>
              <w:rPr>
                <w:b/>
                <w:bCs/>
                <w:sz w:val="18"/>
                <w:szCs w:val="18"/>
              </w:rPr>
              <w:t xml:space="preserve">   </w:t>
            </w:r>
            <w:r w:rsidRPr="0082698C">
              <w:rPr>
                <w:b/>
                <w:bCs/>
                <w:sz w:val="18"/>
                <w:szCs w:val="18"/>
              </w:rPr>
              <w:t>2020 г.</w:t>
            </w:r>
          </w:p>
        </w:tc>
        <w:tc>
          <w:tcPr>
            <w:tcW w:w="1304" w:type="dxa"/>
            <w:tcBorders>
              <w:top w:val="single" w:sz="8" w:space="0" w:color="auto"/>
              <w:left w:val="nil"/>
              <w:bottom w:val="nil"/>
              <w:right w:val="single" w:sz="8" w:space="0" w:color="auto"/>
            </w:tcBorders>
            <w:shd w:val="clear" w:color="auto" w:fill="auto"/>
            <w:vAlign w:val="center"/>
          </w:tcPr>
          <w:p w:rsidR="008262CB" w:rsidRPr="0082698C" w:rsidRDefault="008262CB" w:rsidP="00925CA5">
            <w:pPr>
              <w:jc w:val="center"/>
              <w:rPr>
                <w:b/>
                <w:bCs/>
                <w:sz w:val="18"/>
                <w:szCs w:val="18"/>
              </w:rPr>
            </w:pPr>
            <w:r w:rsidRPr="0082698C">
              <w:rPr>
                <w:b/>
                <w:bCs/>
                <w:sz w:val="18"/>
                <w:szCs w:val="18"/>
              </w:rPr>
              <w:t>Изпълнение спрямо    закон 2020 г.</w:t>
            </w:r>
          </w:p>
        </w:tc>
      </w:tr>
      <w:tr w:rsidR="008262CB" w:rsidRPr="004B1466" w:rsidTr="00925CA5">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62CB" w:rsidRPr="00EE0079" w:rsidRDefault="008262CB" w:rsidP="00925CA5">
            <w:pPr>
              <w:rPr>
                <w:b/>
                <w:bCs/>
                <w:sz w:val="18"/>
                <w:szCs w:val="18"/>
              </w:rPr>
            </w:pPr>
            <w:r w:rsidRPr="00EE0079">
              <w:rPr>
                <w:b/>
                <w:bCs/>
                <w:sz w:val="18"/>
                <w:szCs w:val="18"/>
              </w:rPr>
              <w:t>Общо приходи, помощи и дарения</w:t>
            </w:r>
          </w:p>
        </w:tc>
        <w:tc>
          <w:tcPr>
            <w:tcW w:w="1276" w:type="dxa"/>
            <w:tcBorders>
              <w:top w:val="single" w:sz="4" w:space="0" w:color="auto"/>
              <w:left w:val="nil"/>
              <w:bottom w:val="single" w:sz="8" w:space="0" w:color="auto"/>
              <w:right w:val="nil"/>
            </w:tcBorders>
            <w:shd w:val="clear" w:color="auto" w:fill="auto"/>
            <w:noWrap/>
            <w:vAlign w:val="bottom"/>
          </w:tcPr>
          <w:p w:rsidR="008262CB" w:rsidRPr="008F190E" w:rsidRDefault="008262CB" w:rsidP="00925CA5">
            <w:pPr>
              <w:jc w:val="right"/>
              <w:rPr>
                <w:b/>
                <w:bCs/>
                <w:sz w:val="18"/>
                <w:szCs w:val="18"/>
              </w:rPr>
            </w:pPr>
            <w:r w:rsidRPr="008F190E">
              <w:rPr>
                <w:b/>
                <w:bCs/>
                <w:sz w:val="18"/>
                <w:szCs w:val="18"/>
              </w:rPr>
              <w:t>25 145,8</w:t>
            </w:r>
          </w:p>
        </w:tc>
        <w:tc>
          <w:tcPr>
            <w:tcW w:w="1209" w:type="dxa"/>
            <w:tcBorders>
              <w:top w:val="single" w:sz="4" w:space="0" w:color="auto"/>
              <w:left w:val="nil"/>
              <w:bottom w:val="single" w:sz="8" w:space="0" w:color="auto"/>
              <w:right w:val="nil"/>
            </w:tcBorders>
            <w:shd w:val="clear" w:color="auto" w:fill="auto"/>
            <w:noWrap/>
            <w:vAlign w:val="bottom"/>
          </w:tcPr>
          <w:p w:rsidR="008262CB" w:rsidRDefault="008262CB" w:rsidP="00925CA5">
            <w:pPr>
              <w:jc w:val="right"/>
              <w:rPr>
                <w:b/>
                <w:bCs/>
                <w:sz w:val="18"/>
                <w:szCs w:val="18"/>
              </w:rPr>
            </w:pPr>
            <w:r>
              <w:rPr>
                <w:b/>
                <w:bCs/>
                <w:sz w:val="18"/>
                <w:szCs w:val="18"/>
              </w:rPr>
              <w:t>25 854,3</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8262CB" w:rsidRDefault="008262CB" w:rsidP="00925CA5">
            <w:pPr>
              <w:jc w:val="right"/>
              <w:rPr>
                <w:b/>
                <w:bCs/>
                <w:sz w:val="18"/>
                <w:szCs w:val="18"/>
              </w:rPr>
            </w:pPr>
            <w:r>
              <w:rPr>
                <w:b/>
                <w:bCs/>
                <w:sz w:val="18"/>
                <w:szCs w:val="18"/>
              </w:rPr>
              <w:t>102,8%</w:t>
            </w:r>
          </w:p>
        </w:tc>
      </w:tr>
      <w:tr w:rsidR="008262CB" w:rsidRPr="004B1466" w:rsidTr="00925CA5">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23 026,0</w:t>
            </w:r>
          </w:p>
        </w:tc>
        <w:tc>
          <w:tcPr>
            <w:tcW w:w="1209" w:type="dxa"/>
            <w:tcBorders>
              <w:top w:val="single" w:sz="8" w:space="0" w:color="auto"/>
              <w:left w:val="nil"/>
              <w:right w:val="nil"/>
            </w:tcBorders>
            <w:shd w:val="clear" w:color="auto" w:fill="auto"/>
            <w:noWrap/>
            <w:vAlign w:val="bottom"/>
          </w:tcPr>
          <w:p w:rsidR="008262CB" w:rsidRDefault="008262CB" w:rsidP="00925CA5">
            <w:pPr>
              <w:jc w:val="right"/>
              <w:rPr>
                <w:sz w:val="18"/>
                <w:szCs w:val="18"/>
              </w:rPr>
            </w:pPr>
            <w:r>
              <w:rPr>
                <w:sz w:val="18"/>
                <w:szCs w:val="18"/>
              </w:rPr>
              <w:t>23 770,1</w:t>
            </w:r>
          </w:p>
        </w:tc>
        <w:tc>
          <w:tcPr>
            <w:tcW w:w="1304" w:type="dxa"/>
            <w:tcBorders>
              <w:top w:val="single" w:sz="8" w:space="0" w:color="auto"/>
              <w:left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103,2%</w:t>
            </w:r>
          </w:p>
        </w:tc>
      </w:tr>
      <w:tr w:rsidR="008262CB" w:rsidRPr="004B1466" w:rsidTr="00925CA5">
        <w:trPr>
          <w:trHeight w:val="80"/>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2 487,4</w:t>
            </w:r>
          </w:p>
        </w:tc>
        <w:tc>
          <w:tcPr>
            <w:tcW w:w="1209" w:type="dxa"/>
            <w:tcBorders>
              <w:left w:val="nil"/>
              <w:bottom w:val="nil"/>
              <w:right w:val="nil"/>
            </w:tcBorders>
            <w:shd w:val="clear" w:color="auto" w:fill="auto"/>
            <w:noWrap/>
            <w:vAlign w:val="bottom"/>
          </w:tcPr>
          <w:p w:rsidR="008262CB" w:rsidRPr="00450C8F" w:rsidRDefault="008262CB" w:rsidP="00925CA5">
            <w:pPr>
              <w:jc w:val="right"/>
              <w:rPr>
                <w:bCs/>
                <w:sz w:val="18"/>
                <w:szCs w:val="18"/>
              </w:rPr>
            </w:pPr>
            <w:r w:rsidRPr="00450C8F">
              <w:rPr>
                <w:bCs/>
                <w:sz w:val="18"/>
                <w:szCs w:val="18"/>
              </w:rPr>
              <w:t>2 714,9</w:t>
            </w:r>
          </w:p>
        </w:tc>
        <w:tc>
          <w:tcPr>
            <w:tcW w:w="1304" w:type="dxa"/>
            <w:tcBorders>
              <w:left w:val="nil"/>
              <w:bottom w:val="nil"/>
              <w:right w:val="single" w:sz="8" w:space="0" w:color="auto"/>
            </w:tcBorders>
            <w:shd w:val="clear" w:color="auto" w:fill="auto"/>
            <w:noWrap/>
            <w:vAlign w:val="bottom"/>
          </w:tcPr>
          <w:p w:rsidR="008262CB" w:rsidRPr="00450C8F" w:rsidRDefault="008262CB" w:rsidP="00925CA5">
            <w:pPr>
              <w:jc w:val="right"/>
              <w:rPr>
                <w:bCs/>
                <w:sz w:val="18"/>
                <w:szCs w:val="18"/>
              </w:rPr>
            </w:pPr>
            <w:r w:rsidRPr="00450C8F">
              <w:rPr>
                <w:bCs/>
                <w:sz w:val="18"/>
                <w:szCs w:val="18"/>
              </w:rPr>
              <w:t>109,1%</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w:t>
            </w:r>
            <w:r w:rsidRPr="00EE0079">
              <w:rPr>
                <w:sz w:val="18"/>
                <w:szCs w:val="18"/>
                <w:lang w:val="en-US"/>
              </w:rPr>
              <w:t xml:space="preserve"> </w:t>
            </w:r>
            <w:r w:rsidRPr="00EE0079">
              <w:rPr>
                <w:sz w:val="18"/>
                <w:szCs w:val="18"/>
              </w:rPr>
              <w:t>ДДФЛ</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4 074,6</w:t>
            </w:r>
          </w:p>
        </w:tc>
        <w:tc>
          <w:tcPr>
            <w:tcW w:w="1209" w:type="dxa"/>
            <w:tcBorders>
              <w:left w:val="nil"/>
              <w:bottom w:val="nil"/>
              <w:right w:val="nil"/>
            </w:tcBorders>
            <w:shd w:val="clear" w:color="auto" w:fill="auto"/>
            <w:noWrap/>
            <w:vAlign w:val="bottom"/>
          </w:tcPr>
          <w:p w:rsidR="008262CB" w:rsidRPr="00450C8F" w:rsidRDefault="008262CB" w:rsidP="00925CA5">
            <w:pPr>
              <w:jc w:val="right"/>
              <w:rPr>
                <w:bCs/>
                <w:sz w:val="18"/>
                <w:szCs w:val="18"/>
              </w:rPr>
            </w:pPr>
            <w:r w:rsidRPr="00450C8F">
              <w:rPr>
                <w:bCs/>
                <w:sz w:val="18"/>
                <w:szCs w:val="18"/>
              </w:rPr>
              <w:t>4 183,9</w:t>
            </w:r>
          </w:p>
        </w:tc>
        <w:tc>
          <w:tcPr>
            <w:tcW w:w="1304" w:type="dxa"/>
            <w:tcBorders>
              <w:left w:val="nil"/>
              <w:bottom w:val="nil"/>
              <w:right w:val="single" w:sz="8" w:space="0" w:color="auto"/>
            </w:tcBorders>
            <w:shd w:val="clear" w:color="auto" w:fill="auto"/>
            <w:noWrap/>
            <w:vAlign w:val="bottom"/>
          </w:tcPr>
          <w:p w:rsidR="008262CB" w:rsidRPr="00450C8F" w:rsidRDefault="008262CB" w:rsidP="00925CA5">
            <w:pPr>
              <w:jc w:val="right"/>
              <w:rPr>
                <w:bCs/>
                <w:sz w:val="18"/>
                <w:szCs w:val="18"/>
              </w:rPr>
            </w:pPr>
            <w:r w:rsidRPr="00450C8F">
              <w:rPr>
                <w:bCs/>
                <w:sz w:val="18"/>
                <w:szCs w:val="18"/>
              </w:rPr>
              <w:t>102,7%</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w:t>
            </w:r>
            <w:r w:rsidRPr="00EE0079">
              <w:rPr>
                <w:sz w:val="18"/>
                <w:szCs w:val="18"/>
                <w:lang w:val="en-US"/>
              </w:rPr>
              <w:t xml:space="preserve"> </w:t>
            </w:r>
            <w:r w:rsidRPr="00EE0079">
              <w:rPr>
                <w:sz w:val="18"/>
                <w:szCs w:val="18"/>
              </w:rPr>
              <w:t>ДДС</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10 640,4</w:t>
            </w:r>
          </w:p>
        </w:tc>
        <w:tc>
          <w:tcPr>
            <w:tcW w:w="1209" w:type="dxa"/>
            <w:tcBorders>
              <w:left w:val="nil"/>
              <w:bottom w:val="nil"/>
              <w:right w:val="nil"/>
            </w:tcBorders>
            <w:shd w:val="clear" w:color="auto" w:fill="auto"/>
            <w:noWrap/>
            <w:vAlign w:val="bottom"/>
          </w:tcPr>
          <w:p w:rsidR="008262CB" w:rsidRPr="00450C8F" w:rsidRDefault="008262CB" w:rsidP="00925CA5">
            <w:pPr>
              <w:jc w:val="right"/>
              <w:rPr>
                <w:bCs/>
                <w:sz w:val="18"/>
                <w:szCs w:val="18"/>
              </w:rPr>
            </w:pPr>
            <w:r w:rsidRPr="00450C8F">
              <w:rPr>
                <w:bCs/>
                <w:sz w:val="18"/>
                <w:szCs w:val="18"/>
              </w:rPr>
              <w:t>11 021,0</w:t>
            </w:r>
          </w:p>
        </w:tc>
        <w:tc>
          <w:tcPr>
            <w:tcW w:w="1304" w:type="dxa"/>
            <w:tcBorders>
              <w:left w:val="nil"/>
              <w:bottom w:val="nil"/>
              <w:right w:val="single" w:sz="8" w:space="0" w:color="auto"/>
            </w:tcBorders>
            <w:shd w:val="clear" w:color="auto" w:fill="auto"/>
            <w:noWrap/>
            <w:vAlign w:val="bottom"/>
          </w:tcPr>
          <w:p w:rsidR="008262CB" w:rsidRPr="00450C8F" w:rsidRDefault="008262CB" w:rsidP="00925CA5">
            <w:pPr>
              <w:jc w:val="right"/>
              <w:rPr>
                <w:bCs/>
                <w:sz w:val="18"/>
                <w:szCs w:val="18"/>
              </w:rPr>
            </w:pPr>
            <w:r w:rsidRPr="00450C8F">
              <w:rPr>
                <w:bCs/>
                <w:sz w:val="18"/>
                <w:szCs w:val="18"/>
              </w:rPr>
              <w:t>103,6%</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w:t>
            </w:r>
            <w:r w:rsidRPr="00EE0079">
              <w:rPr>
                <w:sz w:val="18"/>
                <w:szCs w:val="18"/>
                <w:lang w:val="en-US"/>
              </w:rPr>
              <w:t xml:space="preserve"> </w:t>
            </w:r>
            <w:r w:rsidRPr="00EE0079">
              <w:rPr>
                <w:sz w:val="18"/>
                <w:szCs w:val="18"/>
              </w:rPr>
              <w:t xml:space="preserve">Акцизи </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5 450,0</w:t>
            </w:r>
          </w:p>
        </w:tc>
        <w:tc>
          <w:tcPr>
            <w:tcW w:w="1209" w:type="dxa"/>
            <w:tcBorders>
              <w:left w:val="nil"/>
              <w:bottom w:val="nil"/>
              <w:right w:val="nil"/>
            </w:tcBorders>
            <w:shd w:val="clear" w:color="auto" w:fill="auto"/>
            <w:noWrap/>
            <w:vAlign w:val="bottom"/>
          </w:tcPr>
          <w:p w:rsidR="008262CB" w:rsidRPr="004548B7" w:rsidRDefault="008262CB" w:rsidP="00925CA5">
            <w:pPr>
              <w:jc w:val="right"/>
              <w:rPr>
                <w:bCs/>
                <w:sz w:val="18"/>
                <w:szCs w:val="18"/>
              </w:rPr>
            </w:pPr>
            <w:r w:rsidRPr="004548B7">
              <w:rPr>
                <w:bCs/>
                <w:sz w:val="18"/>
                <w:szCs w:val="18"/>
              </w:rPr>
              <w:t>5 444,5</w:t>
            </w:r>
          </w:p>
        </w:tc>
        <w:tc>
          <w:tcPr>
            <w:tcW w:w="1304" w:type="dxa"/>
            <w:tcBorders>
              <w:left w:val="nil"/>
              <w:bottom w:val="nil"/>
              <w:right w:val="single" w:sz="8" w:space="0" w:color="auto"/>
            </w:tcBorders>
            <w:shd w:val="clear" w:color="auto" w:fill="auto"/>
            <w:noWrap/>
            <w:vAlign w:val="bottom"/>
          </w:tcPr>
          <w:p w:rsidR="008262CB" w:rsidRPr="004548B7" w:rsidRDefault="008262CB" w:rsidP="00925CA5">
            <w:pPr>
              <w:jc w:val="right"/>
              <w:rPr>
                <w:bCs/>
                <w:sz w:val="18"/>
                <w:szCs w:val="18"/>
              </w:rPr>
            </w:pPr>
            <w:r w:rsidRPr="004548B7">
              <w:rPr>
                <w:bCs/>
                <w:sz w:val="18"/>
                <w:szCs w:val="18"/>
              </w:rPr>
              <w:t>99,9%</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44,2</w:t>
            </w:r>
          </w:p>
        </w:tc>
        <w:tc>
          <w:tcPr>
            <w:tcW w:w="1209" w:type="dxa"/>
            <w:tcBorders>
              <w:left w:val="nil"/>
              <w:bottom w:val="nil"/>
              <w:right w:val="nil"/>
            </w:tcBorders>
            <w:shd w:val="clear" w:color="auto" w:fill="auto"/>
            <w:noWrap/>
            <w:vAlign w:val="bottom"/>
          </w:tcPr>
          <w:p w:rsidR="008262CB" w:rsidRPr="004548B7" w:rsidRDefault="008262CB" w:rsidP="00925CA5">
            <w:pPr>
              <w:jc w:val="right"/>
              <w:rPr>
                <w:bCs/>
                <w:sz w:val="18"/>
                <w:szCs w:val="18"/>
              </w:rPr>
            </w:pPr>
            <w:r w:rsidRPr="004548B7">
              <w:rPr>
                <w:bCs/>
                <w:sz w:val="18"/>
                <w:szCs w:val="18"/>
              </w:rPr>
              <w:t>47,0</w:t>
            </w:r>
          </w:p>
        </w:tc>
        <w:tc>
          <w:tcPr>
            <w:tcW w:w="1304" w:type="dxa"/>
            <w:tcBorders>
              <w:left w:val="nil"/>
              <w:bottom w:val="nil"/>
              <w:right w:val="single" w:sz="8" w:space="0" w:color="auto"/>
            </w:tcBorders>
            <w:shd w:val="clear" w:color="auto" w:fill="auto"/>
            <w:noWrap/>
            <w:vAlign w:val="bottom"/>
          </w:tcPr>
          <w:p w:rsidR="008262CB" w:rsidRPr="004548B7" w:rsidRDefault="008262CB" w:rsidP="00925CA5">
            <w:pPr>
              <w:jc w:val="right"/>
              <w:rPr>
                <w:bCs/>
                <w:sz w:val="18"/>
                <w:szCs w:val="18"/>
              </w:rPr>
            </w:pPr>
            <w:r w:rsidRPr="004548B7">
              <w:rPr>
                <w:bCs/>
                <w:sz w:val="18"/>
                <w:szCs w:val="18"/>
              </w:rPr>
              <w:t>106,3%</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w:t>
            </w:r>
            <w:r w:rsidRPr="00EE0079">
              <w:rPr>
                <w:sz w:val="18"/>
                <w:szCs w:val="18"/>
                <w:lang w:val="en-US"/>
              </w:rPr>
              <w:t xml:space="preserve"> </w:t>
            </w:r>
            <w:r w:rsidRPr="00EE0079">
              <w:rPr>
                <w:sz w:val="18"/>
                <w:szCs w:val="18"/>
              </w:rPr>
              <w:t>Мита и митнически такси</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187,4</w:t>
            </w:r>
          </w:p>
        </w:tc>
        <w:tc>
          <w:tcPr>
            <w:tcW w:w="1209" w:type="dxa"/>
            <w:tcBorders>
              <w:left w:val="nil"/>
              <w:bottom w:val="nil"/>
              <w:right w:val="nil"/>
            </w:tcBorders>
            <w:shd w:val="clear" w:color="auto" w:fill="auto"/>
            <w:noWrap/>
            <w:vAlign w:val="bottom"/>
          </w:tcPr>
          <w:p w:rsidR="008262CB" w:rsidRPr="001E30E6" w:rsidRDefault="008262CB" w:rsidP="00925CA5">
            <w:pPr>
              <w:jc w:val="right"/>
              <w:rPr>
                <w:bCs/>
                <w:sz w:val="18"/>
                <w:szCs w:val="18"/>
              </w:rPr>
            </w:pPr>
            <w:r w:rsidRPr="001E30E6">
              <w:rPr>
                <w:bCs/>
                <w:sz w:val="18"/>
                <w:szCs w:val="18"/>
              </w:rPr>
              <w:t>209,9</w:t>
            </w:r>
          </w:p>
        </w:tc>
        <w:tc>
          <w:tcPr>
            <w:tcW w:w="1304" w:type="dxa"/>
            <w:tcBorders>
              <w:left w:val="nil"/>
              <w:bottom w:val="nil"/>
              <w:right w:val="single" w:sz="8" w:space="0" w:color="auto"/>
            </w:tcBorders>
            <w:shd w:val="clear" w:color="auto" w:fill="auto"/>
            <w:noWrap/>
            <w:vAlign w:val="bottom"/>
          </w:tcPr>
          <w:p w:rsidR="008262CB" w:rsidRPr="001E30E6" w:rsidRDefault="008262CB" w:rsidP="00925CA5">
            <w:pPr>
              <w:jc w:val="right"/>
              <w:rPr>
                <w:bCs/>
                <w:sz w:val="18"/>
                <w:szCs w:val="18"/>
              </w:rPr>
            </w:pPr>
            <w:r w:rsidRPr="001E30E6">
              <w:rPr>
                <w:bCs/>
                <w:sz w:val="18"/>
                <w:szCs w:val="18"/>
              </w:rPr>
              <w:t>112,0%</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w:t>
            </w:r>
            <w:r w:rsidRPr="00EE0079">
              <w:rPr>
                <w:sz w:val="18"/>
                <w:szCs w:val="18"/>
                <w:lang w:val="en-US"/>
              </w:rPr>
              <w:t xml:space="preserve"> </w:t>
            </w:r>
            <w:r w:rsidRPr="00EE0079">
              <w:rPr>
                <w:sz w:val="18"/>
                <w:szCs w:val="18"/>
              </w:rPr>
              <w:t>Други данъци</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142,1</w:t>
            </w:r>
          </w:p>
        </w:tc>
        <w:tc>
          <w:tcPr>
            <w:tcW w:w="1209" w:type="dxa"/>
            <w:tcBorders>
              <w:left w:val="nil"/>
              <w:bottom w:val="nil"/>
              <w:right w:val="nil"/>
            </w:tcBorders>
            <w:shd w:val="clear" w:color="auto" w:fill="auto"/>
            <w:noWrap/>
            <w:vAlign w:val="bottom"/>
          </w:tcPr>
          <w:p w:rsidR="008262CB" w:rsidRDefault="008262CB" w:rsidP="00925CA5">
            <w:pPr>
              <w:jc w:val="right"/>
              <w:rPr>
                <w:sz w:val="18"/>
                <w:szCs w:val="18"/>
              </w:rPr>
            </w:pPr>
            <w:r>
              <w:rPr>
                <w:sz w:val="18"/>
                <w:szCs w:val="18"/>
              </w:rPr>
              <w:t>148,9</w:t>
            </w:r>
          </w:p>
        </w:tc>
        <w:tc>
          <w:tcPr>
            <w:tcW w:w="1304" w:type="dxa"/>
            <w:tcBorders>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104,8%</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-Неданъчни приходи</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2 119,8</w:t>
            </w:r>
          </w:p>
        </w:tc>
        <w:tc>
          <w:tcPr>
            <w:tcW w:w="1209" w:type="dxa"/>
            <w:tcBorders>
              <w:left w:val="nil"/>
              <w:bottom w:val="nil"/>
              <w:right w:val="nil"/>
            </w:tcBorders>
            <w:shd w:val="clear" w:color="auto" w:fill="auto"/>
            <w:noWrap/>
            <w:vAlign w:val="bottom"/>
          </w:tcPr>
          <w:p w:rsidR="008262CB" w:rsidRDefault="008262CB" w:rsidP="00925CA5">
            <w:pPr>
              <w:jc w:val="right"/>
              <w:rPr>
                <w:sz w:val="18"/>
                <w:szCs w:val="18"/>
              </w:rPr>
            </w:pPr>
            <w:r>
              <w:rPr>
                <w:sz w:val="18"/>
                <w:szCs w:val="18"/>
              </w:rPr>
              <w:t>2 065,4</w:t>
            </w:r>
          </w:p>
        </w:tc>
        <w:tc>
          <w:tcPr>
            <w:tcW w:w="1304" w:type="dxa"/>
            <w:tcBorders>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97,4%</w:t>
            </w:r>
          </w:p>
        </w:tc>
      </w:tr>
      <w:tr w:rsidR="008262CB" w:rsidRPr="004B1466" w:rsidTr="00925CA5">
        <w:trPr>
          <w:trHeight w:val="165"/>
          <w:jc w:val="center"/>
        </w:trPr>
        <w:tc>
          <w:tcPr>
            <w:tcW w:w="4853" w:type="dxa"/>
            <w:tcBorders>
              <w:left w:val="single" w:sz="8" w:space="0" w:color="auto"/>
              <w:right w:val="single" w:sz="8"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-Помощи и дарения</w:t>
            </w:r>
          </w:p>
        </w:tc>
        <w:tc>
          <w:tcPr>
            <w:tcW w:w="1276" w:type="dxa"/>
            <w:tcBorders>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0,0</w:t>
            </w:r>
          </w:p>
        </w:tc>
        <w:tc>
          <w:tcPr>
            <w:tcW w:w="1209" w:type="dxa"/>
            <w:tcBorders>
              <w:left w:val="nil"/>
              <w:bottom w:val="nil"/>
              <w:right w:val="nil"/>
            </w:tcBorders>
            <w:shd w:val="clear" w:color="auto" w:fill="auto"/>
            <w:noWrap/>
            <w:vAlign w:val="bottom"/>
          </w:tcPr>
          <w:p w:rsidR="008262CB" w:rsidRDefault="008262CB" w:rsidP="00925CA5">
            <w:pPr>
              <w:jc w:val="right"/>
              <w:rPr>
                <w:sz w:val="18"/>
                <w:szCs w:val="18"/>
              </w:rPr>
            </w:pPr>
            <w:r>
              <w:rPr>
                <w:sz w:val="18"/>
                <w:szCs w:val="18"/>
              </w:rPr>
              <w:t>18,7</w:t>
            </w:r>
          </w:p>
        </w:tc>
        <w:tc>
          <w:tcPr>
            <w:tcW w:w="1304" w:type="dxa"/>
            <w:tcBorders>
              <w:left w:val="nil"/>
              <w:bottom w:val="nil"/>
              <w:right w:val="single" w:sz="8" w:space="0" w:color="auto"/>
            </w:tcBorders>
            <w:shd w:val="clear" w:color="auto" w:fill="auto"/>
            <w:noWrap/>
            <w:vAlign w:val="bottom"/>
          </w:tcPr>
          <w:p w:rsidR="008262CB" w:rsidRPr="00247EB6" w:rsidRDefault="008262CB" w:rsidP="00925CA5">
            <w:pPr>
              <w:rPr>
                <w:color w:val="0070C0"/>
                <w:sz w:val="18"/>
                <w:szCs w:val="18"/>
              </w:rPr>
            </w:pPr>
            <w:r w:rsidRPr="00247EB6">
              <w:rPr>
                <w:color w:val="0070C0"/>
                <w:sz w:val="18"/>
                <w:szCs w:val="18"/>
              </w:rPr>
              <w:t> </w:t>
            </w:r>
          </w:p>
        </w:tc>
      </w:tr>
      <w:tr w:rsidR="008262CB" w:rsidRPr="004B1466" w:rsidTr="00925CA5">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8262CB" w:rsidRPr="00EE0079" w:rsidRDefault="008262CB" w:rsidP="00925CA5">
            <w:pPr>
              <w:rPr>
                <w:b/>
                <w:bCs/>
                <w:sz w:val="18"/>
                <w:szCs w:val="18"/>
              </w:rPr>
            </w:pPr>
            <w:r w:rsidRPr="00EE0079">
              <w:rPr>
                <w:b/>
                <w:bCs/>
                <w:sz w:val="18"/>
                <w:szCs w:val="18"/>
              </w:rPr>
              <w:t xml:space="preserve"> Разходи, 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8262CB" w:rsidRPr="008F190E" w:rsidRDefault="008262CB" w:rsidP="00925CA5">
            <w:pPr>
              <w:jc w:val="right"/>
              <w:rPr>
                <w:b/>
                <w:bCs/>
                <w:sz w:val="18"/>
                <w:szCs w:val="18"/>
              </w:rPr>
            </w:pPr>
            <w:r w:rsidRPr="008F190E">
              <w:rPr>
                <w:b/>
                <w:bCs/>
                <w:sz w:val="18"/>
                <w:szCs w:val="18"/>
              </w:rPr>
              <w:t>30 333,0</w:t>
            </w:r>
          </w:p>
        </w:tc>
        <w:tc>
          <w:tcPr>
            <w:tcW w:w="1209" w:type="dxa"/>
            <w:tcBorders>
              <w:top w:val="single" w:sz="4" w:space="0" w:color="auto"/>
              <w:left w:val="nil"/>
              <w:bottom w:val="nil"/>
              <w:right w:val="nil"/>
            </w:tcBorders>
            <w:shd w:val="clear" w:color="auto" w:fill="auto"/>
            <w:noWrap/>
            <w:vAlign w:val="bottom"/>
          </w:tcPr>
          <w:p w:rsidR="008262CB" w:rsidRDefault="008262CB" w:rsidP="00925CA5">
            <w:pPr>
              <w:jc w:val="right"/>
              <w:rPr>
                <w:b/>
                <w:bCs/>
                <w:sz w:val="18"/>
                <w:szCs w:val="18"/>
              </w:rPr>
            </w:pPr>
            <w:r>
              <w:rPr>
                <w:b/>
                <w:bCs/>
                <w:sz w:val="18"/>
                <w:szCs w:val="18"/>
              </w:rPr>
              <w:t>29 988,4</w:t>
            </w:r>
          </w:p>
        </w:tc>
        <w:tc>
          <w:tcPr>
            <w:tcW w:w="1304" w:type="dxa"/>
            <w:tcBorders>
              <w:top w:val="single" w:sz="4" w:space="0" w:color="auto"/>
              <w:left w:val="nil"/>
              <w:bottom w:val="nil"/>
              <w:right w:val="single" w:sz="8" w:space="0" w:color="auto"/>
            </w:tcBorders>
            <w:shd w:val="clear" w:color="auto" w:fill="auto"/>
            <w:noWrap/>
            <w:vAlign w:val="bottom"/>
          </w:tcPr>
          <w:p w:rsidR="008262CB" w:rsidRDefault="008262CB" w:rsidP="00925CA5">
            <w:pPr>
              <w:jc w:val="right"/>
              <w:rPr>
                <w:b/>
                <w:bCs/>
                <w:sz w:val="18"/>
                <w:szCs w:val="18"/>
              </w:rPr>
            </w:pPr>
            <w:r>
              <w:rPr>
                <w:b/>
                <w:bCs/>
                <w:sz w:val="18"/>
                <w:szCs w:val="18"/>
              </w:rPr>
              <w:t>98,9%</w:t>
            </w:r>
          </w:p>
        </w:tc>
      </w:tr>
      <w:tr w:rsidR="008262CB" w:rsidRPr="004B1466" w:rsidTr="00925CA5">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b/>
                <w:i/>
                <w:sz w:val="18"/>
                <w:szCs w:val="18"/>
              </w:rPr>
            </w:pPr>
            <w:r w:rsidRPr="00EE0079">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14 494,3</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13 168,6</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90,9%</w:t>
            </w:r>
          </w:p>
        </w:tc>
      </w:tr>
      <w:tr w:rsidR="008262CB" w:rsidRPr="004B1466" w:rsidTr="00925CA5">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Текущи </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11 198,9</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11 091,7</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99,0%</w:t>
            </w:r>
          </w:p>
        </w:tc>
      </w:tr>
      <w:tr w:rsidR="008262CB" w:rsidRPr="004B1466" w:rsidTr="00925CA5">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Предоставени тек. и капит. трансфери за чужбина</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28,5</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37,3</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p>
        </w:tc>
      </w:tr>
      <w:tr w:rsidR="008262CB" w:rsidRPr="004B1466" w:rsidTr="00925CA5">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Капиталови</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3 267,0</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2 039,7</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62,4%</w:t>
            </w:r>
          </w:p>
        </w:tc>
      </w:tr>
      <w:tr w:rsidR="008262CB" w:rsidRPr="004B1466" w:rsidTr="00925CA5">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b/>
                <w:i/>
                <w:sz w:val="18"/>
                <w:szCs w:val="18"/>
              </w:rPr>
            </w:pPr>
            <w:r w:rsidRPr="00EE0079">
              <w:rPr>
                <w:b/>
                <w:i/>
                <w:sz w:val="18"/>
                <w:szCs w:val="18"/>
              </w:rPr>
              <w:t xml:space="preserve">   -Лихви</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691,6</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585,3</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84,6%</w:t>
            </w:r>
          </w:p>
        </w:tc>
      </w:tr>
      <w:tr w:rsidR="008262CB" w:rsidRPr="004B1466" w:rsidTr="00925CA5">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433,0</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422,4</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97,5%</w:t>
            </w:r>
          </w:p>
        </w:tc>
      </w:tr>
      <w:tr w:rsidR="008262CB" w:rsidRPr="004B1466" w:rsidTr="00925CA5">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sz w:val="18"/>
                <w:szCs w:val="18"/>
              </w:rPr>
            </w:pPr>
            <w:r w:rsidRPr="00EE0079">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258,6</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162,9</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63,0%</w:t>
            </w:r>
          </w:p>
        </w:tc>
      </w:tr>
      <w:tr w:rsidR="008262CB" w:rsidRPr="004B1466" w:rsidTr="00925CA5">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b/>
                <w:i/>
                <w:sz w:val="18"/>
                <w:szCs w:val="18"/>
              </w:rPr>
            </w:pPr>
            <w:r w:rsidRPr="00EE0079">
              <w:rPr>
                <w:b/>
                <w:i/>
                <w:sz w:val="18"/>
                <w:szCs w:val="18"/>
              </w:rPr>
              <w:t xml:space="preserve"> - Резерв за непредвидени и неотложни разходи</w:t>
            </w:r>
            <w:r w:rsidRPr="00EE0079">
              <w:rPr>
                <w:rStyle w:val="FootnoteReference"/>
              </w:rPr>
              <w:footnoteReference w:id="10"/>
            </w:r>
            <w:r w:rsidRPr="00EE0079">
              <w:rPr>
                <w:b/>
                <w:i/>
                <w:sz w:val="18"/>
                <w:szCs w:val="18"/>
              </w:rPr>
              <w:tab/>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81,1</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p>
        </w:tc>
      </w:tr>
      <w:tr w:rsidR="008262CB" w:rsidRPr="004B1466" w:rsidTr="00925CA5">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8262CB" w:rsidRPr="00EE0079" w:rsidRDefault="008262CB" w:rsidP="00925CA5">
            <w:pPr>
              <w:rPr>
                <w:b/>
                <w:i/>
                <w:sz w:val="18"/>
                <w:szCs w:val="18"/>
              </w:rPr>
            </w:pPr>
            <w:r w:rsidRPr="00EE0079">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13 668,5</w:t>
            </w:r>
          </w:p>
        </w:tc>
        <w:tc>
          <w:tcPr>
            <w:tcW w:w="1209" w:type="dxa"/>
            <w:tcBorders>
              <w:top w:val="nil"/>
              <w:left w:val="nil"/>
              <w:bottom w:val="nil"/>
              <w:right w:val="nil"/>
            </w:tcBorders>
            <w:shd w:val="clear" w:color="auto" w:fill="auto"/>
            <w:noWrap/>
            <w:vAlign w:val="bottom"/>
          </w:tcPr>
          <w:p w:rsidR="008262CB" w:rsidRDefault="008262CB" w:rsidP="00925CA5">
            <w:pPr>
              <w:jc w:val="right"/>
              <w:rPr>
                <w:sz w:val="18"/>
                <w:szCs w:val="18"/>
              </w:rPr>
            </w:pPr>
            <w:r>
              <w:rPr>
                <w:sz w:val="18"/>
                <w:szCs w:val="18"/>
              </w:rPr>
              <w:t>14 939,1</w:t>
            </w:r>
          </w:p>
        </w:tc>
        <w:tc>
          <w:tcPr>
            <w:tcW w:w="1304" w:type="dxa"/>
            <w:tcBorders>
              <w:top w:val="nil"/>
              <w:left w:val="nil"/>
              <w:bottom w:val="nil"/>
              <w:right w:val="single" w:sz="8" w:space="0" w:color="auto"/>
            </w:tcBorders>
            <w:shd w:val="clear" w:color="auto" w:fill="auto"/>
            <w:noWrap/>
            <w:vAlign w:val="bottom"/>
          </w:tcPr>
          <w:p w:rsidR="008262CB" w:rsidRDefault="008262CB" w:rsidP="00925CA5">
            <w:pPr>
              <w:jc w:val="right"/>
              <w:rPr>
                <w:sz w:val="18"/>
                <w:szCs w:val="18"/>
              </w:rPr>
            </w:pPr>
            <w:r>
              <w:rPr>
                <w:sz w:val="18"/>
                <w:szCs w:val="18"/>
              </w:rPr>
              <w:t>109,3%</w:t>
            </w:r>
          </w:p>
        </w:tc>
      </w:tr>
      <w:tr w:rsidR="008262CB" w:rsidRPr="004B1466" w:rsidTr="00925CA5">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8262CB" w:rsidRPr="00EE0079" w:rsidRDefault="008262CB" w:rsidP="00925CA5">
            <w:pPr>
              <w:rPr>
                <w:b/>
                <w:bCs/>
                <w:i/>
                <w:sz w:val="18"/>
                <w:szCs w:val="18"/>
              </w:rPr>
            </w:pPr>
            <w:r w:rsidRPr="00EE0079">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8262CB" w:rsidRPr="008F190E" w:rsidRDefault="008262CB" w:rsidP="00925CA5">
            <w:pPr>
              <w:jc w:val="right"/>
              <w:rPr>
                <w:sz w:val="18"/>
                <w:szCs w:val="18"/>
              </w:rPr>
            </w:pPr>
            <w:r w:rsidRPr="008F190E">
              <w:rPr>
                <w:sz w:val="18"/>
                <w:szCs w:val="18"/>
              </w:rPr>
              <w:t>1 397,4</w:t>
            </w:r>
          </w:p>
        </w:tc>
        <w:tc>
          <w:tcPr>
            <w:tcW w:w="1209" w:type="dxa"/>
            <w:tcBorders>
              <w:top w:val="nil"/>
              <w:left w:val="nil"/>
              <w:bottom w:val="single" w:sz="4" w:space="0" w:color="auto"/>
              <w:right w:val="nil"/>
            </w:tcBorders>
            <w:shd w:val="clear" w:color="auto" w:fill="auto"/>
            <w:noWrap/>
            <w:vAlign w:val="bottom"/>
          </w:tcPr>
          <w:p w:rsidR="008262CB" w:rsidRDefault="008262CB" w:rsidP="00925CA5">
            <w:pPr>
              <w:jc w:val="right"/>
              <w:rPr>
                <w:sz w:val="18"/>
                <w:szCs w:val="18"/>
              </w:rPr>
            </w:pPr>
            <w:r>
              <w:rPr>
                <w:sz w:val="18"/>
                <w:szCs w:val="18"/>
              </w:rPr>
              <w:t>1 295,5</w:t>
            </w:r>
          </w:p>
        </w:tc>
        <w:tc>
          <w:tcPr>
            <w:tcW w:w="1304" w:type="dxa"/>
            <w:tcBorders>
              <w:top w:val="nil"/>
              <w:left w:val="nil"/>
              <w:bottom w:val="single" w:sz="4" w:space="0" w:color="auto"/>
              <w:right w:val="single" w:sz="8" w:space="0" w:color="auto"/>
            </w:tcBorders>
            <w:shd w:val="clear" w:color="auto" w:fill="auto"/>
            <w:noWrap/>
            <w:vAlign w:val="bottom"/>
          </w:tcPr>
          <w:p w:rsidR="008262CB" w:rsidRDefault="008262CB" w:rsidP="00925CA5">
            <w:pPr>
              <w:jc w:val="right"/>
              <w:rPr>
                <w:sz w:val="18"/>
                <w:szCs w:val="18"/>
              </w:rPr>
            </w:pPr>
            <w:r>
              <w:rPr>
                <w:sz w:val="18"/>
                <w:szCs w:val="18"/>
              </w:rPr>
              <w:t>92,7%</w:t>
            </w:r>
          </w:p>
        </w:tc>
      </w:tr>
      <w:tr w:rsidR="008262CB" w:rsidRPr="004B1466" w:rsidTr="00925CA5">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2CB" w:rsidRPr="00EE0079" w:rsidRDefault="008262CB" w:rsidP="00925CA5">
            <w:pPr>
              <w:rPr>
                <w:b/>
                <w:bCs/>
                <w:sz w:val="18"/>
                <w:szCs w:val="18"/>
              </w:rPr>
            </w:pPr>
            <w:r w:rsidRPr="00EE0079">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8262CB" w:rsidRPr="008F190E" w:rsidRDefault="008262CB" w:rsidP="00925CA5">
            <w:pPr>
              <w:jc w:val="right"/>
              <w:rPr>
                <w:b/>
                <w:bCs/>
                <w:sz w:val="18"/>
                <w:szCs w:val="18"/>
              </w:rPr>
            </w:pPr>
            <w:r w:rsidRPr="008F190E">
              <w:rPr>
                <w:b/>
                <w:bCs/>
                <w:sz w:val="18"/>
                <w:szCs w:val="18"/>
              </w:rPr>
              <w:t>-5 187,2</w:t>
            </w:r>
          </w:p>
        </w:tc>
        <w:tc>
          <w:tcPr>
            <w:tcW w:w="1209" w:type="dxa"/>
            <w:tcBorders>
              <w:top w:val="single" w:sz="4" w:space="0" w:color="auto"/>
              <w:left w:val="nil"/>
              <w:bottom w:val="single" w:sz="8" w:space="0" w:color="auto"/>
              <w:right w:val="nil"/>
            </w:tcBorders>
            <w:shd w:val="clear" w:color="auto" w:fill="auto"/>
            <w:noWrap/>
            <w:vAlign w:val="bottom"/>
          </w:tcPr>
          <w:p w:rsidR="008262CB" w:rsidRDefault="008262CB" w:rsidP="00925CA5">
            <w:pPr>
              <w:jc w:val="right"/>
              <w:rPr>
                <w:b/>
                <w:bCs/>
                <w:sz w:val="18"/>
                <w:szCs w:val="18"/>
              </w:rPr>
            </w:pPr>
            <w:r>
              <w:rPr>
                <w:b/>
                <w:bCs/>
                <w:sz w:val="18"/>
                <w:szCs w:val="18"/>
              </w:rPr>
              <w:t>-4 134,1</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8262CB" w:rsidRDefault="008262CB" w:rsidP="00925CA5">
            <w:pPr>
              <w:jc w:val="right"/>
              <w:rPr>
                <w:b/>
                <w:bCs/>
                <w:sz w:val="18"/>
                <w:szCs w:val="18"/>
              </w:rPr>
            </w:pPr>
          </w:p>
        </w:tc>
      </w:tr>
    </w:tbl>
    <w:p w:rsidR="008262CB" w:rsidRPr="004B1466" w:rsidRDefault="008262CB" w:rsidP="008262CB">
      <w:pPr>
        <w:spacing w:after="120"/>
        <w:ind w:left="360"/>
        <w:jc w:val="both"/>
        <w:rPr>
          <w:b/>
          <w:color w:val="0070C0"/>
          <w:sz w:val="6"/>
          <w:lang w:val="en-US"/>
        </w:rPr>
      </w:pPr>
    </w:p>
    <w:p w:rsidR="008262CB" w:rsidRPr="004B1466" w:rsidRDefault="008262CB" w:rsidP="007340F5">
      <w:pPr>
        <w:spacing w:after="120"/>
        <w:jc w:val="both"/>
        <w:rPr>
          <w:b/>
          <w:color w:val="0070C0"/>
          <w:sz w:val="6"/>
        </w:rPr>
      </w:pPr>
    </w:p>
    <w:p w:rsidR="008262CB" w:rsidRPr="00707DF4" w:rsidRDefault="008262CB" w:rsidP="008262CB">
      <w:pPr>
        <w:pStyle w:val="BodyTextIndent"/>
        <w:numPr>
          <w:ilvl w:val="0"/>
          <w:numId w:val="2"/>
        </w:numPr>
        <w:jc w:val="both"/>
        <w:rPr>
          <w:b/>
        </w:rPr>
      </w:pPr>
      <w:r w:rsidRPr="00707DF4">
        <w:rPr>
          <w:b/>
          <w:bCs/>
        </w:rPr>
        <w:t xml:space="preserve">Приходи по държавния бюджет </w:t>
      </w:r>
    </w:p>
    <w:p w:rsidR="008262CB" w:rsidRPr="00EF443A" w:rsidRDefault="008262CB" w:rsidP="008262CB">
      <w:pPr>
        <w:spacing w:after="120"/>
        <w:jc w:val="both"/>
        <w:rPr>
          <w:bCs/>
        </w:rPr>
      </w:pPr>
      <w:r w:rsidRPr="00EF443A">
        <w:rPr>
          <w:bCs/>
        </w:rPr>
        <w:t>Общият размер на</w:t>
      </w:r>
      <w:r w:rsidRPr="00EF443A">
        <w:rPr>
          <w:b/>
          <w:bCs/>
        </w:rPr>
        <w:t xml:space="preserve"> приходите, помощите и даренията по държавния бюджет</w:t>
      </w:r>
      <w:r w:rsidRPr="00EF443A">
        <w:rPr>
          <w:bCs/>
        </w:rPr>
        <w:t xml:space="preserve"> за</w:t>
      </w:r>
      <w:r w:rsidRPr="00EF443A">
        <w:t xml:space="preserve"> </w:t>
      </w:r>
      <w:r w:rsidRPr="00EF443A">
        <w:rPr>
          <w:bCs/>
        </w:rPr>
        <w:t>2020 г. е</w:t>
      </w:r>
      <w:r w:rsidRPr="00EF443A">
        <w:rPr>
          <w:b/>
          <w:bCs/>
        </w:rPr>
        <w:t xml:space="preserve"> 25 854,3 млн. лв.</w:t>
      </w:r>
      <w:r w:rsidRPr="00EF443A">
        <w:rPr>
          <w:bCs/>
        </w:rPr>
        <w:t>, което представлява 102,8 % изпълнение на разчетите по ЗДБРБ за 2020 година.</w:t>
      </w:r>
    </w:p>
    <w:p w:rsidR="008262CB" w:rsidRPr="00EF443A" w:rsidRDefault="008262CB" w:rsidP="008262CB">
      <w:pPr>
        <w:numPr>
          <w:ilvl w:val="0"/>
          <w:numId w:val="3"/>
        </w:numPr>
        <w:tabs>
          <w:tab w:val="num" w:pos="720"/>
        </w:tabs>
        <w:ind w:left="0" w:firstLine="180"/>
        <w:jc w:val="both"/>
        <w:rPr>
          <w:b/>
          <w:bCs/>
        </w:rPr>
      </w:pPr>
      <w:r w:rsidRPr="00EF443A">
        <w:rPr>
          <w:bCs/>
        </w:rPr>
        <w:t xml:space="preserve"> </w:t>
      </w:r>
      <w:r w:rsidRPr="00EF443A">
        <w:rPr>
          <w:b/>
          <w:bCs/>
        </w:rPr>
        <w:t>Данъчни приходи</w:t>
      </w:r>
    </w:p>
    <w:p w:rsidR="008262CB" w:rsidRPr="00EF443A" w:rsidRDefault="008262CB" w:rsidP="008262CB">
      <w:pPr>
        <w:jc w:val="both"/>
        <w:rPr>
          <w:bCs/>
          <w:sz w:val="4"/>
          <w:szCs w:val="4"/>
        </w:rPr>
      </w:pPr>
    </w:p>
    <w:p w:rsidR="003C417E" w:rsidRPr="00D80697" w:rsidRDefault="008262CB" w:rsidP="008262CB">
      <w:pPr>
        <w:shd w:val="clear" w:color="auto" w:fill="FFFFFF"/>
        <w:spacing w:after="150"/>
        <w:jc w:val="both"/>
      </w:pPr>
      <w:r w:rsidRPr="00EF443A">
        <w:rPr>
          <w:bCs/>
        </w:rPr>
        <w:t>Размерът на</w:t>
      </w:r>
      <w:r w:rsidRPr="00EF443A">
        <w:rPr>
          <w:b/>
          <w:bCs/>
        </w:rPr>
        <w:t xml:space="preserve"> данъчните постъпления по държавния бюджет</w:t>
      </w:r>
      <w:r w:rsidRPr="00EF443A">
        <w:rPr>
          <w:bCs/>
        </w:rPr>
        <w:t xml:space="preserve"> за</w:t>
      </w:r>
      <w:r w:rsidRPr="00EF443A">
        <w:t xml:space="preserve"> </w:t>
      </w:r>
      <w:r w:rsidRPr="00EF443A">
        <w:rPr>
          <w:bCs/>
        </w:rPr>
        <w:t xml:space="preserve">2020 г. </w:t>
      </w:r>
      <w:r w:rsidRPr="00EF443A">
        <w:t xml:space="preserve">е </w:t>
      </w:r>
      <w:r w:rsidRPr="00EF443A">
        <w:rPr>
          <w:b/>
        </w:rPr>
        <w:t>23 770,1 млн. лв</w:t>
      </w:r>
      <w:r w:rsidRPr="00EF443A">
        <w:t xml:space="preserve">., което представлява 103,2 % изпълнение на годишните разчети. </w:t>
      </w:r>
      <w:r w:rsidRPr="00401617">
        <w:t>В сравнение с 2019 г. постъпленията в групата са близки по размер, като нарастват със 77,3 млн. лв. (0,3</w:t>
      </w:r>
      <w:r w:rsidRPr="00401617">
        <w:rPr>
          <w:b/>
          <w:bCs/>
        </w:rPr>
        <w:t> </w:t>
      </w:r>
      <w:r w:rsidRPr="00401617">
        <w:t xml:space="preserve">%). </w:t>
      </w:r>
    </w:p>
    <w:p w:rsidR="008262CB" w:rsidRPr="00247EB6" w:rsidRDefault="008262CB" w:rsidP="008262CB">
      <w:pPr>
        <w:jc w:val="both"/>
        <w:rPr>
          <w:color w:val="0070C0"/>
          <w:sz w:val="10"/>
        </w:rPr>
      </w:pPr>
    </w:p>
    <w:p w:rsidR="008262CB" w:rsidRPr="00C51BEB" w:rsidRDefault="008262CB" w:rsidP="008262CB">
      <w:pPr>
        <w:numPr>
          <w:ilvl w:val="0"/>
          <w:numId w:val="4"/>
        </w:numPr>
        <w:tabs>
          <w:tab w:val="clear" w:pos="1440"/>
          <w:tab w:val="num" w:pos="540"/>
        </w:tabs>
        <w:spacing w:after="120"/>
        <w:ind w:left="0" w:firstLine="181"/>
        <w:jc w:val="both"/>
        <w:rPr>
          <w:b/>
          <w:bCs/>
        </w:rPr>
      </w:pPr>
      <w:r w:rsidRPr="00C51BEB">
        <w:rPr>
          <w:b/>
          <w:bCs/>
        </w:rPr>
        <w:t>Преки данъци</w:t>
      </w:r>
    </w:p>
    <w:p w:rsidR="008262CB" w:rsidRPr="008B0E2E" w:rsidRDefault="008262CB" w:rsidP="008262CB">
      <w:pPr>
        <w:spacing w:after="120"/>
        <w:jc w:val="both"/>
      </w:pPr>
      <w:r w:rsidRPr="00C51BEB">
        <w:t>Приходите в групата на</w:t>
      </w:r>
      <w:r w:rsidRPr="00C51BEB">
        <w:rPr>
          <w:b/>
        </w:rPr>
        <w:t xml:space="preserve"> преките данъци</w:t>
      </w:r>
      <w:r w:rsidRPr="00C51BEB">
        <w:t xml:space="preserve"> са в размер на</w:t>
      </w:r>
      <w:r w:rsidRPr="00C51BEB">
        <w:rPr>
          <w:b/>
        </w:rPr>
        <w:t> 6 898,8 млн. лв</w:t>
      </w:r>
      <w:r w:rsidRPr="00C51BEB">
        <w:t xml:space="preserve">. или 105,1 % спрямо планираните за годината, като съпоставени с предходната година се увеличават с 204,6 млн. лв. </w:t>
      </w:r>
      <w:r w:rsidRPr="00C51BEB">
        <w:lastRenderedPageBreak/>
        <w:t xml:space="preserve">(3,1 </w:t>
      </w:r>
      <w:r w:rsidRPr="0037670A">
        <w:t xml:space="preserve">%). </w:t>
      </w:r>
      <w:r w:rsidRPr="00D80697">
        <w:t xml:space="preserve">В частта на преките данъци постъпленията от ДДФЛ бяха по-слабо засегнати от негативните ефекти от пандемията, като към края на годината се отчита ръст спрямо 2019 година. Положителен ефект върху постъпленията от тези данъци </w:t>
      </w:r>
      <w:r w:rsidR="00707916" w:rsidRPr="00707916">
        <w:t>оказаха предприетите от правителството мерки за минимизиране на отрицателните последици за бизнеса и заетостта, една от които е</w:t>
      </w:r>
      <w:r w:rsidRPr="00707916">
        <w:t xml:space="preserve"> </w:t>
      </w:r>
      <w:r w:rsidRPr="00D80697">
        <w:t xml:space="preserve">и приложената веднага след избухването на пандемията мярка за субсидирана заетост, придобила популярност като „60/40“, която спомогна на работодателите, възползвали се от нея, да задържат своите служители и работници. </w:t>
      </w:r>
      <w:r w:rsidRPr="0037670A">
        <w:t>Приходите от</w:t>
      </w:r>
      <w:r w:rsidRPr="0037670A">
        <w:rPr>
          <w:b/>
        </w:rPr>
        <w:t xml:space="preserve"> </w:t>
      </w:r>
      <w:r w:rsidRPr="0037670A">
        <w:rPr>
          <w:b/>
          <w:bCs/>
          <w:i/>
        </w:rPr>
        <w:t>корпоративни данъци</w:t>
      </w:r>
      <w:r w:rsidRPr="0037670A">
        <w:t xml:space="preserve"> </w:t>
      </w:r>
      <w:r w:rsidRPr="0037670A">
        <w:rPr>
          <w:bCs/>
        </w:rPr>
        <w:t xml:space="preserve">за </w:t>
      </w:r>
      <w:r w:rsidRPr="0037670A">
        <w:t>2020</w:t>
      </w:r>
      <w:r w:rsidRPr="0037670A">
        <w:rPr>
          <w:b/>
        </w:rPr>
        <w:t> </w:t>
      </w:r>
      <w:r w:rsidRPr="0037670A">
        <w:t xml:space="preserve">г. са в размер на 2 714,9 млн. лв. или 109,1 % </w:t>
      </w:r>
      <w:r w:rsidRPr="001A3CB8">
        <w:t>спрямо годишния план. Спрямо предходната година постъпленията нарастват с 19,7</w:t>
      </w:r>
      <w:r>
        <w:t> </w:t>
      </w:r>
      <w:r w:rsidRPr="001A3CB8">
        <w:t xml:space="preserve">млн. лв. (0,7 %). Ръстът в изпълнението при тази група данъци се дължи основно на приходите от нефинансови предприятия, които се повишават с 56,5 млн. лв. </w:t>
      </w:r>
      <w:r w:rsidR="0055043E" w:rsidRPr="001A3CB8">
        <w:t>(2,4</w:t>
      </w:r>
      <w:r w:rsidR="0055043E">
        <w:t> </w:t>
      </w:r>
      <w:r w:rsidR="0055043E" w:rsidRPr="001A3CB8">
        <w:t xml:space="preserve">%) </w:t>
      </w:r>
      <w:r w:rsidRPr="001A3CB8">
        <w:t xml:space="preserve">на годишна база, следвани от постъпленията от данък върху дивидентите, ликвидационните дялове и доходите на местни и чуждестранни юридически лица, които се </w:t>
      </w:r>
      <w:r w:rsidR="00707916">
        <w:t>увеличават</w:t>
      </w:r>
      <w:r w:rsidRPr="001A3CB8">
        <w:t xml:space="preserve"> с 9,7</w:t>
      </w:r>
      <w:r>
        <w:t> </w:t>
      </w:r>
      <w:r w:rsidRPr="001A3CB8">
        <w:t xml:space="preserve">млн. лв. (13,2 %) спрямо отчета за 2019 година. </w:t>
      </w:r>
      <w:r w:rsidRPr="008F3339">
        <w:t xml:space="preserve">Приходите </w:t>
      </w:r>
      <w:r w:rsidRPr="00DD72BF">
        <w:t xml:space="preserve">от </w:t>
      </w:r>
      <w:r w:rsidRPr="008B0E2E">
        <w:t xml:space="preserve">нефинансови предприятия формират основната част от постъпленията от корпоративен данък и представляват 92,5 % от общата сума за отчетния период. </w:t>
      </w:r>
    </w:p>
    <w:p w:rsidR="008262CB" w:rsidRPr="008B0E2E" w:rsidRDefault="008262CB" w:rsidP="008262CB">
      <w:pPr>
        <w:spacing w:after="120"/>
        <w:jc w:val="both"/>
      </w:pPr>
      <w:r w:rsidRPr="008B0E2E">
        <w:t xml:space="preserve">Една от причините за отчетения годишен ръст при </w:t>
      </w:r>
      <w:r w:rsidR="00707916" w:rsidRPr="00707916">
        <w:t xml:space="preserve">корпоративния данък </w:t>
      </w:r>
      <w:r w:rsidRPr="008B0E2E">
        <w:t>се дължи основно на по-високите авансови вноски през последния месец на годината</w:t>
      </w:r>
      <w:r>
        <w:t>.</w:t>
      </w:r>
      <w:r w:rsidRPr="008B0E2E">
        <w:t xml:space="preserve"> Само за декември 2020 г. приходите от корпоративен данък са в размер на 907,3 млн. лв. и са със 162,6 млн. лв. </w:t>
      </w:r>
      <w:r w:rsidR="00CB0D57" w:rsidRPr="00350A22">
        <w:t>(</w:t>
      </w:r>
      <w:r w:rsidR="00CB0D57" w:rsidRPr="008B0E2E">
        <w:t>21,8 %</w:t>
      </w:r>
      <w:r w:rsidR="00CB0D57" w:rsidRPr="00350A22">
        <w:t>)</w:t>
      </w:r>
      <w:r w:rsidR="00CB0D57" w:rsidRPr="008B0E2E">
        <w:t xml:space="preserve"> </w:t>
      </w:r>
      <w:r w:rsidRPr="008B0E2E">
        <w:t xml:space="preserve">повече спрямо декември 2019 година. Тези приходи зависят основно от регулярното внасяне на месечните авансови вноски в срок до 15-то число на месеца за който се отнасят, и тримесечните авансови вноски за третото тримесечие, които постъпват - в срок до 15 декември 2020 година. </w:t>
      </w:r>
    </w:p>
    <w:p w:rsidR="008262CB" w:rsidRPr="00350A22" w:rsidRDefault="008262CB" w:rsidP="008262CB">
      <w:pPr>
        <w:spacing w:after="120"/>
        <w:jc w:val="both"/>
      </w:pPr>
      <w:r>
        <w:t xml:space="preserve">Върху приходите от корпоративен данък влияе и възможността за промяна на авансовите вноски, направени от нефинансовите и финансовите институции през годината, дължимия годишен корпоративен данък, по реда на чл. 88 от ЗКПО и първоначалното деклариране на тримесечни авансови вноски по чл. 87а, ал. 2 и 3 от ЗКПО, което също влияе на размера на постъпленията за 2020 година. </w:t>
      </w:r>
      <w:r w:rsidRPr="008B0E2E">
        <w:t>Възможността за промяна в размера на авансовите вноски по корпоративен данък за някои от юридическите лица, е начин за по-точно планиране на сумите, които би следвало да постъпят в бюджета в рамките на съответната данъчна година и намалява постъпленията от изравнителната вноска по ГДД, пренасящи се в касовото изпълнение за следващия данъчен период.</w:t>
      </w:r>
    </w:p>
    <w:p w:rsidR="008262CB" w:rsidRPr="007256E0" w:rsidRDefault="008262CB" w:rsidP="008262CB">
      <w:pPr>
        <w:spacing w:after="120"/>
        <w:jc w:val="both"/>
      </w:pPr>
      <w:r>
        <w:t>Приходите от</w:t>
      </w:r>
      <w:r>
        <w:rPr>
          <w:b/>
        </w:rPr>
        <w:t xml:space="preserve"> данъци върху доходите на физически лица </w:t>
      </w:r>
      <w:r>
        <w:t xml:space="preserve">са в размер на </w:t>
      </w:r>
      <w:r>
        <w:rPr>
          <w:b/>
        </w:rPr>
        <w:t>4 183,9 млн. лв.</w:t>
      </w:r>
      <w:r>
        <w:t xml:space="preserve"> или 102,7 % спрямо заложените в разчета за годината. Тези приходи са със 184,9</w:t>
      </w:r>
      <w:r w:rsidRPr="008F3339">
        <w:t xml:space="preserve"> млн. лв. повече (4,6 %), спрямо предходната година. </w:t>
      </w:r>
      <w:r w:rsidRPr="008F157B">
        <w:t xml:space="preserve">Върху размера на данъчните постъпления от ДДФЛ основно влияние има развитието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w:t>
      </w:r>
      <w:r w:rsidRPr="007256E0">
        <w:t>периоди и информационните кампании, провеждани от НАП, мярката 60/40 и други.</w:t>
      </w:r>
      <w:r w:rsidRPr="007256E0" w:rsidDel="00493936">
        <w:t xml:space="preserve"> </w:t>
      </w:r>
    </w:p>
    <w:p w:rsidR="008262CB" w:rsidRPr="008D3498" w:rsidRDefault="008262CB" w:rsidP="008262CB">
      <w:pPr>
        <w:spacing w:after="120"/>
        <w:jc w:val="both"/>
      </w:pPr>
      <w:r w:rsidRPr="007256E0">
        <w:rPr>
          <w:i/>
        </w:rPr>
        <w:t>По трудови правоотношения</w:t>
      </w:r>
      <w:r w:rsidRPr="007256E0">
        <w:t xml:space="preserve"> приходите от данъка </w:t>
      </w:r>
      <w:r w:rsidRPr="007256E0">
        <w:rPr>
          <w:bCs/>
        </w:rPr>
        <w:t xml:space="preserve">за </w:t>
      </w:r>
      <w:r w:rsidRPr="007256E0">
        <w:t>2020 г. са 3 486,7 млн. лв., 103,4 % спрямо годишните разчети. Тези приходи са със 198,7 млн. лв. (6,0 %) повече, в сравнение с предходната година. Върху размера на постъпленията влияние оказват: увеличението на минималната работна заплата за страната от 01.01.2020 г.; увеличението на минималните осигурителни пра</w:t>
      </w:r>
      <w:r w:rsidR="007340F5">
        <w:t xml:space="preserve">гове за 2020 г.; </w:t>
      </w:r>
      <w:r w:rsidRPr="007256E0">
        <w:t>увеличението на заплатите на служителите в държавната администрация с 10 % от 01.01.2020 г.; увеличението на заплатите на педагогическия персонал от н</w:t>
      </w:r>
      <w:r w:rsidR="007340F5">
        <w:t xml:space="preserve">ачалото на 2020 г.; </w:t>
      </w:r>
      <w:r w:rsidRPr="007256E0">
        <w:t>броя</w:t>
      </w:r>
      <w:r w:rsidR="007340F5">
        <w:t>т</w:t>
      </w:r>
      <w:r w:rsidRPr="007256E0">
        <w:t xml:space="preserve"> на наетите лица и нивото на </w:t>
      </w:r>
      <w:r w:rsidRPr="008D3498">
        <w:t>безработица</w:t>
      </w:r>
      <w:r w:rsidR="007340F5">
        <w:t>;</w:t>
      </w:r>
      <w:r w:rsidRPr="008D3498">
        <w:t xml:space="preserve"> приетите от правителството мерки за преодоляване разпространението и за лечение на COVID-19 и мерките за минимизиране на отрицателните последици за бизнеса и заетостта, които включват: увеличение на средствата за извънреден труд (медицински персонал, полицейски органи и др.); допълнителни възнаграждения на медицинския и немедицинския персонал, ангажиран с пациенти, заболели с коронавирус; мярката „60/40”, чрез която държавата поема изплащането на 60 на сто от осигурителния доход и дължимите осигурителни вноски за сметка на осигурителя; възможността през 2020</w:t>
      </w:r>
      <w:r>
        <w:t> </w:t>
      </w:r>
      <w:r w:rsidRPr="008D3498">
        <w:t xml:space="preserve">г. средства от фонд "Безработица" на ДОО да се разходват и за мерки, свързани със заетостта; увеличение на минималния месечен осигурителен доход за работещите в секторите </w:t>
      </w:r>
      <w:r w:rsidRPr="008D3498">
        <w:lastRenderedPageBreak/>
        <w:t xml:space="preserve">„Хотелиерство“ и „Ресторантьорство“; увеличение на разходите за персонал в </w:t>
      </w:r>
      <w:r>
        <w:t>някои</w:t>
      </w:r>
      <w:r w:rsidRPr="008D3498">
        <w:t xml:space="preserve"> администрации, които са натоварени с дейности по овладяване на пандемията и последствията от C</w:t>
      </w:r>
      <w:r w:rsidRPr="008D3498">
        <w:rPr>
          <w:lang w:val="en-US"/>
        </w:rPr>
        <w:t>OVID</w:t>
      </w:r>
      <w:r w:rsidRPr="008D3498">
        <w:t>-19, включително и служители на първа линия, чиито задължения включват обслужване и контрол „на терен“, с пряк контакт с други лица.</w:t>
      </w:r>
    </w:p>
    <w:p w:rsidR="008262CB" w:rsidRPr="006E50CC" w:rsidRDefault="008262CB" w:rsidP="008262CB">
      <w:pPr>
        <w:spacing w:after="120"/>
        <w:jc w:val="both"/>
      </w:pPr>
      <w:r w:rsidRPr="00B51ED9">
        <w:rPr>
          <w:i/>
        </w:rPr>
        <w:t>По извънтрудови правоотношения (свободни професии, граждански договори и др.)</w:t>
      </w:r>
      <w:r w:rsidRPr="00B51ED9">
        <w:t xml:space="preserve"> приходите от данъка </w:t>
      </w:r>
      <w:r w:rsidRPr="00B51ED9">
        <w:rPr>
          <w:bCs/>
        </w:rPr>
        <w:t xml:space="preserve">за </w:t>
      </w:r>
      <w:r w:rsidRPr="00B51ED9">
        <w:t xml:space="preserve">2020 г. са в размер на 347,6 млн. лв., което е 93,7 % от годишния разчет. За 2020 г. са постъпили с 27,8 млн. лв. по-малко приходи (7,4 %) спрямо предходната година. </w:t>
      </w:r>
      <w:r w:rsidRPr="004270AB">
        <w:t>Основна причина за намалението на приходите от извънтрудови правоотношения са нереализирани доходи през 2020 г. в резултат от кризата с разпространението на COVID-19.</w:t>
      </w:r>
      <w:r>
        <w:t xml:space="preserve"> В</w:t>
      </w:r>
      <w:r w:rsidRPr="00774978">
        <w:t xml:space="preserve">лияние върху тези приходи оказват </w:t>
      </w:r>
      <w:r>
        <w:t xml:space="preserve">и </w:t>
      </w:r>
      <w:r w:rsidRPr="00774978">
        <w:t>резултатите от годишните данъчни декларации по чл.</w:t>
      </w:r>
      <w:r>
        <w:rPr>
          <w:lang w:val="en-US"/>
        </w:rPr>
        <w:t> </w:t>
      </w:r>
      <w:r w:rsidRPr="00774978">
        <w:t>50 от ЗДДФЛ (дължим данък за довнасяне или надвнесен данък) и дължимите авансови вноски.</w:t>
      </w:r>
    </w:p>
    <w:p w:rsidR="008262CB" w:rsidRPr="00247EB6" w:rsidRDefault="008262CB" w:rsidP="008262CB">
      <w:pPr>
        <w:spacing w:after="120"/>
        <w:jc w:val="both"/>
        <w:rPr>
          <w:color w:val="0070C0"/>
        </w:rPr>
      </w:pPr>
      <w:r w:rsidRPr="006E50CC">
        <w:rPr>
          <w:i/>
        </w:rPr>
        <w:t xml:space="preserve">Окончателен данък на местните и чуждестранни физически лица по чл. 37 и 38 от ЗДДФЛ </w:t>
      </w:r>
      <w:r w:rsidRPr="006E50CC">
        <w:t xml:space="preserve">и </w:t>
      </w:r>
      <w:r w:rsidRPr="006E50CC">
        <w:rPr>
          <w:i/>
        </w:rPr>
        <w:t>данък върху дивидентите и ликвидационните дялове на физически лица</w:t>
      </w:r>
      <w:r w:rsidRPr="006E50CC">
        <w:t xml:space="preserve"> - постъпленията от тези данъци са в размер на 343,9 млн. лв., 105,7 % спрямо годишния разчет. За 2020 г. са постъпили с 14,6 млн. лв. повече (4,4 %) спрямо предходната година.</w:t>
      </w:r>
    </w:p>
    <w:p w:rsidR="008262CB" w:rsidRPr="00781162" w:rsidRDefault="008262CB" w:rsidP="008262CB">
      <w:pPr>
        <w:spacing w:after="120"/>
        <w:jc w:val="both"/>
      </w:pPr>
      <w:r w:rsidRPr="00781162">
        <w:t xml:space="preserve">Постъпленията от </w:t>
      </w:r>
      <w:r w:rsidRPr="00781162">
        <w:rPr>
          <w:i/>
        </w:rPr>
        <w:t xml:space="preserve">окончателния данък върху приходите от лихви от депозити на физическите лица </w:t>
      </w:r>
      <w:r w:rsidRPr="00781162">
        <w:t>са в размер на 5,8 млн. лева.</w:t>
      </w:r>
    </w:p>
    <w:p w:rsidR="008262CB" w:rsidRPr="00781162" w:rsidRDefault="008262CB" w:rsidP="008262CB">
      <w:pPr>
        <w:numPr>
          <w:ilvl w:val="0"/>
          <w:numId w:val="4"/>
        </w:numPr>
        <w:tabs>
          <w:tab w:val="clear" w:pos="1440"/>
          <w:tab w:val="num" w:pos="540"/>
        </w:tabs>
        <w:ind w:left="0" w:firstLine="180"/>
        <w:jc w:val="both"/>
        <w:rPr>
          <w:b/>
          <w:bCs/>
        </w:rPr>
      </w:pPr>
      <w:r w:rsidRPr="00781162">
        <w:rPr>
          <w:b/>
          <w:bCs/>
        </w:rPr>
        <w:t>Косвени данъци</w:t>
      </w:r>
    </w:p>
    <w:p w:rsidR="008262CB" w:rsidRPr="00247EB6" w:rsidRDefault="008262CB" w:rsidP="008262CB">
      <w:pPr>
        <w:jc w:val="both"/>
        <w:rPr>
          <w:b/>
          <w:bCs/>
          <w:color w:val="0070C0"/>
          <w:sz w:val="4"/>
          <w:szCs w:val="4"/>
        </w:rPr>
      </w:pPr>
    </w:p>
    <w:p w:rsidR="008262CB" w:rsidRPr="00781162" w:rsidRDefault="008262CB" w:rsidP="008262CB">
      <w:pPr>
        <w:spacing w:after="120"/>
        <w:jc w:val="both"/>
      </w:pPr>
      <w:r w:rsidRPr="00781162">
        <w:t xml:space="preserve">Приходите от </w:t>
      </w:r>
      <w:r w:rsidRPr="00781162">
        <w:rPr>
          <w:b/>
        </w:rPr>
        <w:t>косвени данъци</w:t>
      </w:r>
      <w:r w:rsidRPr="00781162">
        <w:t xml:space="preserve"> </w:t>
      </w:r>
      <w:r w:rsidRPr="00781162">
        <w:rPr>
          <w:bCs/>
        </w:rPr>
        <w:t xml:space="preserve">за </w:t>
      </w:r>
      <w:r w:rsidRPr="00781162">
        <w:t xml:space="preserve">2020 г. са в размер на </w:t>
      </w:r>
      <w:r w:rsidRPr="00781162">
        <w:rPr>
          <w:b/>
        </w:rPr>
        <w:t>16 722,4 млн. лв</w:t>
      </w:r>
      <w:r w:rsidRPr="00781162">
        <w:t xml:space="preserve">. или 102,5 % спрямо годишния разчет. </w:t>
      </w:r>
    </w:p>
    <w:p w:rsidR="008262CB" w:rsidRPr="002306B1" w:rsidRDefault="008262CB" w:rsidP="008262CB">
      <w:pPr>
        <w:spacing w:after="120"/>
        <w:jc w:val="both"/>
      </w:pPr>
      <w:r w:rsidRPr="00781162">
        <w:rPr>
          <w:b/>
        </w:rPr>
        <w:t>Приходите от ДДС</w:t>
      </w:r>
      <w:r w:rsidRPr="00781162">
        <w:t xml:space="preserve"> са в размер на </w:t>
      </w:r>
      <w:r w:rsidRPr="00781162">
        <w:rPr>
          <w:b/>
        </w:rPr>
        <w:t>11 021,0 млн. лв.,</w:t>
      </w:r>
      <w:r w:rsidRPr="00781162">
        <w:t xml:space="preserve"> което представлява 103,6 % спрямо планираните със ЗДБРБ за 2</w:t>
      </w:r>
      <w:r w:rsidRPr="00AE240B">
        <w:t xml:space="preserve">020 година. </w:t>
      </w:r>
      <w:r w:rsidRPr="00D80697">
        <w:t xml:space="preserve">След период на изразен спад през второто тримесечие при постъпленията в частта на ДДС, последваха месеци на постепенно възстановяване, като в годишен план това забавяне бе преодоляно и приходите превишават плана за годината. Данъчната основа за ДДС от вътреобщностно придобиване отчита ръст на годишна база, като размерът на ефективно внесения ДДС се увеличава спрямо предходната година. </w:t>
      </w:r>
      <w:r w:rsidRPr="00AE240B">
        <w:t>Съпоставено с 2019 г., приходите от ДДС намаляват с 65,2 млн. лв. (0,6 %) поради намалената стопанска активност и влошените макроикономически показатели за потребление, внос, износ, вследствие от въведените ограничителни мерки свързани с</w:t>
      </w:r>
      <w:r w:rsidRPr="00350A22">
        <w:t xml:space="preserve"> </w:t>
      </w:r>
      <w:r>
        <w:t>пандемията</w:t>
      </w:r>
      <w:r w:rsidRPr="00AE240B">
        <w:t xml:space="preserve">, както и спада на цената </w:t>
      </w:r>
      <w:r w:rsidRPr="002306B1">
        <w:t>на суровия петрол, курса на щатския долар и други. Тези фактори се отразяват основно при постъпленията от ДДС от внос.</w:t>
      </w:r>
    </w:p>
    <w:p w:rsidR="008262CB" w:rsidRPr="00C121B9" w:rsidRDefault="008262CB" w:rsidP="008262CB">
      <w:pPr>
        <w:spacing w:before="120"/>
        <w:ind w:right="-29"/>
        <w:jc w:val="both"/>
      </w:pPr>
      <w:r w:rsidRPr="009D1C63">
        <w:t xml:space="preserve">Нетният размер на приходите от </w:t>
      </w:r>
      <w:r w:rsidRPr="009D1C63">
        <w:rPr>
          <w:i/>
        </w:rPr>
        <w:t>ДДС от внос</w:t>
      </w:r>
      <w:r w:rsidRPr="009D1C63">
        <w:t xml:space="preserve"> </w:t>
      </w:r>
      <w:r w:rsidRPr="009D1C63">
        <w:rPr>
          <w:bCs/>
        </w:rPr>
        <w:t xml:space="preserve">за </w:t>
      </w:r>
      <w:r w:rsidRPr="009D1C63">
        <w:t xml:space="preserve">2020 г. е 3 497,2 млн. лева., като намалява със 765,8 млн. лв. (18,0 %) в сравнение </w:t>
      </w:r>
      <w:r w:rsidRPr="00DB18BE">
        <w:t xml:space="preserve">с 2019 г.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както и въведената законодателна промяна от 01.07.2019 г. за възможност </w:t>
      </w:r>
      <w:r w:rsidRPr="00DB18BE">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C121B9">
        <w:rPr>
          <w:iCs/>
        </w:rPr>
        <w:t>.</w:t>
      </w:r>
      <w:r w:rsidRPr="00C121B9">
        <w:rPr>
          <w:bCs/>
        </w:rPr>
        <w:t xml:space="preserve"> Ефектът от прилагането на този режим за 2020 г. е неначислен ДДС при внос в размер на 1 087,3 млн. лв. Стоките с най-значителен дял в прилагането на този режим са следните: стоки от глава „Руди, шлаки и пепели“ – 718,4</w:t>
      </w:r>
      <w:r>
        <w:rPr>
          <w:bCs/>
        </w:rPr>
        <w:t> </w:t>
      </w:r>
      <w:r w:rsidRPr="00C121B9">
        <w:rPr>
          <w:bCs/>
        </w:rPr>
        <w:t>млн. лв. и стоки от глава „Мед и изделия от мед“ – 130,4 млн. лв. Общо 67 икономически оператори са се възползвали от възможността да отложат начисляването на ДДС</w:t>
      </w:r>
      <w:r w:rsidRPr="00C121B9">
        <w:t>.</w:t>
      </w:r>
    </w:p>
    <w:p w:rsidR="008262CB" w:rsidRPr="00F66C54" w:rsidRDefault="00707916" w:rsidP="008262CB">
      <w:pPr>
        <w:spacing w:before="120" w:after="120"/>
        <w:jc w:val="both"/>
        <w:rPr>
          <w:b/>
        </w:rPr>
      </w:pPr>
      <w:r w:rsidRPr="00707916">
        <w:t xml:space="preserve">Постъпленията от </w:t>
      </w:r>
      <w:r w:rsidRPr="00707916">
        <w:rPr>
          <w:i/>
        </w:rPr>
        <w:t>ДДС от сделки в страната и ВОП (нето)</w:t>
      </w:r>
      <w:r w:rsidR="008262CB" w:rsidRPr="00A6489A">
        <w:t xml:space="preserve"> </w:t>
      </w:r>
      <w:r w:rsidR="008262CB" w:rsidRPr="00A6489A">
        <w:rPr>
          <w:bCs/>
        </w:rPr>
        <w:t xml:space="preserve">за </w:t>
      </w:r>
      <w:r w:rsidR="008262CB" w:rsidRPr="00A6489A">
        <w:t>2020 г. възлизат на 7 523,8</w:t>
      </w:r>
      <w:r w:rsidR="008262CB" w:rsidRPr="00A6489A">
        <w:rPr>
          <w:rFonts w:eastAsia="Calibri"/>
          <w:b/>
        </w:rPr>
        <w:t> </w:t>
      </w:r>
      <w:r w:rsidR="008262CB" w:rsidRPr="00A6489A">
        <w:t xml:space="preserve">млн. лв. и </w:t>
      </w:r>
      <w:r w:rsidR="008262CB" w:rsidRPr="00F66C54">
        <w:t xml:space="preserve">нарастват със 700,6 млн. лв. (10,3 %) спрямо предходната година. </w:t>
      </w:r>
      <w:r w:rsidR="008262CB" w:rsidRPr="00F66C54">
        <w:rPr>
          <w:bCs/>
        </w:rPr>
        <w:t xml:space="preserve">Невъзстановеният ДДС </w:t>
      </w:r>
      <w:r w:rsidR="008262CB">
        <w:rPr>
          <w:bCs/>
        </w:rPr>
        <w:t>към края на</w:t>
      </w:r>
      <w:r w:rsidR="008262CB" w:rsidRPr="00F66C54">
        <w:rPr>
          <w:bCs/>
        </w:rPr>
        <w:t xml:space="preserve"> 2020 г. е в размер на 88,5 млн. лева.</w:t>
      </w:r>
    </w:p>
    <w:p w:rsidR="008262CB" w:rsidRPr="00350A22" w:rsidRDefault="008262CB" w:rsidP="008262CB">
      <w:pPr>
        <w:spacing w:before="240" w:after="120"/>
        <w:jc w:val="both"/>
        <w:rPr>
          <w:rStyle w:val="Strong"/>
          <w:b w:val="0"/>
        </w:rPr>
      </w:pPr>
      <w:r w:rsidRPr="008B1653">
        <w:rPr>
          <w:b/>
        </w:rPr>
        <w:t xml:space="preserve">Приходите от акцизи (нето) </w:t>
      </w:r>
      <w:r w:rsidRPr="008B1653">
        <w:t xml:space="preserve">от внос, вътрешно производство и въведени в страната от други държави-членки на ЕС акцизни стоки са в размер на </w:t>
      </w:r>
      <w:r w:rsidRPr="008B1653">
        <w:rPr>
          <w:b/>
        </w:rPr>
        <w:t>5 444,5 млн. лв</w:t>
      </w:r>
      <w:r w:rsidRPr="008B1653">
        <w:t xml:space="preserve">., което е 99,9 % от планираните със ЗДБРБ за 2020 г. </w:t>
      </w:r>
    </w:p>
    <w:p w:rsidR="008262CB" w:rsidRPr="00032D24" w:rsidRDefault="008262CB" w:rsidP="008262CB">
      <w:pPr>
        <w:spacing w:after="120"/>
        <w:jc w:val="both"/>
      </w:pPr>
      <w:r w:rsidRPr="00032D24">
        <w:t xml:space="preserve">Нетните постъпления от акциз са от следните основни стокови групи: тютюневи изделия (52,0 %); горива (42,0 %); алкохолни напитки и пиво (5,2 %) и други акцизни стоки – </w:t>
      </w:r>
      <w:r w:rsidRPr="00032D24">
        <w:lastRenderedPageBreak/>
        <w:t>електрическа енергия, въглища и кокс (0,7 %). Постъпления от акциз за 2020 г. по основни стокови групи, са както следва:</w:t>
      </w:r>
    </w:p>
    <w:p w:rsidR="008262CB" w:rsidRPr="00E61764" w:rsidRDefault="008262CB" w:rsidP="008262CB">
      <w:pPr>
        <w:numPr>
          <w:ilvl w:val="0"/>
          <w:numId w:val="18"/>
        </w:numPr>
        <w:jc w:val="both"/>
      </w:pPr>
      <w:r w:rsidRPr="00E61764">
        <w:rPr>
          <w:i/>
        </w:rPr>
        <w:t>Акцизите от тютюневи изделия</w:t>
      </w:r>
      <w:r w:rsidRPr="00E61764">
        <w:t xml:space="preserve">  възлизат на 2 829,9 млн. лева; </w:t>
      </w:r>
    </w:p>
    <w:p w:rsidR="008262CB" w:rsidRPr="00E61764" w:rsidRDefault="008262CB" w:rsidP="008262CB">
      <w:pPr>
        <w:numPr>
          <w:ilvl w:val="0"/>
          <w:numId w:val="18"/>
        </w:numPr>
        <w:jc w:val="both"/>
      </w:pPr>
      <w:r w:rsidRPr="00E61764">
        <w:rPr>
          <w:i/>
        </w:rPr>
        <w:t>Акцизите от горив</w:t>
      </w:r>
      <w:r w:rsidRPr="00E61764">
        <w:t xml:space="preserve">а са в размер на 2 288,7 млн. лева; </w:t>
      </w:r>
    </w:p>
    <w:p w:rsidR="008262CB" w:rsidRPr="00E61764" w:rsidRDefault="008262CB" w:rsidP="008262CB">
      <w:pPr>
        <w:numPr>
          <w:ilvl w:val="0"/>
          <w:numId w:val="18"/>
        </w:numPr>
        <w:jc w:val="both"/>
      </w:pPr>
      <w:r w:rsidRPr="00E61764">
        <w:rPr>
          <w:i/>
        </w:rPr>
        <w:t xml:space="preserve">Акцизите от алкохолни напитки и пиво </w:t>
      </w:r>
      <w:r w:rsidRPr="00E61764">
        <w:t xml:space="preserve"> възлизат на 285,3 млн. лева; </w:t>
      </w:r>
    </w:p>
    <w:p w:rsidR="008262CB" w:rsidRPr="005B6F04" w:rsidRDefault="008262CB" w:rsidP="008262CB">
      <w:pPr>
        <w:numPr>
          <w:ilvl w:val="0"/>
          <w:numId w:val="18"/>
        </w:numPr>
        <w:jc w:val="both"/>
      </w:pPr>
      <w:r w:rsidRPr="00E61764">
        <w:rPr>
          <w:i/>
        </w:rPr>
        <w:t xml:space="preserve">Приходите от други акцизни стоки - електрическа енергия, въглища и кокс </w:t>
      </w:r>
      <w:r w:rsidRPr="00E61764">
        <w:t xml:space="preserve">– възлизат на </w:t>
      </w:r>
      <w:r w:rsidRPr="005B6F04">
        <w:t>40,6 млн. лева.</w:t>
      </w:r>
    </w:p>
    <w:p w:rsidR="008262CB" w:rsidRPr="005B6F04" w:rsidRDefault="008262CB" w:rsidP="008262CB">
      <w:pPr>
        <w:ind w:left="360"/>
        <w:jc w:val="both"/>
        <w:rPr>
          <w:color w:val="0070C0"/>
          <w:sz w:val="8"/>
          <w:szCs w:val="8"/>
        </w:rPr>
      </w:pPr>
    </w:p>
    <w:p w:rsidR="008262CB" w:rsidRPr="005B6F04" w:rsidRDefault="008262CB" w:rsidP="008262CB">
      <w:pPr>
        <w:widowControl w:val="0"/>
        <w:suppressAutoHyphens/>
        <w:jc w:val="both"/>
      </w:pPr>
      <w:r w:rsidRPr="005B6F04">
        <w:t>Едно от основните законодателни изменения, насочено към подобряване на контрола върху стоки с висок фискален риск е въвеждане</w:t>
      </w:r>
      <w:r>
        <w:t>то</w:t>
      </w:r>
      <w:r w:rsidRPr="005B6F04">
        <w:t xml:space="preserve"> на система за видеонаблюдение и контрол в данъчните складове, с цел подобряване на събираемостта на приходите, намаляване на сивия сектор и защита на фискалните интереси на държавата, без да се възпрепятства дейността на данъчнозадължените лица. Освен това</w:t>
      </w:r>
      <w:r>
        <w:t>,</w:t>
      </w:r>
      <w:r w:rsidRPr="005B6F04">
        <w:t xml:space="preserve"> с промяна в </w:t>
      </w:r>
      <w:r w:rsidRPr="005B6F04">
        <w:rPr>
          <w:iCs/>
        </w:rPr>
        <w:t>Закона за държавните резерви и военновременните запаси</w:t>
      </w:r>
      <w:r w:rsidRPr="005B6F04">
        <w:t xml:space="preserve"> </w:t>
      </w:r>
      <w:r w:rsidRPr="00350A22">
        <w:t>(ДВ, бр. 65 от 2020 г.)</w:t>
      </w:r>
      <w:r w:rsidRPr="005B6F04">
        <w:t xml:space="preserve"> се създаде държавно предприятие „Държавна петролна компания“ към министъра на икономиката, което следва да изпълнява всички функции на държавния резерв за съхранение и обновяване на резервите на петролни енергийни продукти. Целта е чрез участието на държавата в пазара на горива да се подобри конкуренцията на вътрешния пазар, като се очаква положителен бюджетен ефект и увеличаване на постъпленията от акцизи.</w:t>
      </w:r>
    </w:p>
    <w:p w:rsidR="008262CB" w:rsidRPr="007340F5" w:rsidRDefault="008262CB" w:rsidP="007340F5">
      <w:pPr>
        <w:autoSpaceDE w:val="0"/>
        <w:autoSpaceDN w:val="0"/>
        <w:adjustRightInd w:val="0"/>
        <w:jc w:val="both"/>
      </w:pPr>
      <w:r w:rsidRPr="005B6F04">
        <w:t xml:space="preserve">Освен промените в данъчното законодателство, влияние върху приходите от акцизи оказват и отчетените обеми на потребление по групи акцизни стоки, динамиката на вноса и ефекта от подобряване на контрола и събираемостта на митническата администрация. Негативните ефекти от пандемията се отразиха главно в свиване при потреблението на горива и алкохолни напитки, което оказа влияние върху размера на постъпленията </w:t>
      </w:r>
      <w:r w:rsidRPr="00350A22">
        <w:t xml:space="preserve">от акцизи </w:t>
      </w:r>
      <w:r w:rsidRPr="005B6F04">
        <w:t>през 2020 година.</w:t>
      </w:r>
    </w:p>
    <w:p w:rsidR="008262CB" w:rsidRPr="005B6F04" w:rsidRDefault="008262CB" w:rsidP="008262CB">
      <w:pPr>
        <w:ind w:left="360"/>
        <w:jc w:val="both"/>
        <w:rPr>
          <w:color w:val="0070C0"/>
          <w:sz w:val="8"/>
          <w:szCs w:val="8"/>
        </w:rPr>
      </w:pPr>
    </w:p>
    <w:p w:rsidR="008262CB" w:rsidRPr="005826C2" w:rsidRDefault="008262CB" w:rsidP="008262CB">
      <w:pPr>
        <w:spacing w:after="120"/>
        <w:jc w:val="both"/>
      </w:pPr>
      <w:r w:rsidRPr="005B6F04">
        <w:rPr>
          <w:b/>
        </w:rPr>
        <w:t>Приходите от данък върху застрахователните премии</w:t>
      </w:r>
      <w:r w:rsidRPr="005B6F04">
        <w:t xml:space="preserve"> са в размер на </w:t>
      </w:r>
      <w:r w:rsidRPr="005B6F04">
        <w:rPr>
          <w:b/>
        </w:rPr>
        <w:t>47,0 млн. лв</w:t>
      </w:r>
      <w:r w:rsidRPr="005B6F04">
        <w:t>., при</w:t>
      </w:r>
      <w:r w:rsidRPr="005826C2">
        <w:t xml:space="preserve"> планирани за годината 44,2 млн. лева.</w:t>
      </w:r>
    </w:p>
    <w:p w:rsidR="008262CB" w:rsidRPr="00AA01CE" w:rsidRDefault="008262CB" w:rsidP="008262CB">
      <w:pPr>
        <w:tabs>
          <w:tab w:val="right" w:pos="9072"/>
        </w:tabs>
        <w:spacing w:before="240"/>
        <w:jc w:val="both"/>
      </w:pPr>
      <w:r w:rsidRPr="005826C2">
        <w:rPr>
          <w:b/>
        </w:rPr>
        <w:t>Постъпленията от</w:t>
      </w:r>
      <w:r w:rsidRPr="005826C2">
        <w:t xml:space="preserve"> </w:t>
      </w:r>
      <w:r w:rsidRPr="005826C2">
        <w:rPr>
          <w:b/>
          <w:bCs/>
        </w:rPr>
        <w:t xml:space="preserve">мита </w:t>
      </w:r>
      <w:r w:rsidRPr="005826C2">
        <w:t xml:space="preserve">възлизат на </w:t>
      </w:r>
      <w:r w:rsidRPr="005826C2">
        <w:rPr>
          <w:b/>
        </w:rPr>
        <w:t>209,9 млн. лв</w:t>
      </w:r>
      <w:r w:rsidRPr="005826C2">
        <w:t>. или 112,0 % спрямо планираните със ЗДБРБ за 2020 г., като заемат 0,9 % относителен дял в общия размер на данъчните приходи по държавния бюджет. В сравнение с предходната година събраните мита са с 20,9 млн. лв. (9,1</w:t>
      </w:r>
      <w:r w:rsidR="005B5C0F">
        <w:t> </w:t>
      </w:r>
      <w:r w:rsidRPr="005826C2">
        <w:t>%) по-мал</w:t>
      </w:r>
      <w:r w:rsidRPr="00815EFD">
        <w:t xml:space="preserve">ко. Основна причина за отчетения спад са наложените в национален и световен мащаб ограничителни мерки във връзка с разпространението на COVID-19 и произтеклото от </w:t>
      </w:r>
      <w:r w:rsidRPr="00363D75">
        <w:t>това влошаване на показателите за внос, износ и слаба икономическата активност. Намаление в постъпленията от мита</w:t>
      </w:r>
      <w:r w:rsidRPr="00363D75">
        <w:rPr>
          <w:b/>
          <w:i/>
        </w:rPr>
        <w:t xml:space="preserve"> </w:t>
      </w:r>
      <w:r w:rsidRPr="00363D75">
        <w:t xml:space="preserve">за 2020 г. се отчита при следните групи стоки: „Пластмаси и </w:t>
      </w:r>
      <w:r w:rsidRPr="002F46B9">
        <w:t xml:space="preserve">пластмасови изделия“ - приходите са с 3,1 млн. лв. (16,7 %) по-малко спрямо 2019 г.; „Чугун, </w:t>
      </w:r>
      <w:r w:rsidRPr="001E41AE">
        <w:t xml:space="preserve">желязо и стомана“ - за 2020 г. постъпленията намаляват с 2,6 млн. лева (75,9 %) в сравнение с 2019 г.; „Изделия от </w:t>
      </w:r>
      <w:r w:rsidRPr="00A543C6">
        <w:t xml:space="preserve">чугун, желязо и стомана“ - спадът е в размер на 2,6 млн. лв. (32,8 %) спрямо постъпленията за 2019 г.; „Автомобилни превозни средства, трактори, мотоциклети и велосипеди и други сухопътни превозни средства, техните части и принадлежности“ – отчетен </w:t>
      </w:r>
      <w:r w:rsidRPr="00A61B4A">
        <w:t>е спад с 2,5 млн. лв.</w:t>
      </w:r>
      <w:r w:rsidRPr="00350A22">
        <w:t xml:space="preserve"> (</w:t>
      </w:r>
      <w:r w:rsidRPr="00A61B4A">
        <w:t>12,0</w:t>
      </w:r>
      <w:r w:rsidRPr="00350A22">
        <w:t xml:space="preserve"> </w:t>
      </w:r>
      <w:r w:rsidRPr="00A61B4A">
        <w:t>%</w:t>
      </w:r>
      <w:r w:rsidRPr="00350A22">
        <w:t xml:space="preserve">) </w:t>
      </w:r>
      <w:r w:rsidRPr="00A61B4A">
        <w:t>на годишна база и „Алуминий и изделия от алуминий“ – постъпленията са с 2,4 млн. лв. (16,7 %) по-малко на годишна база</w:t>
      </w:r>
      <w:r w:rsidRPr="00350A22">
        <w:t>.</w:t>
      </w:r>
      <w:r w:rsidRPr="00A61B4A">
        <w:t xml:space="preserve"> В зависимост от произхода на внасяните стоки, най-голям е делът на приходите от мита при внос на стоки от Китай, като за 2020 г. </w:t>
      </w:r>
      <w:r w:rsidRPr="00EE33A8">
        <w:t xml:space="preserve">постъпленията възлизат на 107,9  млн. лв. и са с </w:t>
      </w:r>
      <w:r w:rsidRPr="00350A22">
        <w:t>6</w:t>
      </w:r>
      <w:r w:rsidRPr="00EE33A8">
        <w:t xml:space="preserve">,9 % по-малко спрямо </w:t>
      </w:r>
      <w:r w:rsidRPr="009F5644">
        <w:t>2019 година. Те формират 51,4 % от общия обем на митата за периода. На второ място по приходи от мита е вносът на стоки с произход Русия, които са в размер на 21,8 млн. лв. и отчитат намаление с 19,4 % на годишна база. Тези постъпления имат относителен дял от 10,4</w:t>
      </w:r>
      <w:r w:rsidRPr="009F5644">
        <w:rPr>
          <w:lang w:val="ru-RU"/>
        </w:rPr>
        <w:t> </w:t>
      </w:r>
      <w:r w:rsidRPr="009F5644">
        <w:t xml:space="preserve">% от всички мита. Следват приходите от мита при внос на стоки с произход САЩ, които </w:t>
      </w:r>
      <w:r w:rsidRPr="00795918">
        <w:t>възлизат на 12,6 млн. лв., като</w:t>
      </w:r>
      <w:r w:rsidRPr="00350A22">
        <w:t xml:space="preserve"> </w:t>
      </w:r>
      <w:r w:rsidRPr="00795918">
        <w:t xml:space="preserve">се повишават с 14,9 % и представляват 6,0 % от всички мита. Приходите от внос на стоки с произход Малайзия са в размер на 6,8 млн. лв. към края на 2020 г. и отчитат повишение с 85,1 % на годишна база. Тези постъпления имат относителен </w:t>
      </w:r>
      <w:r w:rsidRPr="00AA01CE">
        <w:t xml:space="preserve">дял от 3,2 % от всички мита. Следват приходите от мита за стоки с произход Япония, които са в размер на 6,1 млн. лв. към края на 2020 г. и отчитат спад с 27,0 % на годишна база. Тези постъпления имат относителен дял от 2,9 % от всички мита. Приходите от внос на стоки от Еквадор са в размер на 5,9 млн. лв., като намаляват с 6,2 % и формират 2,8 % от всички мита. </w:t>
      </w:r>
    </w:p>
    <w:p w:rsidR="008262CB" w:rsidRPr="00247EB6" w:rsidRDefault="008262CB" w:rsidP="008262CB">
      <w:pPr>
        <w:tabs>
          <w:tab w:val="right" w:pos="9072"/>
        </w:tabs>
        <w:ind w:right="-2"/>
        <w:jc w:val="both"/>
        <w:rPr>
          <w:color w:val="0070C0"/>
          <w:sz w:val="16"/>
        </w:rPr>
      </w:pPr>
    </w:p>
    <w:p w:rsidR="008262CB" w:rsidRPr="00487671" w:rsidRDefault="008262CB" w:rsidP="008262CB">
      <w:pPr>
        <w:numPr>
          <w:ilvl w:val="0"/>
          <w:numId w:val="4"/>
        </w:numPr>
        <w:tabs>
          <w:tab w:val="clear" w:pos="1440"/>
          <w:tab w:val="num" w:pos="540"/>
        </w:tabs>
        <w:spacing w:before="120"/>
        <w:ind w:left="0" w:firstLine="181"/>
        <w:jc w:val="both"/>
        <w:rPr>
          <w:b/>
          <w:bCs/>
        </w:rPr>
      </w:pPr>
      <w:r w:rsidRPr="00487671">
        <w:rPr>
          <w:b/>
          <w:bCs/>
        </w:rPr>
        <w:t>Други данъци</w:t>
      </w:r>
    </w:p>
    <w:p w:rsidR="008262CB" w:rsidRPr="00247EB6" w:rsidRDefault="008262CB" w:rsidP="008262CB">
      <w:pPr>
        <w:spacing w:before="120"/>
        <w:jc w:val="both"/>
        <w:rPr>
          <w:color w:val="0070C0"/>
        </w:rPr>
      </w:pPr>
      <w:r w:rsidRPr="00487671">
        <w:t xml:space="preserve">Постъпленията от </w:t>
      </w:r>
      <w:r w:rsidRPr="00487671">
        <w:rPr>
          <w:b/>
        </w:rPr>
        <w:t>други данъци</w:t>
      </w:r>
      <w:r w:rsidRPr="00487671">
        <w:t xml:space="preserve"> по държавния бюджет </w:t>
      </w:r>
      <w:r>
        <w:t>за</w:t>
      </w:r>
      <w:r w:rsidRPr="00487671">
        <w:rPr>
          <w:bCs/>
        </w:rPr>
        <w:t xml:space="preserve"> </w:t>
      </w:r>
      <w:r w:rsidRPr="00487671">
        <w:t xml:space="preserve">2020 г. са в размер на </w:t>
      </w:r>
      <w:r w:rsidRPr="00487671">
        <w:rPr>
          <w:b/>
        </w:rPr>
        <w:t xml:space="preserve">148,9 млн. лв. </w:t>
      </w:r>
      <w:r w:rsidRPr="00487671">
        <w:t>или 104,8 % спрямо планираните със ЗДБРБ за 2020 година. В сравнение с предходната година приходите от тази група данъци са с 2,0 млн. лв. (1,3 %) по-малко.</w:t>
      </w:r>
    </w:p>
    <w:p w:rsidR="008262CB" w:rsidRPr="00541656" w:rsidRDefault="008262CB" w:rsidP="008262CB">
      <w:pPr>
        <w:numPr>
          <w:ilvl w:val="0"/>
          <w:numId w:val="3"/>
        </w:numPr>
        <w:tabs>
          <w:tab w:val="num" w:pos="720"/>
        </w:tabs>
        <w:spacing w:before="120"/>
        <w:ind w:left="0" w:firstLine="181"/>
        <w:jc w:val="both"/>
      </w:pPr>
      <w:r w:rsidRPr="00541656">
        <w:rPr>
          <w:b/>
          <w:bCs/>
        </w:rPr>
        <w:t>Неданъчни приходи</w:t>
      </w:r>
    </w:p>
    <w:p w:rsidR="008262CB" w:rsidRPr="00541656" w:rsidRDefault="008262CB" w:rsidP="008262CB">
      <w:pPr>
        <w:tabs>
          <w:tab w:val="left" w:pos="900"/>
        </w:tabs>
        <w:spacing w:before="120" w:after="120"/>
        <w:jc w:val="both"/>
      </w:pPr>
      <w:r w:rsidRPr="00541656">
        <w:t>Отчетените</w:t>
      </w:r>
      <w:r w:rsidRPr="00541656">
        <w:rPr>
          <w:b/>
          <w:bCs/>
        </w:rPr>
        <w:t xml:space="preserve"> неданъчни приходи</w:t>
      </w:r>
      <w:r w:rsidRPr="00541656">
        <w:t xml:space="preserve"> по държавния бюджет </w:t>
      </w:r>
      <w:r w:rsidRPr="00541656">
        <w:rPr>
          <w:bCs/>
        </w:rPr>
        <w:t xml:space="preserve">за </w:t>
      </w:r>
      <w:r w:rsidRPr="00541656">
        <w:t xml:space="preserve">2020 г. са в размер на            </w:t>
      </w:r>
      <w:r w:rsidRPr="00541656">
        <w:rPr>
          <w:b/>
        </w:rPr>
        <w:t>2 065,4 млн. лв</w:t>
      </w:r>
      <w:r w:rsidRPr="00541656">
        <w:t xml:space="preserve">. и се формират основно от приходи от държавни такси, приходи и доходи от собственост, приходи от концесии и други. </w:t>
      </w:r>
    </w:p>
    <w:p w:rsidR="008262CB" w:rsidRPr="00C66992" w:rsidRDefault="008262CB" w:rsidP="008262CB">
      <w:pPr>
        <w:numPr>
          <w:ilvl w:val="0"/>
          <w:numId w:val="3"/>
        </w:numPr>
        <w:tabs>
          <w:tab w:val="num" w:pos="720"/>
        </w:tabs>
        <w:spacing w:before="120"/>
        <w:ind w:left="0" w:firstLine="181"/>
        <w:jc w:val="both"/>
        <w:rPr>
          <w:b/>
          <w:bCs/>
        </w:rPr>
      </w:pPr>
      <w:r w:rsidRPr="00C66992">
        <w:rPr>
          <w:b/>
          <w:bCs/>
        </w:rPr>
        <w:t>Помощи и дарения</w:t>
      </w:r>
    </w:p>
    <w:p w:rsidR="008262CB" w:rsidRDefault="008262CB" w:rsidP="008262CB">
      <w:pPr>
        <w:spacing w:before="120" w:after="120"/>
        <w:jc w:val="both"/>
      </w:pPr>
      <w:r w:rsidRPr="00C66992">
        <w:t xml:space="preserve">Постъпилите </w:t>
      </w:r>
      <w:r w:rsidRPr="00C66992">
        <w:rPr>
          <w:b/>
        </w:rPr>
        <w:t>помощи</w:t>
      </w:r>
      <w:r w:rsidRPr="00C66992">
        <w:t xml:space="preserve"> </w:t>
      </w:r>
      <w:r w:rsidRPr="00C66992">
        <w:rPr>
          <w:b/>
        </w:rPr>
        <w:t>и дарения</w:t>
      </w:r>
      <w:r w:rsidRPr="00C66992">
        <w:t xml:space="preserve"> по държавния бюджет за 2020 г. са в размер на </w:t>
      </w:r>
      <w:r w:rsidRPr="00C66992">
        <w:rPr>
          <w:b/>
        </w:rPr>
        <w:t>18,7 млн. лв.</w:t>
      </w:r>
      <w:r w:rsidRPr="00C66992">
        <w:t xml:space="preserve"> и са по бюджетите на министерствата и ведомствата.</w:t>
      </w:r>
    </w:p>
    <w:p w:rsidR="008262CB" w:rsidRPr="00BC1EF9" w:rsidRDefault="008262CB" w:rsidP="008262CB">
      <w:pPr>
        <w:numPr>
          <w:ilvl w:val="0"/>
          <w:numId w:val="6"/>
        </w:numPr>
        <w:tabs>
          <w:tab w:val="clear" w:pos="700"/>
          <w:tab w:val="num" w:pos="426"/>
        </w:tabs>
        <w:spacing w:before="240"/>
        <w:ind w:left="0" w:firstLine="0"/>
        <w:jc w:val="both"/>
        <w:rPr>
          <w:b/>
          <w:bCs/>
        </w:rPr>
      </w:pPr>
      <w:r w:rsidRPr="00BC1EF9">
        <w:rPr>
          <w:b/>
          <w:bCs/>
        </w:rPr>
        <w:t>Разходи по държавния бюджет</w:t>
      </w:r>
    </w:p>
    <w:p w:rsidR="008262CB" w:rsidRPr="004B1466" w:rsidRDefault="008262CB" w:rsidP="008262CB">
      <w:pPr>
        <w:jc w:val="both"/>
        <w:rPr>
          <w:b/>
          <w:bCs/>
          <w:color w:val="0070C0"/>
          <w:sz w:val="4"/>
          <w:szCs w:val="4"/>
        </w:rPr>
      </w:pPr>
    </w:p>
    <w:p w:rsidR="008262CB" w:rsidRPr="001033E1" w:rsidRDefault="008262CB" w:rsidP="008262CB">
      <w:pPr>
        <w:pStyle w:val="BodyTextIndent"/>
        <w:spacing w:after="0"/>
        <w:ind w:left="0"/>
        <w:jc w:val="both"/>
        <w:rPr>
          <w:color w:val="0070C0"/>
        </w:rPr>
      </w:pPr>
      <w:r w:rsidRPr="00D546DB">
        <w:t xml:space="preserve">Общият размер на </w:t>
      </w:r>
      <w:r w:rsidRPr="00D546DB">
        <w:rPr>
          <w:b/>
        </w:rPr>
        <w:t>разходите по държавния бюджет</w:t>
      </w:r>
      <w:r w:rsidRPr="00D546DB">
        <w:t xml:space="preserve"> (вкл. трансферите за др. бюджети и вноската в бюджета на ЕС) </w:t>
      </w:r>
      <w:r w:rsidRPr="00D546DB">
        <w:rPr>
          <w:bCs/>
        </w:rPr>
        <w:t xml:space="preserve">за </w:t>
      </w:r>
      <w:r w:rsidRPr="00D546DB">
        <w:t xml:space="preserve">2020 г. е </w:t>
      </w:r>
      <w:r w:rsidRPr="00D546DB">
        <w:rPr>
          <w:b/>
        </w:rPr>
        <w:t>29 988,4 млн. лв</w:t>
      </w:r>
      <w:r w:rsidRPr="00D546DB">
        <w:t>. или 98,9 % от предвидените със</w:t>
      </w:r>
      <w:r w:rsidRPr="005F7F29">
        <w:t xml:space="preserve"> ЗДБРБ за 2020 година</w:t>
      </w:r>
      <w:r w:rsidRPr="004B1466">
        <w:rPr>
          <w:color w:val="0070C0"/>
        </w:rPr>
        <w:t>.</w:t>
      </w:r>
    </w:p>
    <w:p w:rsidR="008262CB" w:rsidRPr="001033E1" w:rsidRDefault="008262CB" w:rsidP="008262CB">
      <w:pPr>
        <w:pStyle w:val="BodyTextIndent"/>
        <w:spacing w:after="0"/>
        <w:ind w:left="0"/>
        <w:jc w:val="both"/>
        <w:rPr>
          <w:color w:val="0070C0"/>
        </w:rPr>
      </w:pPr>
    </w:p>
    <w:p w:rsidR="008262CB" w:rsidRPr="004B1466" w:rsidRDefault="008262CB" w:rsidP="008262CB">
      <w:pPr>
        <w:pStyle w:val="BodyTextIndent"/>
        <w:spacing w:after="0"/>
        <w:ind w:left="0"/>
        <w:jc w:val="center"/>
        <w:rPr>
          <w:b/>
          <w:color w:val="0070C0"/>
          <w:sz w:val="4"/>
          <w:szCs w:val="4"/>
          <w:u w:val="single"/>
        </w:rPr>
      </w:pPr>
    </w:p>
    <w:p w:rsidR="008262CB" w:rsidRPr="00671BBD" w:rsidRDefault="008262CB" w:rsidP="008262CB">
      <w:pPr>
        <w:pStyle w:val="BodyTextIndent"/>
        <w:spacing w:after="0"/>
        <w:ind w:left="0"/>
        <w:jc w:val="center"/>
        <w:rPr>
          <w:b/>
          <w:u w:val="single"/>
        </w:rPr>
      </w:pPr>
      <w:r w:rsidRPr="00671BBD">
        <w:rPr>
          <w:b/>
          <w:u w:val="single"/>
        </w:rPr>
        <w:t xml:space="preserve">Разходи, трансфери за други бюджети и вноска в бюджета на ЕС </w:t>
      </w:r>
    </w:p>
    <w:p w:rsidR="008262CB" w:rsidRPr="00671BBD" w:rsidRDefault="008262CB" w:rsidP="008262CB">
      <w:pPr>
        <w:pStyle w:val="BodyTextIndent"/>
        <w:spacing w:after="0"/>
        <w:ind w:left="0"/>
        <w:jc w:val="center"/>
        <w:rPr>
          <w:b/>
          <w:u w:val="single"/>
        </w:rPr>
      </w:pPr>
      <w:r w:rsidRPr="00671BBD">
        <w:rPr>
          <w:b/>
          <w:u w:val="single"/>
        </w:rPr>
        <w:t>за 2019 г. и 2020 г.</w:t>
      </w:r>
    </w:p>
    <w:p w:rsidR="008262CB" w:rsidRPr="00247EB6" w:rsidRDefault="008262CB" w:rsidP="008262CB">
      <w:pPr>
        <w:pStyle w:val="BodyTextIndent"/>
        <w:spacing w:after="0"/>
        <w:ind w:left="0"/>
        <w:jc w:val="center"/>
        <w:rPr>
          <w:b/>
          <w:color w:val="0070C0"/>
          <w:sz w:val="8"/>
          <w:szCs w:val="8"/>
          <w:u w:val="single"/>
        </w:rPr>
      </w:pPr>
    </w:p>
    <w:p w:rsidR="008262CB" w:rsidRPr="00247EB6" w:rsidRDefault="008262CB" w:rsidP="008262CB">
      <w:pPr>
        <w:pStyle w:val="BodyTextIndent"/>
        <w:spacing w:after="0"/>
        <w:ind w:left="0"/>
        <w:jc w:val="center"/>
        <w:rPr>
          <w:b/>
          <w:color w:val="0070C0"/>
          <w:u w:val="single"/>
        </w:rPr>
      </w:pPr>
      <w:bookmarkStart w:id="15" w:name="_MON_1562146415"/>
      <w:bookmarkStart w:id="16" w:name="_MON_1562146493"/>
      <w:bookmarkStart w:id="17" w:name="_MON_1562146700"/>
      <w:bookmarkStart w:id="18" w:name="_MON_1562146782"/>
      <w:bookmarkStart w:id="19" w:name="_MON_1562146967"/>
      <w:bookmarkStart w:id="20" w:name="_MON_1562147372"/>
      <w:bookmarkStart w:id="21" w:name="_MON_1562147473"/>
      <w:bookmarkStart w:id="22" w:name="_MON_1562147677"/>
      <w:bookmarkStart w:id="23" w:name="_MON_1562147743"/>
      <w:bookmarkStart w:id="24" w:name="_MON_1562147867"/>
      <w:bookmarkStart w:id="25" w:name="_MON_1562147934"/>
      <w:bookmarkStart w:id="26" w:name="_MON_1562148056"/>
      <w:bookmarkStart w:id="27" w:name="_MON_1562148171"/>
      <w:bookmarkStart w:id="28" w:name="_MON_1562148229"/>
      <w:bookmarkStart w:id="29" w:name="_MON_1562148307"/>
      <w:bookmarkStart w:id="30" w:name="_MON_1562148447"/>
      <w:bookmarkStart w:id="31" w:name="_MON_1562148558"/>
      <w:bookmarkStart w:id="32" w:name="_MON_1562152805"/>
      <w:bookmarkStart w:id="33" w:name="_MON_1562152984"/>
      <w:bookmarkStart w:id="34" w:name="_MON_1562153459"/>
      <w:bookmarkStart w:id="35" w:name="_MON_1562153503"/>
      <w:bookmarkStart w:id="36" w:name="_MON_1562153559"/>
      <w:bookmarkStart w:id="37" w:name="_MON_1562153646"/>
      <w:bookmarkStart w:id="38" w:name="_MON_1562153939"/>
      <w:bookmarkStart w:id="39" w:name="_MON_1562154053"/>
      <w:bookmarkStart w:id="40" w:name="_MON_1562154282"/>
      <w:bookmarkStart w:id="41" w:name="_MON_1562146286"/>
      <w:bookmarkStart w:id="42" w:name="_MON_1562154881"/>
      <w:bookmarkStart w:id="43" w:name="_MON_1562154973"/>
      <w:bookmarkStart w:id="44" w:name="_MON_1562155194"/>
      <w:bookmarkStart w:id="45" w:name="_MON_1562155231"/>
      <w:bookmarkStart w:id="46" w:name="_MON_1562155321"/>
      <w:bookmarkStart w:id="47" w:name="_MON_156215539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247EB6">
        <w:rPr>
          <w:noProof/>
          <w:color w:val="0070C0"/>
          <w:lang w:eastAsia="bg-BG"/>
        </w:rPr>
        <w:drawing>
          <wp:inline distT="0" distB="0" distL="0" distR="0" wp14:anchorId="4E9A1391" wp14:editId="07ED7719">
            <wp:extent cx="5593080" cy="3345180"/>
            <wp:effectExtent l="0" t="0" r="7620" b="762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62CB" w:rsidRPr="00671BBD" w:rsidRDefault="008262CB" w:rsidP="008262CB">
      <w:pPr>
        <w:ind w:firstLine="360"/>
        <w:rPr>
          <w:sz w:val="18"/>
          <w:szCs w:val="18"/>
        </w:rPr>
      </w:pPr>
      <w:r w:rsidRPr="00671BBD">
        <w:rPr>
          <w:sz w:val="18"/>
          <w:szCs w:val="18"/>
        </w:rPr>
        <w:t>*</w:t>
      </w:r>
      <w:r w:rsidRPr="00671BBD">
        <w:t xml:space="preserve"> </w:t>
      </w:r>
      <w:r w:rsidRPr="00671BBD">
        <w:rPr>
          <w:sz w:val="18"/>
          <w:szCs w:val="18"/>
        </w:rPr>
        <w:t>Вкл. нетния прираст на държавния резерв</w:t>
      </w:r>
    </w:p>
    <w:p w:rsidR="008262CB" w:rsidRPr="00247EB6" w:rsidRDefault="008262CB" w:rsidP="008262CB">
      <w:pPr>
        <w:pStyle w:val="BodyTextIndent"/>
        <w:spacing w:before="120" w:after="0"/>
        <w:ind w:left="360"/>
        <w:jc w:val="both"/>
        <w:rPr>
          <w:b/>
          <w:bCs/>
          <w:color w:val="0070C0"/>
        </w:rPr>
      </w:pPr>
    </w:p>
    <w:p w:rsidR="008262CB" w:rsidRPr="00D42FED" w:rsidRDefault="008262CB" w:rsidP="008262CB">
      <w:pPr>
        <w:pStyle w:val="BodyTextIndent"/>
        <w:numPr>
          <w:ilvl w:val="0"/>
          <w:numId w:val="20"/>
        </w:numPr>
        <w:spacing w:before="120" w:after="0"/>
        <w:jc w:val="both"/>
        <w:rPr>
          <w:b/>
          <w:bCs/>
        </w:rPr>
      </w:pPr>
      <w:r w:rsidRPr="00D42FED">
        <w:rPr>
          <w:b/>
          <w:bCs/>
        </w:rPr>
        <w:t>Нелихвени разходи</w:t>
      </w:r>
    </w:p>
    <w:p w:rsidR="008262CB" w:rsidRPr="00247EB6" w:rsidRDefault="008262CB" w:rsidP="008262CB">
      <w:pPr>
        <w:spacing w:before="120"/>
        <w:jc w:val="both"/>
        <w:rPr>
          <w:bCs/>
          <w:color w:val="0070C0"/>
        </w:rPr>
      </w:pPr>
      <w:r w:rsidRPr="00D42FED">
        <w:rPr>
          <w:b/>
          <w:bCs/>
        </w:rPr>
        <w:t>Нелихвените разходи</w:t>
      </w:r>
      <w:r w:rsidRPr="00D42FED">
        <w:rPr>
          <w:bCs/>
        </w:rPr>
        <w:t xml:space="preserve"> по държавния бюджет (без трансферите за др. бюджети) за </w:t>
      </w:r>
      <w:r w:rsidRPr="00D42FED">
        <w:t xml:space="preserve">2020 г. </w:t>
      </w:r>
      <w:r w:rsidRPr="00D42FED">
        <w:rPr>
          <w:bCs/>
        </w:rPr>
        <w:t xml:space="preserve">са в размер на </w:t>
      </w:r>
      <w:r w:rsidRPr="00D42FED">
        <w:rPr>
          <w:b/>
          <w:bCs/>
        </w:rPr>
        <w:t>13 168,</w:t>
      </w:r>
      <w:r w:rsidR="00A632CE" w:rsidRPr="001033E1">
        <w:rPr>
          <w:b/>
          <w:bCs/>
        </w:rPr>
        <w:t>6</w:t>
      </w:r>
      <w:r w:rsidRPr="00D42FED">
        <w:rPr>
          <w:b/>
          <w:bCs/>
        </w:rPr>
        <w:t xml:space="preserve"> млн. лв</w:t>
      </w:r>
      <w:r w:rsidRPr="00D42FED">
        <w:rPr>
          <w:bCs/>
        </w:rPr>
        <w:t xml:space="preserve">., което представлява 90,9 % от годишния разчет. Съпоставени с </w:t>
      </w:r>
      <w:r w:rsidRPr="00F25C09">
        <w:rPr>
          <w:bCs/>
        </w:rPr>
        <w:t xml:space="preserve">данните за 2019 г., нелихвените разходи намаляват с 697,7 млн. лв. През месец август 2019 г. бе извършен разход по бюджета на Министерството на отбраната за инвестиционен проект „Придобиване на нов тип боен самолет“ за Военновъздушните сили на Република България, което има еднократен ефект в 2019 г. Поради тази причина при съпоставката на разходите с предходната година се отчита намаление, </w:t>
      </w:r>
      <w:r>
        <w:rPr>
          <w:bCs/>
        </w:rPr>
        <w:t xml:space="preserve">което е </w:t>
      </w:r>
      <w:r w:rsidRPr="00F25C09">
        <w:rPr>
          <w:bCs/>
        </w:rPr>
        <w:t>в частта на капиталовите разходи по държавния бюджет.</w:t>
      </w:r>
    </w:p>
    <w:p w:rsidR="008262CB" w:rsidRPr="00247EB6" w:rsidRDefault="008262CB" w:rsidP="008262CB">
      <w:pPr>
        <w:spacing w:after="120"/>
        <w:jc w:val="both"/>
        <w:rPr>
          <w:bCs/>
          <w:color w:val="0070C0"/>
        </w:rPr>
      </w:pPr>
      <w:r w:rsidRPr="00A63857">
        <w:rPr>
          <w:bCs/>
        </w:rPr>
        <w:lastRenderedPageBreak/>
        <w:t xml:space="preserve">Разходите за персонал (заплати и </w:t>
      </w:r>
      <w:r w:rsidRPr="00A63857">
        <w:rPr>
          <w:bCs/>
          <w:noProof/>
        </w:rPr>
        <w:t>възнаграждения</w:t>
      </w:r>
      <w:r w:rsidRPr="00A63857">
        <w:rPr>
          <w:bCs/>
        </w:rPr>
        <w:t xml:space="preserve">, други възнаграждения и плащания за персонала и осигурителни вноски) са в общ размер на 5 825,8 млн. лв. или 100,7 % спрямо планираните </w:t>
      </w:r>
      <w:r w:rsidRPr="00A63857">
        <w:t xml:space="preserve">за </w:t>
      </w:r>
      <w:r w:rsidRPr="00023A1B">
        <w:t xml:space="preserve">2020 </w:t>
      </w:r>
      <w:r w:rsidRPr="00023A1B">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2 729,2 млн. лв. или 93,2 % от планираните </w:t>
      </w:r>
      <w:r w:rsidRPr="00023A1B">
        <w:t>за годината</w:t>
      </w:r>
      <w:r w:rsidRPr="00023A1B">
        <w:rPr>
          <w:bCs/>
        </w:rPr>
        <w:t xml:space="preserve">. Социалните разходи (вкл. разходите за стипендии) са в размер на 1 229,7 млн. лв. или 87,9 % от предвидените </w:t>
      </w:r>
      <w:r w:rsidRPr="00023A1B">
        <w:t>за годината</w:t>
      </w:r>
      <w:r w:rsidRPr="00023A1B">
        <w:rPr>
          <w:bCs/>
        </w:rPr>
        <w:t xml:space="preserve"> и са основно разходи по бюджета на МТСП за помощи по Закона за социално под</w:t>
      </w:r>
      <w:r w:rsidRPr="001F193F">
        <w:rPr>
          <w:bCs/>
        </w:rPr>
        <w:t>помагане, Закона за хората с увреждания, Закона за семейните помощи за деца и др. Предоставените текущи и капиталови трансфери за чужбина са в размер на 37,3</w:t>
      </w:r>
      <w:r w:rsidRPr="001F193F">
        <w:rPr>
          <w:rFonts w:eastAsia="Calibri"/>
          <w:b/>
        </w:rPr>
        <w:t> </w:t>
      </w:r>
      <w:r w:rsidRPr="001F193F">
        <w:rPr>
          <w:bCs/>
        </w:rPr>
        <w:t xml:space="preserve">млн. лв. </w:t>
      </w:r>
      <w:r w:rsidRPr="00FF75B2">
        <w:rPr>
          <w:bCs/>
        </w:rPr>
        <w:t>Разходите за субсидии са в размер на 1 307,0 млн. лв. или 120,0 % спрямо планираните за годината. От тях 174,2</w:t>
      </w:r>
      <w:r w:rsidRPr="00FF75B2">
        <w:t xml:space="preserve"> </w:t>
      </w:r>
      <w:r w:rsidRPr="00FF75B2">
        <w:rPr>
          <w:bCs/>
        </w:rPr>
        <w:t xml:space="preserve">млн. лв. са субсидиите за </w:t>
      </w:r>
      <w:r w:rsidRPr="00FF75B2">
        <w:t>„БДЖ – Пътнически превози” ЕООД</w:t>
      </w:r>
      <w:r w:rsidRPr="00FF75B2">
        <w:rPr>
          <w:bCs/>
        </w:rPr>
        <w:t>; 148,1</w:t>
      </w:r>
      <w:r w:rsidRPr="00FF75B2">
        <w:rPr>
          <w:rFonts w:eastAsia="Calibri"/>
          <w:b/>
        </w:rPr>
        <w:t> </w:t>
      </w:r>
      <w:r w:rsidRPr="00FF75B2">
        <w:rPr>
          <w:bCs/>
        </w:rPr>
        <w:t xml:space="preserve">млн. лв. </w:t>
      </w:r>
      <w:r w:rsidRPr="001033E1">
        <w:rPr>
          <w:bCs/>
        </w:rPr>
        <w:t>(</w:t>
      </w:r>
      <w:r w:rsidRPr="00FF75B2">
        <w:rPr>
          <w:bCs/>
        </w:rPr>
        <w:t xml:space="preserve">в т.ч. 3,2 млн. лв. за </w:t>
      </w:r>
      <w:r w:rsidRPr="006D026D">
        <w:rPr>
          <w:bCs/>
        </w:rPr>
        <w:t>предотвратяване на последици от стихийни бедствия – ПМС № 250/04.09.2020 г. и ПМС № 352/10.12.2020 г.</w:t>
      </w:r>
      <w:r w:rsidRPr="001033E1">
        <w:rPr>
          <w:bCs/>
        </w:rPr>
        <w:t>)</w:t>
      </w:r>
      <w:r w:rsidRPr="006D026D">
        <w:rPr>
          <w:bCs/>
        </w:rPr>
        <w:t xml:space="preserve"> са субсидиите за </w:t>
      </w:r>
      <w:r w:rsidRPr="006D026D">
        <w:t xml:space="preserve">Национална компания „Железопътна инфраструктура” </w:t>
      </w:r>
      <w:r w:rsidRPr="007B4524">
        <w:t>и 53,9</w:t>
      </w:r>
      <w:r w:rsidRPr="007B4524">
        <w:rPr>
          <w:rFonts w:eastAsia="Calibri"/>
          <w:b/>
        </w:rPr>
        <w:t> </w:t>
      </w:r>
      <w:r w:rsidRPr="007B4524">
        <w:t xml:space="preserve">млн. лв. </w:t>
      </w:r>
      <w:r w:rsidRPr="001033E1">
        <w:t>(</w:t>
      </w:r>
      <w:r w:rsidRPr="007B4524">
        <w:t xml:space="preserve">в т.ч. 21,1 млн. лв. са </w:t>
      </w:r>
      <w:r w:rsidRPr="00EF22D0">
        <w:t>допълнителни субсидии по ПМС 114/28.05.2020 г.</w:t>
      </w:r>
      <w:r w:rsidRPr="001033E1">
        <w:t>)</w:t>
      </w:r>
      <w:r w:rsidRPr="00EF22D0">
        <w:t xml:space="preserve"> за „Български пощи” ЕАД. През </w:t>
      </w:r>
      <w:r w:rsidRPr="00EF22D0">
        <w:rPr>
          <w:bCs/>
        </w:rPr>
        <w:t>2020</w:t>
      </w:r>
      <w:r w:rsidRPr="00EF22D0">
        <w:rPr>
          <w:rFonts w:eastAsia="Calibri"/>
          <w:b/>
        </w:rPr>
        <w:t> </w:t>
      </w:r>
      <w:r w:rsidRPr="00EF22D0">
        <w:rPr>
          <w:bCs/>
        </w:rPr>
        <w:t>г. ДФ „</w:t>
      </w:r>
      <w:r w:rsidRPr="00D657A9">
        <w:rPr>
          <w:bCs/>
        </w:rPr>
        <w:t>Земеделие“ e изплатил субсидии в общ размер на 350,1 млн. лв., от които 212,6 млн. лв. държавна помощ; 75,7 млн.</w:t>
      </w:r>
      <w:r w:rsidRPr="00D657A9">
        <w:t xml:space="preserve"> </w:t>
      </w:r>
      <w:r w:rsidRPr="00D657A9">
        <w:rPr>
          <w:bCs/>
        </w:rPr>
        <w:t>лв. преходна национална помощ за тютюн; 57,7 млн. лв. преходна национална помощ за сектор „</w:t>
      </w:r>
      <w:r w:rsidRPr="004332C7">
        <w:rPr>
          <w:bCs/>
        </w:rPr>
        <w:t xml:space="preserve">Животновъдство“ и 3,6 млн. лв. средства за ДДС по схеми „Училищен плод“ и „Училищно мляко“. Капиталовите разходи </w:t>
      </w:r>
      <w:r w:rsidRPr="004332C7">
        <w:t>(вкл. нетния прираст на държавния резерв) по държавния бюджет</w:t>
      </w:r>
      <w:r w:rsidRPr="004332C7">
        <w:rPr>
          <w:bCs/>
        </w:rPr>
        <w:t xml:space="preserve"> възлизат на 2 039,7 млн. лева. </w:t>
      </w:r>
    </w:p>
    <w:p w:rsidR="00103EDE" w:rsidRPr="00B74039" w:rsidRDefault="00103EDE" w:rsidP="00103EDE">
      <w:pPr>
        <w:numPr>
          <w:ilvl w:val="1"/>
          <w:numId w:val="14"/>
        </w:numPr>
        <w:tabs>
          <w:tab w:val="num" w:pos="720"/>
          <w:tab w:val="num" w:pos="900"/>
        </w:tabs>
        <w:spacing w:before="240" w:after="120"/>
        <w:ind w:left="714" w:hanging="357"/>
        <w:jc w:val="both"/>
        <w:rPr>
          <w:b/>
          <w:bCs/>
        </w:rPr>
      </w:pPr>
      <w:r w:rsidRPr="00B74039">
        <w:rPr>
          <w:b/>
        </w:rPr>
        <w:t>Просрочени задължения</w:t>
      </w:r>
    </w:p>
    <w:p w:rsidR="00103EDE" w:rsidRPr="008D1776" w:rsidRDefault="00103EDE" w:rsidP="00103EDE">
      <w:pPr>
        <w:spacing w:after="120"/>
        <w:jc w:val="both"/>
      </w:pPr>
      <w:r w:rsidRPr="00E6125E">
        <w:t>Към 3</w:t>
      </w:r>
      <w:r w:rsidR="00E6125E" w:rsidRPr="00E6125E">
        <w:t>1</w:t>
      </w:r>
      <w:r w:rsidRPr="00E6125E">
        <w:t>.</w:t>
      </w:r>
      <w:r w:rsidR="00E6125E" w:rsidRPr="00E6125E">
        <w:t>12</w:t>
      </w:r>
      <w:r w:rsidRPr="00E6125E">
        <w:t xml:space="preserve">.2020 г. просрочените задължения на централно и местно правителство са в размер </w:t>
      </w:r>
      <w:r w:rsidRPr="008D1776">
        <w:t xml:space="preserve">на </w:t>
      </w:r>
      <w:r w:rsidR="00E6125E" w:rsidRPr="008D1776">
        <w:rPr>
          <w:b/>
        </w:rPr>
        <w:t>197,8</w:t>
      </w:r>
      <w:r w:rsidRPr="008D1776">
        <w:rPr>
          <w:b/>
        </w:rPr>
        <w:t xml:space="preserve"> млн. лева.</w:t>
      </w:r>
      <w:r w:rsidRPr="008D1776">
        <w:t xml:space="preserve"> </w:t>
      </w:r>
    </w:p>
    <w:p w:rsidR="00103EDE" w:rsidRPr="005F542B" w:rsidRDefault="00103EDE" w:rsidP="00103EDE">
      <w:pPr>
        <w:spacing w:before="120"/>
        <w:jc w:val="both"/>
        <w:rPr>
          <w:noProof/>
          <w:color w:val="0070C0"/>
        </w:rPr>
      </w:pPr>
      <w:r w:rsidRPr="008D1776">
        <w:t xml:space="preserve">Размерът на просрочените задължения на </w:t>
      </w:r>
      <w:r w:rsidRPr="008D1776">
        <w:rPr>
          <w:b/>
        </w:rPr>
        <w:t>централно правителство</w:t>
      </w:r>
      <w:r w:rsidRPr="008D1776">
        <w:t xml:space="preserve"> (министерства, ведомства и разпоредителите с бюджет по чл. 13, ал. 3 и ал. 4 на ЗПФ) е</w:t>
      </w:r>
      <w:r w:rsidRPr="008D1776">
        <w:rPr>
          <w:b/>
        </w:rPr>
        <w:t xml:space="preserve"> </w:t>
      </w:r>
      <w:r w:rsidR="008D1776" w:rsidRPr="008D1776">
        <w:rPr>
          <w:b/>
        </w:rPr>
        <w:t>69,1</w:t>
      </w:r>
      <w:r w:rsidRPr="008D1776">
        <w:rPr>
          <w:b/>
        </w:rPr>
        <w:t xml:space="preserve"> млн. лева. </w:t>
      </w:r>
      <w:r w:rsidRPr="008D1776">
        <w:t xml:space="preserve">Спрямо отчетените в края на 2019 г. те намаляват с </w:t>
      </w:r>
      <w:r w:rsidR="008D1776" w:rsidRPr="008D1776">
        <w:t>19,2</w:t>
      </w:r>
      <w:r w:rsidRPr="008D1776">
        <w:t xml:space="preserve"> млн. </w:t>
      </w:r>
      <w:r w:rsidRPr="000B690B">
        <w:t xml:space="preserve">лева. В обхвата на държавния бюджет по-значими проблеми с наличие на просрочени задължения има </w:t>
      </w:r>
      <w:r w:rsidRPr="000B690B">
        <w:rPr>
          <w:bCs/>
        </w:rPr>
        <w:t>при няколко министерства. С най-значими</w:t>
      </w:r>
      <w:r w:rsidRPr="000B690B">
        <w:t xml:space="preserve"> просрочени задължения по държавния бюджет са: </w:t>
      </w:r>
      <w:r w:rsidRPr="000B690B">
        <w:rPr>
          <w:noProof/>
        </w:rPr>
        <w:t xml:space="preserve">Министерство на земеделието, храните и горите – </w:t>
      </w:r>
      <w:r w:rsidR="000B690B" w:rsidRPr="00061E55">
        <w:rPr>
          <w:noProof/>
        </w:rPr>
        <w:t>13,5</w:t>
      </w:r>
      <w:r w:rsidRPr="00061E55">
        <w:rPr>
          <w:noProof/>
        </w:rPr>
        <w:t xml:space="preserve"> млн. лв. (намаление с </w:t>
      </w:r>
      <w:r w:rsidR="000B690B" w:rsidRPr="00061E55">
        <w:rPr>
          <w:noProof/>
        </w:rPr>
        <w:t>3</w:t>
      </w:r>
      <w:r w:rsidRPr="00061E55">
        <w:rPr>
          <w:noProof/>
        </w:rPr>
        <w:t xml:space="preserve">,3 млн. лв. </w:t>
      </w:r>
      <w:r w:rsidRPr="00061E55">
        <w:t>спрямо просрочията в края на 2019 г.</w:t>
      </w:r>
      <w:r w:rsidRPr="00061E55">
        <w:rPr>
          <w:noProof/>
        </w:rPr>
        <w:t xml:space="preserve">); Министерство на </w:t>
      </w:r>
      <w:r w:rsidR="00061E55" w:rsidRPr="00061E55">
        <w:rPr>
          <w:noProof/>
        </w:rPr>
        <w:t xml:space="preserve">околната среда и водите – 8,6 </w:t>
      </w:r>
      <w:r w:rsidRPr="00061E55">
        <w:rPr>
          <w:noProof/>
        </w:rPr>
        <w:t xml:space="preserve">млн. лв. (увеличение с </w:t>
      </w:r>
      <w:r w:rsidR="00061E55" w:rsidRPr="00061E55">
        <w:rPr>
          <w:noProof/>
        </w:rPr>
        <w:t>8,6</w:t>
      </w:r>
      <w:r w:rsidRPr="00061E55">
        <w:rPr>
          <w:noProof/>
        </w:rPr>
        <w:t xml:space="preserve"> млн. лв. спрямо </w:t>
      </w:r>
      <w:r w:rsidRPr="00061E55">
        <w:t xml:space="preserve">отчетените в края на </w:t>
      </w:r>
      <w:r w:rsidRPr="008E71C7">
        <w:t>2019 г.</w:t>
      </w:r>
      <w:r w:rsidRPr="008E71C7">
        <w:rPr>
          <w:noProof/>
        </w:rPr>
        <w:t xml:space="preserve">); </w:t>
      </w:r>
      <w:r w:rsidR="0067119C" w:rsidRPr="00886D0A">
        <w:rPr>
          <w:noProof/>
        </w:rPr>
        <w:t xml:space="preserve">Министерство на отбраната – </w:t>
      </w:r>
      <w:r w:rsidR="008E71C7" w:rsidRPr="00886D0A">
        <w:rPr>
          <w:noProof/>
        </w:rPr>
        <w:t>1,9</w:t>
      </w:r>
      <w:r w:rsidR="0067119C" w:rsidRPr="00886D0A">
        <w:rPr>
          <w:noProof/>
        </w:rPr>
        <w:t xml:space="preserve"> млн. лв.</w:t>
      </w:r>
      <w:r w:rsidR="007E4AC2" w:rsidRPr="007E4AC2">
        <w:rPr>
          <w:noProof/>
        </w:rPr>
        <w:t xml:space="preserve"> </w:t>
      </w:r>
      <w:r w:rsidR="007E4AC2" w:rsidRPr="00886D0A">
        <w:rPr>
          <w:noProof/>
        </w:rPr>
        <w:t xml:space="preserve">(намаление с 0,3 млн. лв. </w:t>
      </w:r>
      <w:r w:rsidR="007E4AC2" w:rsidRPr="00886D0A">
        <w:t>спрямо просрочията в края на 2019 г.</w:t>
      </w:r>
      <w:r w:rsidR="007E4AC2" w:rsidRPr="00886D0A">
        <w:rPr>
          <w:noProof/>
        </w:rPr>
        <w:t>)</w:t>
      </w:r>
      <w:r w:rsidR="0067119C" w:rsidRPr="00886D0A">
        <w:rPr>
          <w:noProof/>
        </w:rPr>
        <w:t xml:space="preserve">, </w:t>
      </w:r>
      <w:r w:rsidR="00B91D38">
        <w:rPr>
          <w:noProof/>
        </w:rPr>
        <w:t xml:space="preserve">като </w:t>
      </w:r>
      <w:r w:rsidR="0067119C" w:rsidRPr="00886D0A">
        <w:rPr>
          <w:noProof/>
        </w:rPr>
        <w:t>в т.ч. 1,</w:t>
      </w:r>
      <w:r w:rsidR="008E71C7" w:rsidRPr="00886D0A">
        <w:rPr>
          <w:noProof/>
        </w:rPr>
        <w:t>2</w:t>
      </w:r>
      <w:r w:rsidR="0067119C" w:rsidRPr="00886D0A">
        <w:rPr>
          <w:noProof/>
        </w:rPr>
        <w:t xml:space="preserve"> млн. лв. </w:t>
      </w:r>
      <w:r w:rsidR="00B91D38">
        <w:rPr>
          <w:noProof/>
        </w:rPr>
        <w:t xml:space="preserve">са </w:t>
      </w:r>
      <w:r w:rsidR="003B2695" w:rsidRPr="003B2695">
        <w:rPr>
          <w:noProof/>
        </w:rPr>
        <w:t>просрочените задължения</w:t>
      </w:r>
      <w:r w:rsidR="00B91D38">
        <w:rPr>
          <w:noProof/>
        </w:rPr>
        <w:t xml:space="preserve"> </w:t>
      </w:r>
      <w:r w:rsidR="0067119C" w:rsidRPr="00886D0A">
        <w:rPr>
          <w:noProof/>
        </w:rPr>
        <w:t xml:space="preserve">на ВМА, и други. </w:t>
      </w:r>
      <w:r w:rsidRPr="00886D0A">
        <w:rPr>
          <w:noProof/>
        </w:rPr>
        <w:t xml:space="preserve">От разпоредителите с бюджет по чл. 13, ал. 3 на Закона за публичните финанси проблеми с наличието на просрочени </w:t>
      </w:r>
      <w:r w:rsidRPr="00914183">
        <w:rPr>
          <w:noProof/>
        </w:rPr>
        <w:t xml:space="preserve">задължения има основно при: Българската национална телевизия – </w:t>
      </w:r>
      <w:r w:rsidR="00886D0A" w:rsidRPr="00914183">
        <w:rPr>
          <w:noProof/>
        </w:rPr>
        <w:t>31</w:t>
      </w:r>
      <w:r w:rsidRPr="00914183">
        <w:rPr>
          <w:noProof/>
        </w:rPr>
        <w:t xml:space="preserve">,8 млн. лв. (увеличение с </w:t>
      </w:r>
      <w:r w:rsidR="00886D0A" w:rsidRPr="00914183">
        <w:rPr>
          <w:noProof/>
        </w:rPr>
        <w:t>5</w:t>
      </w:r>
      <w:r w:rsidRPr="00914183">
        <w:rPr>
          <w:noProof/>
        </w:rPr>
        <w:t xml:space="preserve">,7 млн. лв. </w:t>
      </w:r>
      <w:r w:rsidRPr="00914183">
        <w:t>спрямо отчетените в края на 2019 г.)</w:t>
      </w:r>
      <w:r w:rsidRPr="00914183">
        <w:rPr>
          <w:noProof/>
        </w:rPr>
        <w:t xml:space="preserve">, в т.ч. </w:t>
      </w:r>
      <w:r w:rsidR="00914183" w:rsidRPr="00914183">
        <w:rPr>
          <w:noProof/>
        </w:rPr>
        <w:t>29,8</w:t>
      </w:r>
      <w:r w:rsidRPr="00914183">
        <w:rPr>
          <w:noProof/>
        </w:rPr>
        <w:t xml:space="preserve"> млн. лв. </w:t>
      </w:r>
      <w:r w:rsidRPr="00914183">
        <w:t xml:space="preserve">просрочени задължения към </w:t>
      </w:r>
      <w:r w:rsidRPr="009863C0">
        <w:t>доставчици в страната</w:t>
      </w:r>
      <w:r w:rsidRPr="009863C0">
        <w:rPr>
          <w:noProof/>
        </w:rPr>
        <w:t xml:space="preserve">; държавните висши училища – </w:t>
      </w:r>
      <w:r w:rsidR="009863C0" w:rsidRPr="009863C0">
        <w:rPr>
          <w:noProof/>
        </w:rPr>
        <w:t>5,8</w:t>
      </w:r>
      <w:r w:rsidRPr="009863C0">
        <w:rPr>
          <w:noProof/>
        </w:rPr>
        <w:t xml:space="preserve"> млн. лв. (</w:t>
      </w:r>
      <w:r w:rsidR="009863C0" w:rsidRPr="009863C0">
        <w:rPr>
          <w:noProof/>
        </w:rPr>
        <w:t xml:space="preserve">намаление </w:t>
      </w:r>
      <w:r w:rsidRPr="009863C0">
        <w:rPr>
          <w:noProof/>
        </w:rPr>
        <w:t xml:space="preserve">с </w:t>
      </w:r>
      <w:r w:rsidR="009863C0" w:rsidRPr="009863C0">
        <w:rPr>
          <w:noProof/>
        </w:rPr>
        <w:t>0,8</w:t>
      </w:r>
      <w:r w:rsidRPr="009863C0">
        <w:rPr>
          <w:noProof/>
        </w:rPr>
        <w:t xml:space="preserve"> млн. лв. </w:t>
      </w:r>
      <w:r w:rsidRPr="00B76708">
        <w:t>спрямо отчетените в края на 2019 г.</w:t>
      </w:r>
      <w:r w:rsidR="00B22967" w:rsidRPr="001033E1">
        <w:t>)</w:t>
      </w:r>
      <w:r w:rsidRPr="00B76708">
        <w:t xml:space="preserve">, </w:t>
      </w:r>
      <w:r w:rsidR="009863C0" w:rsidRPr="00B76708">
        <w:t>като н</w:t>
      </w:r>
      <w:r w:rsidR="009863C0" w:rsidRPr="00B76708">
        <w:rPr>
          <w:rFonts w:eastAsia="Batang"/>
          <w:lang w:eastAsia="zh-TW"/>
        </w:rPr>
        <w:t>ай-голям дял на задълженията има СУ „Св. Климент Охридски“</w:t>
      </w:r>
      <w:r w:rsidR="00D13AFE">
        <w:rPr>
          <w:noProof/>
        </w:rPr>
        <w:t>.</w:t>
      </w:r>
      <w:r w:rsidRPr="00B76708">
        <w:rPr>
          <w:noProof/>
        </w:rPr>
        <w:t xml:space="preserve"> </w:t>
      </w:r>
      <w:r w:rsidR="00B76708" w:rsidRPr="00B76708">
        <w:rPr>
          <w:noProof/>
        </w:rPr>
        <w:t>Селскостопанска</w:t>
      </w:r>
      <w:r w:rsidR="00D13AFE">
        <w:rPr>
          <w:noProof/>
        </w:rPr>
        <w:t>та</w:t>
      </w:r>
      <w:r w:rsidR="00B76708" w:rsidRPr="00B76708">
        <w:rPr>
          <w:noProof/>
        </w:rPr>
        <w:t xml:space="preserve"> академия </w:t>
      </w:r>
      <w:r w:rsidR="00D13AFE">
        <w:rPr>
          <w:noProof/>
        </w:rPr>
        <w:t xml:space="preserve">има </w:t>
      </w:r>
      <w:r w:rsidR="00D13AFE" w:rsidRPr="008D1776">
        <w:t xml:space="preserve">просрочените задължения </w:t>
      </w:r>
      <w:r w:rsidR="00D13AFE">
        <w:rPr>
          <w:noProof/>
        </w:rPr>
        <w:t>в рамер</w:t>
      </w:r>
      <w:r w:rsidR="00B76708" w:rsidRPr="00B76708">
        <w:rPr>
          <w:noProof/>
        </w:rPr>
        <w:t xml:space="preserve"> 1,8 млн. лв. (намаление с 0,9 млн. лв. спрямо отчетените в края на 2019 г.)</w:t>
      </w:r>
      <w:r w:rsidR="00A65021">
        <w:rPr>
          <w:noProof/>
        </w:rPr>
        <w:t>, като н</w:t>
      </w:r>
      <w:r w:rsidR="00A65021" w:rsidRPr="00A65021">
        <w:rPr>
          <w:noProof/>
        </w:rPr>
        <w:t xml:space="preserve">атрупаните задължения </w:t>
      </w:r>
      <w:r w:rsidR="00A65021">
        <w:rPr>
          <w:noProof/>
        </w:rPr>
        <w:t xml:space="preserve">са вследствие </w:t>
      </w:r>
      <w:r w:rsidR="00A65021" w:rsidRPr="00A65021">
        <w:rPr>
          <w:noProof/>
        </w:rPr>
        <w:t>на ниската изкупна цена на произведената селскостопанска продукция – зърно, царевица, слънчоглед и др. и на голямата конкуренция на пазара от фирми, внасящи продукция от ЕС на дъмпингови цени</w:t>
      </w:r>
      <w:r w:rsidR="00B76708" w:rsidRPr="00B76708">
        <w:rPr>
          <w:noProof/>
        </w:rPr>
        <w:t>.</w:t>
      </w:r>
    </w:p>
    <w:p w:rsidR="00103EDE" w:rsidRPr="004B1466" w:rsidRDefault="00103EDE" w:rsidP="00103EDE">
      <w:pPr>
        <w:ind w:firstLine="567"/>
        <w:jc w:val="both"/>
        <w:rPr>
          <w:bCs/>
          <w:color w:val="0070C0"/>
          <w:sz w:val="6"/>
          <w:szCs w:val="12"/>
        </w:rPr>
      </w:pPr>
    </w:p>
    <w:p w:rsidR="00103EDE" w:rsidRPr="00C30AB6" w:rsidRDefault="00103EDE" w:rsidP="00103EDE">
      <w:pPr>
        <w:spacing w:after="120"/>
        <w:jc w:val="both"/>
        <w:rPr>
          <w:noProof/>
        </w:rPr>
      </w:pPr>
      <w:r w:rsidRPr="00C52228">
        <w:rPr>
          <w:noProof/>
        </w:rPr>
        <w:t xml:space="preserve">Просрочените задължения по </w:t>
      </w:r>
      <w:r w:rsidRPr="00C52228">
        <w:rPr>
          <w:b/>
          <w:noProof/>
        </w:rPr>
        <w:t>бюджетите на общините</w:t>
      </w:r>
      <w:r w:rsidRPr="00C52228">
        <w:rPr>
          <w:noProof/>
        </w:rPr>
        <w:t xml:space="preserve"> </w:t>
      </w:r>
      <w:r w:rsidR="00C52228" w:rsidRPr="00C52228">
        <w:rPr>
          <w:noProof/>
        </w:rPr>
        <w:t xml:space="preserve">за </w:t>
      </w:r>
      <w:r w:rsidRPr="00C52228">
        <w:rPr>
          <w:noProof/>
        </w:rPr>
        <w:t xml:space="preserve">2020 г. са в размер на </w:t>
      </w:r>
      <w:r w:rsidR="00C52228" w:rsidRPr="00C52228">
        <w:rPr>
          <w:b/>
          <w:noProof/>
        </w:rPr>
        <w:t>128,7</w:t>
      </w:r>
      <w:r w:rsidRPr="00C52228">
        <w:rPr>
          <w:b/>
          <w:noProof/>
        </w:rPr>
        <w:t xml:space="preserve"> млн. </w:t>
      </w:r>
      <w:r w:rsidRPr="00C30AB6">
        <w:rPr>
          <w:b/>
          <w:noProof/>
        </w:rPr>
        <w:t>лв.,</w:t>
      </w:r>
      <w:r w:rsidRPr="00C30AB6">
        <w:rPr>
          <w:noProof/>
        </w:rPr>
        <w:t xml:space="preserve"> като спрямо </w:t>
      </w:r>
      <w:r w:rsidRPr="00C30AB6">
        <w:t xml:space="preserve">края на 2019 г. </w:t>
      </w:r>
      <w:r w:rsidRPr="00C30AB6">
        <w:rPr>
          <w:noProof/>
        </w:rPr>
        <w:t xml:space="preserve">се отчита намаление с </w:t>
      </w:r>
      <w:r w:rsidR="00164880" w:rsidRPr="001033E1">
        <w:rPr>
          <w:noProof/>
        </w:rPr>
        <w:t>43</w:t>
      </w:r>
      <w:r w:rsidR="00164880">
        <w:rPr>
          <w:noProof/>
        </w:rPr>
        <w:t>,0</w:t>
      </w:r>
      <w:r w:rsidRPr="00C30AB6">
        <w:rPr>
          <w:noProof/>
        </w:rPr>
        <w:t xml:space="preserve"> млн. лева. С най-голям относителен дял в просрочените задължения по бюджетите на общините </w:t>
      </w:r>
      <w:r w:rsidR="00C30AB6" w:rsidRPr="00C30AB6">
        <w:rPr>
          <w:noProof/>
        </w:rPr>
        <w:t>за</w:t>
      </w:r>
      <w:r w:rsidRPr="00C30AB6">
        <w:rPr>
          <w:noProof/>
        </w:rPr>
        <w:t xml:space="preserve"> 2020 г. са просрочените задължения към доставчици, които са в размер на </w:t>
      </w:r>
      <w:r w:rsidR="00C30AB6" w:rsidRPr="00C30AB6">
        <w:rPr>
          <w:noProof/>
        </w:rPr>
        <w:t>101,2</w:t>
      </w:r>
      <w:r w:rsidRPr="00C30AB6">
        <w:rPr>
          <w:noProof/>
        </w:rPr>
        <w:t> млн. лева. В делегираните от държавата дейности просрочените задължения са в размер на 1,</w:t>
      </w:r>
      <w:r w:rsidR="00C30AB6" w:rsidRPr="00C30AB6">
        <w:rPr>
          <w:noProof/>
        </w:rPr>
        <w:t>7</w:t>
      </w:r>
      <w:r w:rsidRPr="00C30AB6">
        <w:rPr>
          <w:noProof/>
        </w:rPr>
        <w:t xml:space="preserve"> млн. лева.</w:t>
      </w:r>
    </w:p>
    <w:p w:rsidR="00103EDE" w:rsidRPr="00856AD4" w:rsidRDefault="00103EDE" w:rsidP="00103EDE">
      <w:pPr>
        <w:spacing w:before="120"/>
        <w:jc w:val="both"/>
      </w:pPr>
      <w:r w:rsidRPr="00856AD4">
        <w:t xml:space="preserve">В системата на </w:t>
      </w:r>
      <w:r w:rsidRPr="00856AD4">
        <w:rPr>
          <w:b/>
        </w:rPr>
        <w:t>НЗОК</w:t>
      </w:r>
      <w:r w:rsidRPr="00856AD4">
        <w:t xml:space="preserve"> към </w:t>
      </w:r>
      <w:r w:rsidR="00856AD4" w:rsidRPr="00856AD4">
        <w:t>31</w:t>
      </w:r>
      <w:r w:rsidRPr="00856AD4">
        <w:t>.</w:t>
      </w:r>
      <w:r w:rsidR="00856AD4" w:rsidRPr="00856AD4">
        <w:t>12</w:t>
      </w:r>
      <w:r w:rsidRPr="00856AD4">
        <w:t>.2020 г. няма просрочени задължения.</w:t>
      </w:r>
    </w:p>
    <w:p w:rsidR="00103EDE" w:rsidRPr="004B1466" w:rsidRDefault="00103EDE" w:rsidP="00103EDE">
      <w:pPr>
        <w:spacing w:after="120"/>
        <w:jc w:val="both"/>
        <w:rPr>
          <w:noProof/>
          <w:color w:val="0070C0"/>
          <w:sz w:val="6"/>
          <w:szCs w:val="6"/>
        </w:rPr>
      </w:pPr>
    </w:p>
    <w:p w:rsidR="00103EDE" w:rsidRPr="00BE4DAE" w:rsidRDefault="00D23CE2" w:rsidP="00103EDE">
      <w:pPr>
        <w:spacing w:after="120"/>
        <w:jc w:val="both"/>
      </w:pPr>
      <w:r w:rsidRPr="00D70681">
        <w:rPr>
          <w:noProof/>
        </w:rPr>
        <w:t xml:space="preserve">Извън обхвата на консолидираната фискална програма, сериозен продължава да бъде проблемът с просрочията на лечебните заведения за болнична помощ (държавни и общински болници – търговски дружества). Към </w:t>
      </w:r>
      <w:r w:rsidR="00D70681" w:rsidRPr="005F542B">
        <w:rPr>
          <w:noProof/>
        </w:rPr>
        <w:t>31</w:t>
      </w:r>
      <w:r w:rsidRPr="00D70681">
        <w:rPr>
          <w:noProof/>
        </w:rPr>
        <w:t>.</w:t>
      </w:r>
      <w:r w:rsidR="00D70681" w:rsidRPr="005F542B">
        <w:rPr>
          <w:noProof/>
        </w:rPr>
        <w:t>12</w:t>
      </w:r>
      <w:r w:rsidRPr="00D70681">
        <w:rPr>
          <w:noProof/>
        </w:rPr>
        <w:t xml:space="preserve">.2020 г. размерът на просрочените задължения е </w:t>
      </w:r>
      <w:r w:rsidR="00BE4DAE">
        <w:rPr>
          <w:noProof/>
        </w:rPr>
        <w:t xml:space="preserve">114,9 </w:t>
      </w:r>
      <w:r w:rsidRPr="00D70681">
        <w:rPr>
          <w:noProof/>
        </w:rPr>
        <w:t xml:space="preserve">млн. лв., от които </w:t>
      </w:r>
      <w:r w:rsidR="00BE4DAE">
        <w:rPr>
          <w:noProof/>
        </w:rPr>
        <w:t xml:space="preserve">86,7 </w:t>
      </w:r>
      <w:r w:rsidRPr="00D70681">
        <w:rPr>
          <w:noProof/>
        </w:rPr>
        <w:t xml:space="preserve">млн. лв. са на държавните болници и </w:t>
      </w:r>
      <w:r w:rsidR="00BE4DAE">
        <w:rPr>
          <w:noProof/>
        </w:rPr>
        <w:t>28,2 м</w:t>
      </w:r>
      <w:r w:rsidRPr="00D70681">
        <w:rPr>
          <w:noProof/>
        </w:rPr>
        <w:t xml:space="preserve">лн. лв. са на общинските болници. </w:t>
      </w:r>
      <w:r w:rsidRPr="00D70681">
        <w:rPr>
          <w:noProof/>
        </w:rPr>
        <w:lastRenderedPageBreak/>
        <w:t xml:space="preserve">Спрямо отчетените просрочени задължения към 31.12.2019 г. се отчита </w:t>
      </w:r>
      <w:r w:rsidR="00BE4DAE">
        <w:rPr>
          <w:noProof/>
        </w:rPr>
        <w:t>намаление</w:t>
      </w:r>
      <w:r w:rsidRPr="00D70681">
        <w:rPr>
          <w:noProof/>
        </w:rPr>
        <w:t xml:space="preserve"> с</w:t>
      </w:r>
      <w:r w:rsidR="00BE4DAE">
        <w:rPr>
          <w:noProof/>
        </w:rPr>
        <w:t xml:space="preserve"> 8,2</w:t>
      </w:r>
      <w:r w:rsidRPr="00D70681">
        <w:rPr>
          <w:noProof/>
        </w:rPr>
        <w:t xml:space="preserve"> млн. лв. (</w:t>
      </w:r>
      <w:r w:rsidRPr="00BE4DAE">
        <w:rPr>
          <w:noProof/>
        </w:rPr>
        <w:t>с</w:t>
      </w:r>
      <w:r w:rsidR="00435C0F" w:rsidRPr="00BE4DAE">
        <w:rPr>
          <w:noProof/>
        </w:rPr>
        <w:t>ъс</w:t>
      </w:r>
      <w:r w:rsidRPr="00D70681">
        <w:rPr>
          <w:noProof/>
        </w:rPr>
        <w:t xml:space="preserve"> </w:t>
      </w:r>
      <w:r w:rsidR="00BE4DAE">
        <w:rPr>
          <w:noProof/>
        </w:rPr>
        <w:t>7,0</w:t>
      </w:r>
      <w:r w:rsidRPr="00D70681">
        <w:rPr>
          <w:noProof/>
        </w:rPr>
        <w:t xml:space="preserve"> на сто</w:t>
      </w:r>
      <w:r w:rsidR="00103EDE" w:rsidRPr="00D70681">
        <w:rPr>
          <w:noProof/>
        </w:rPr>
        <w:t>)</w:t>
      </w:r>
      <w:r w:rsidR="00103EDE" w:rsidRPr="00D70681">
        <w:t>.</w:t>
      </w:r>
    </w:p>
    <w:p w:rsidR="00BB059C" w:rsidRPr="00BE4DAE" w:rsidRDefault="00BB059C" w:rsidP="00BB059C">
      <w:pPr>
        <w:ind w:firstLine="567"/>
        <w:jc w:val="both"/>
        <w:rPr>
          <w:noProof/>
          <w:color w:val="0070C0"/>
          <w:sz w:val="2"/>
          <w:szCs w:val="12"/>
        </w:rPr>
      </w:pPr>
    </w:p>
    <w:p w:rsidR="009C2594" w:rsidRPr="006E22AA" w:rsidRDefault="009C2594" w:rsidP="00337CA7">
      <w:pPr>
        <w:pStyle w:val="BodyTextIndent"/>
        <w:numPr>
          <w:ilvl w:val="1"/>
          <w:numId w:val="14"/>
        </w:numPr>
        <w:tabs>
          <w:tab w:val="clear" w:pos="2160"/>
          <w:tab w:val="num" w:pos="720"/>
          <w:tab w:val="num" w:pos="900"/>
        </w:tabs>
        <w:spacing w:before="120" w:after="0"/>
        <w:ind w:left="720"/>
        <w:jc w:val="both"/>
        <w:rPr>
          <w:b/>
          <w:bCs/>
        </w:rPr>
      </w:pPr>
      <w:r w:rsidRPr="006E22AA">
        <w:rPr>
          <w:b/>
          <w:bCs/>
        </w:rPr>
        <w:t xml:space="preserve">Разходи по </w:t>
      </w:r>
      <w:r w:rsidRPr="006E22AA">
        <w:rPr>
          <w:b/>
          <w:bCs/>
          <w:szCs w:val="26"/>
        </w:rPr>
        <w:t xml:space="preserve">централния бюджет </w:t>
      </w:r>
      <w:r w:rsidRPr="006E22AA">
        <w:rPr>
          <w:b/>
          <w:bCs/>
        </w:rPr>
        <w:t>за субсидии</w:t>
      </w:r>
      <w:r w:rsidR="00F202DD" w:rsidRPr="006E22AA">
        <w:rPr>
          <w:b/>
          <w:bCs/>
        </w:rPr>
        <w:t>,</w:t>
      </w:r>
      <w:r w:rsidR="0091667E" w:rsidRPr="006E22AA">
        <w:rPr>
          <w:b/>
          <w:bCs/>
        </w:rPr>
        <w:t xml:space="preserve"> </w:t>
      </w:r>
      <w:r w:rsidR="00F202DD" w:rsidRPr="006E22AA">
        <w:rPr>
          <w:b/>
          <w:bCs/>
        </w:rPr>
        <w:t xml:space="preserve">капиталови </w:t>
      </w:r>
      <w:r w:rsidR="00AF1CA0" w:rsidRPr="006E22AA">
        <w:rPr>
          <w:b/>
          <w:bCs/>
        </w:rPr>
        <w:t>трансфери</w:t>
      </w:r>
      <w:r w:rsidR="00AF1CA0" w:rsidRPr="006E22AA">
        <w:rPr>
          <w:bCs/>
        </w:rPr>
        <w:t xml:space="preserve"> </w:t>
      </w:r>
      <w:r w:rsidRPr="006E22AA">
        <w:rPr>
          <w:b/>
          <w:bCs/>
        </w:rPr>
        <w:t xml:space="preserve">и други разходи, свързани с дейността на реалния сектор </w:t>
      </w:r>
    </w:p>
    <w:p w:rsidR="009C2594" w:rsidRPr="004B1466" w:rsidRDefault="009C2594" w:rsidP="009C2594">
      <w:pPr>
        <w:pStyle w:val="Header"/>
        <w:jc w:val="both"/>
        <w:rPr>
          <w:color w:val="0070C0"/>
          <w:sz w:val="8"/>
          <w:szCs w:val="8"/>
        </w:rPr>
      </w:pPr>
    </w:p>
    <w:p w:rsidR="00DD638A" w:rsidRPr="006E22AA" w:rsidRDefault="00DD638A" w:rsidP="007A2C8D">
      <w:pPr>
        <w:pStyle w:val="Header"/>
        <w:jc w:val="both"/>
      </w:pPr>
      <w:r w:rsidRPr="006E22AA">
        <w:t>Със ЗДБРБ за 20</w:t>
      </w:r>
      <w:r w:rsidRPr="005F542B">
        <w:t>20</w:t>
      </w:r>
      <w:r w:rsidRPr="006E22AA">
        <w:t xml:space="preserve"> г. са утвърдени 1</w:t>
      </w:r>
      <w:r w:rsidRPr="005F542B">
        <w:t>81</w:t>
      </w:r>
      <w:r w:rsidRPr="006E22AA">
        <w:t>,0 млн. лв</w:t>
      </w:r>
      <w:r w:rsidRPr="006E22AA">
        <w:rPr>
          <w:b/>
        </w:rPr>
        <w:t>.</w:t>
      </w:r>
      <w:r w:rsidRPr="006E22AA">
        <w:t xml:space="preserve"> </w:t>
      </w:r>
      <w:r w:rsidRPr="006E22AA">
        <w:rPr>
          <w:b/>
        </w:rPr>
        <w:t>субсидии</w:t>
      </w:r>
      <w:r w:rsidRPr="006E22AA">
        <w:t xml:space="preserve"> за нефинансови предприятия от централния бюджет.</w:t>
      </w:r>
    </w:p>
    <w:p w:rsidR="00DD638A" w:rsidRPr="006E22AA" w:rsidRDefault="00DD638A" w:rsidP="007A2C8D">
      <w:pPr>
        <w:pStyle w:val="Header"/>
        <w:jc w:val="both"/>
        <w:rPr>
          <w:sz w:val="4"/>
          <w:szCs w:val="4"/>
        </w:rPr>
      </w:pPr>
    </w:p>
    <w:p w:rsidR="00DD638A" w:rsidRPr="004B1466" w:rsidRDefault="00DD638A" w:rsidP="007A2C8D">
      <w:pPr>
        <w:pStyle w:val="BodyText2"/>
        <w:spacing w:after="0" w:line="240" w:lineRule="auto"/>
        <w:jc w:val="both"/>
        <w:rPr>
          <w:color w:val="0070C0"/>
        </w:rPr>
      </w:pPr>
      <w:r w:rsidRPr="006E22AA">
        <w:t xml:space="preserve">Средствата за </w:t>
      </w:r>
      <w:r w:rsidRPr="006E22AA">
        <w:rPr>
          <w:bCs/>
        </w:rPr>
        <w:t>субсидии</w:t>
      </w:r>
      <w:r w:rsidRPr="006E22AA">
        <w:t xml:space="preserve"> са предназначени за търговски дружества,</w:t>
      </w:r>
      <w:r w:rsidR="00ED019F" w:rsidRPr="005F542B">
        <w:t xml:space="preserve"> </w:t>
      </w:r>
      <w:r w:rsidRPr="006E22AA">
        <w:t>осъществяващи превоза на пътниците по нерентабилни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rsidR="00DD638A" w:rsidRPr="004B1466" w:rsidRDefault="00DD638A" w:rsidP="007A2C8D">
      <w:pPr>
        <w:pStyle w:val="BodyText2"/>
        <w:spacing w:after="0" w:line="240" w:lineRule="auto"/>
        <w:jc w:val="both"/>
        <w:rPr>
          <w:color w:val="0070C0"/>
          <w:sz w:val="12"/>
          <w:szCs w:val="12"/>
        </w:rPr>
      </w:pPr>
    </w:p>
    <w:p w:rsidR="00DD638A" w:rsidRPr="006E22AA" w:rsidRDefault="003A4801" w:rsidP="007A2C8D">
      <w:pPr>
        <w:pStyle w:val="BodyTextIndent"/>
        <w:ind w:left="0" w:firstLine="426"/>
        <w:jc w:val="both"/>
      </w:pPr>
      <w:r w:rsidRPr="004B1466">
        <w:rPr>
          <w:color w:val="0070C0"/>
        </w:rPr>
        <w:t xml:space="preserve">- </w:t>
      </w:r>
      <w:r w:rsidRPr="006E22AA">
        <w:t>Със ЗДБРБ за 20</w:t>
      </w:r>
      <w:r w:rsidRPr="005F542B">
        <w:t>20</w:t>
      </w:r>
      <w:r w:rsidR="00DD638A" w:rsidRPr="006E22AA">
        <w:t xml:space="preserve">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145,0 млн. лева.</w:t>
      </w:r>
      <w:r w:rsidR="00DD638A" w:rsidRPr="004B1466">
        <w:rPr>
          <w:color w:val="0070C0"/>
        </w:rPr>
        <w:t xml:space="preserve"> </w:t>
      </w:r>
      <w:r w:rsidR="00DD638A" w:rsidRPr="006E22AA">
        <w:t xml:space="preserve">Усвоените средства за 2020 г. са в размер на </w:t>
      </w:r>
      <w:r w:rsidR="008E5BBA" w:rsidRPr="006E22AA">
        <w:t>1</w:t>
      </w:r>
      <w:r w:rsidR="006E22AA" w:rsidRPr="005F542B">
        <w:t>44</w:t>
      </w:r>
      <w:r w:rsidR="00DD638A" w:rsidRPr="006E22AA">
        <w:t>,</w:t>
      </w:r>
      <w:r w:rsidR="006E22AA" w:rsidRPr="005F542B">
        <w:t>96</w:t>
      </w:r>
      <w:r w:rsidR="00DD638A" w:rsidRPr="006E22AA">
        <w:t xml:space="preserve"> млн. лв. или </w:t>
      </w:r>
      <w:r w:rsidR="006E22AA" w:rsidRPr="005F542B">
        <w:t>99</w:t>
      </w:r>
      <w:r w:rsidR="00DD638A" w:rsidRPr="006E22AA">
        <w:t>,</w:t>
      </w:r>
      <w:r w:rsidR="006E22AA" w:rsidRPr="005F542B">
        <w:t>9</w:t>
      </w:r>
      <w:r w:rsidR="008E5BBA" w:rsidRPr="006E22AA">
        <w:t>7</w:t>
      </w:r>
      <w:r w:rsidR="00DD638A" w:rsidRPr="006E22AA">
        <w:t xml:space="preserve"> на сто от годишния план. </w:t>
      </w:r>
      <w:r w:rsidR="006E22AA" w:rsidRPr="006E22AA">
        <w:t>За неизпълнение на показатели по договора с Държавата, на Национална компания „Железопътна инфраструктура” е наложена санкция в размер на 0,04 млн. лв., която е удържана от средствата за субсидии за 2020 г. Средствата</w:t>
      </w:r>
      <w:r w:rsidR="00DD638A" w:rsidRPr="006E22AA">
        <w:t xml:space="preserve">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DD638A" w:rsidRPr="005F542B">
        <w:t xml:space="preserve"> </w:t>
      </w:r>
    </w:p>
    <w:p w:rsidR="00DD638A" w:rsidRPr="004B1466" w:rsidRDefault="00DD638A" w:rsidP="007A2C8D">
      <w:pPr>
        <w:pStyle w:val="BodyTextIndent2"/>
        <w:spacing w:line="240" w:lineRule="auto"/>
        <w:ind w:left="0" w:firstLine="426"/>
        <w:jc w:val="both"/>
        <w:rPr>
          <w:noProof/>
          <w:color w:val="0070C0"/>
        </w:rPr>
      </w:pPr>
      <w:r w:rsidRPr="006E22AA">
        <w:t xml:space="preserve">- </w:t>
      </w:r>
      <w:r w:rsidR="001923B5" w:rsidRPr="001923B5">
        <w:t>Със З</w:t>
      </w:r>
      <w:r w:rsidR="001923B5">
        <w:t>ДБ</w:t>
      </w:r>
      <w:r w:rsidR="001923B5" w:rsidRPr="001923B5">
        <w:t>РБ</w:t>
      </w:r>
      <w:r w:rsidR="001923B5">
        <w:t xml:space="preserve"> за 2020 г. (и</w:t>
      </w:r>
      <w:r w:rsidR="001923B5" w:rsidRPr="001923B5">
        <w:t>зм. и доп. – ДВ, бр. 104 от 2020 г., в сила от 8.12.2020 г.) са предвидени средства за субсидиране на превоза на пътници по нерентабилни линии във вътрешноградския транспорт и транспорта в планински и други райони в размер на 45,0 млн. лв., в т.ч за Столична община - в размер на 11,0 млн. лева</w:t>
      </w:r>
      <w:r w:rsidRPr="006E22AA">
        <w:t>.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r w:rsidRPr="004B1466">
        <w:rPr>
          <w:color w:val="0070C0"/>
        </w:rPr>
        <w:t xml:space="preserve"> </w:t>
      </w:r>
      <w:r w:rsidR="005E7081" w:rsidRPr="005E7081">
        <w:t>През 2020 г. предоставените средства са в размер на 44,95 млн. лв. или 99,9 на сто от предвидените по годишния план, които са разпределени от Министерство на транспорта, информационните технологии и съобщенията</w:t>
      </w:r>
      <w:r w:rsidRPr="005E7081">
        <w:rPr>
          <w:noProof/>
        </w:rPr>
        <w:t>.</w:t>
      </w:r>
      <w:r w:rsidRPr="004B1466">
        <w:rPr>
          <w:noProof/>
          <w:color w:val="0070C0"/>
        </w:rPr>
        <w:t xml:space="preserve"> </w:t>
      </w:r>
    </w:p>
    <w:p w:rsidR="00DD638A" w:rsidRPr="005E7081" w:rsidRDefault="00DD638A" w:rsidP="007A2C8D">
      <w:pPr>
        <w:jc w:val="both"/>
        <w:rPr>
          <w:bCs/>
        </w:rPr>
      </w:pPr>
      <w:r w:rsidRPr="005E7081">
        <w:rPr>
          <w:bCs/>
        </w:rPr>
        <w:t xml:space="preserve">За </w:t>
      </w:r>
      <w:r w:rsidRPr="005E7081">
        <w:rPr>
          <w:b/>
          <w:bCs/>
        </w:rPr>
        <w:t xml:space="preserve">капиталови трансфери </w:t>
      </w:r>
      <w:r w:rsidRPr="005E7081">
        <w:rPr>
          <w:bCs/>
        </w:rPr>
        <w:t>от централния бюджет за нефинансови предприятия със ЗДБРБ за 20</w:t>
      </w:r>
      <w:r w:rsidRPr="005F542B">
        <w:rPr>
          <w:bCs/>
        </w:rPr>
        <w:t>20</w:t>
      </w:r>
      <w:r w:rsidRPr="005E7081">
        <w:rPr>
          <w:bCs/>
        </w:rPr>
        <w:t xml:space="preserve"> г. са предвидени </w:t>
      </w:r>
      <w:r w:rsidRPr="005E7081">
        <w:rPr>
          <w:b/>
          <w:bCs/>
        </w:rPr>
        <w:t>380,0 млн. лева.</w:t>
      </w:r>
      <w:r w:rsidRPr="005E7081">
        <w:rPr>
          <w:bCs/>
        </w:rPr>
        <w:t xml:space="preserve"> Преведените и усвоени средства към </w:t>
      </w:r>
      <w:r w:rsidR="00DF33BA" w:rsidRPr="005E7081">
        <w:rPr>
          <w:bCs/>
        </w:rPr>
        <w:t>3</w:t>
      </w:r>
      <w:r w:rsidR="005E7081" w:rsidRPr="005E7081">
        <w:rPr>
          <w:bCs/>
        </w:rPr>
        <w:t>1</w:t>
      </w:r>
      <w:r w:rsidR="00DF33BA" w:rsidRPr="005E7081">
        <w:rPr>
          <w:bCs/>
        </w:rPr>
        <w:t>.</w:t>
      </w:r>
      <w:r w:rsidR="005E7081" w:rsidRPr="005E7081">
        <w:rPr>
          <w:bCs/>
        </w:rPr>
        <w:t>12</w:t>
      </w:r>
      <w:r w:rsidRPr="005E7081">
        <w:rPr>
          <w:bCs/>
        </w:rPr>
        <w:t xml:space="preserve">.2020 г. са в размер на </w:t>
      </w:r>
      <w:r w:rsidR="005E7081" w:rsidRPr="005E7081">
        <w:rPr>
          <w:b/>
          <w:bCs/>
        </w:rPr>
        <w:t>3</w:t>
      </w:r>
      <w:r w:rsidR="008E5BBA" w:rsidRPr="005E7081">
        <w:rPr>
          <w:b/>
          <w:bCs/>
        </w:rPr>
        <w:t>0</w:t>
      </w:r>
      <w:r w:rsidR="005E7081" w:rsidRPr="005E7081">
        <w:rPr>
          <w:b/>
          <w:bCs/>
        </w:rPr>
        <w:t>4</w:t>
      </w:r>
      <w:r w:rsidRPr="005E7081">
        <w:rPr>
          <w:b/>
          <w:bCs/>
        </w:rPr>
        <w:t>,</w:t>
      </w:r>
      <w:r w:rsidR="005E7081" w:rsidRPr="005E7081">
        <w:rPr>
          <w:b/>
          <w:bCs/>
        </w:rPr>
        <w:t>9</w:t>
      </w:r>
      <w:r w:rsidRPr="005E7081">
        <w:rPr>
          <w:b/>
          <w:bCs/>
        </w:rPr>
        <w:t xml:space="preserve"> млн. лв.</w:t>
      </w:r>
      <w:r w:rsidRPr="005E7081">
        <w:rPr>
          <w:bCs/>
        </w:rPr>
        <w:t xml:space="preserve"> или </w:t>
      </w:r>
      <w:r w:rsidR="005E7081" w:rsidRPr="005E7081">
        <w:rPr>
          <w:bCs/>
        </w:rPr>
        <w:t>80</w:t>
      </w:r>
      <w:r w:rsidRPr="005E7081">
        <w:rPr>
          <w:bCs/>
        </w:rPr>
        <w:t>,</w:t>
      </w:r>
      <w:r w:rsidR="005E7081" w:rsidRPr="005E7081">
        <w:rPr>
          <w:bCs/>
        </w:rPr>
        <w:t>2</w:t>
      </w:r>
      <w:r w:rsidRPr="005E7081">
        <w:rPr>
          <w:bCs/>
        </w:rPr>
        <w:t xml:space="preserve"> % от годишния размер, както следва:</w:t>
      </w:r>
    </w:p>
    <w:p w:rsidR="00DD638A" w:rsidRPr="005E7081" w:rsidRDefault="00DD638A" w:rsidP="005E7081">
      <w:pPr>
        <w:numPr>
          <w:ilvl w:val="0"/>
          <w:numId w:val="5"/>
        </w:numPr>
        <w:tabs>
          <w:tab w:val="left" w:pos="426"/>
          <w:tab w:val="left" w:pos="851"/>
        </w:tabs>
        <w:ind w:left="0"/>
        <w:jc w:val="both"/>
        <w:rPr>
          <w:i/>
        </w:rPr>
      </w:pPr>
      <w:r w:rsidRPr="005E7081">
        <w:rPr>
          <w:i/>
        </w:rPr>
        <w:t>капиталови трансфери за  Национална компания „Железопътна инфраструктура</w:t>
      </w:r>
      <w:r w:rsidRPr="005E7081">
        <w:t>” - ф</w:t>
      </w:r>
      <w:r w:rsidRPr="005E7081">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5E7081">
        <w:t xml:space="preserve">. </w:t>
      </w:r>
      <w:r w:rsidRPr="005E7081">
        <w:rPr>
          <w:noProof/>
        </w:rPr>
        <w:t>За 20</w:t>
      </w:r>
      <w:r w:rsidRPr="005F542B">
        <w:rPr>
          <w:noProof/>
        </w:rPr>
        <w:t>20</w:t>
      </w:r>
      <w:r w:rsidRPr="005E7081">
        <w:rPr>
          <w:noProof/>
        </w:rPr>
        <w:t xml:space="preserve"> г. от държавния бюджет за компанията е предвиден капиталов трансфер в размер на 120,0 млн. лева.</w:t>
      </w:r>
      <w:r w:rsidRPr="004B1466">
        <w:rPr>
          <w:noProof/>
          <w:color w:val="0070C0"/>
        </w:rPr>
        <w:t xml:space="preserve"> </w:t>
      </w:r>
      <w:r w:rsidR="005E7081" w:rsidRPr="005E7081">
        <w:rPr>
          <w:noProof/>
        </w:rPr>
        <w:t>Средствата са усвоени изцяло</w:t>
      </w:r>
      <w:r w:rsidRPr="005E7081">
        <w:rPr>
          <w:noProof/>
        </w:rPr>
        <w:t>.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rsidR="00DD638A" w:rsidRPr="005E7081" w:rsidRDefault="00DD638A" w:rsidP="005E7081">
      <w:pPr>
        <w:numPr>
          <w:ilvl w:val="0"/>
          <w:numId w:val="5"/>
        </w:numPr>
        <w:tabs>
          <w:tab w:val="left" w:pos="851"/>
        </w:tabs>
        <w:ind w:left="0"/>
        <w:jc w:val="both"/>
        <w:rPr>
          <w:i/>
        </w:rPr>
      </w:pPr>
      <w:r w:rsidRPr="005E7081">
        <w:rPr>
          <w:i/>
        </w:rPr>
        <w:t xml:space="preserve">капиталови трансфери за „БДЖ – Пътнически превози” - ЕООД – </w:t>
      </w:r>
      <w:r w:rsidRPr="005E7081">
        <w:t>предвидените средства със ЗДБРБ за 20</w:t>
      </w:r>
      <w:r w:rsidRPr="005F542B">
        <w:t>20</w:t>
      </w:r>
      <w:r w:rsidRPr="005E7081">
        <w:t xml:space="preserve"> г. са в размер на </w:t>
      </w:r>
      <w:r w:rsidRPr="005F542B">
        <w:t>1</w:t>
      </w:r>
      <w:r w:rsidRPr="005E7081">
        <w:t>39,0 млн. лева.</w:t>
      </w:r>
      <w:r w:rsidRPr="004B1466">
        <w:rPr>
          <w:color w:val="0070C0"/>
        </w:rPr>
        <w:t xml:space="preserve"> </w:t>
      </w:r>
      <w:r w:rsidR="005E7081" w:rsidRPr="005E7081">
        <w:rPr>
          <w:noProof/>
        </w:rPr>
        <w:t>Усвоените средства за 2020 г. са в размер на 89,0 млн. лв. или 64,0 на сто от годишния план. Средствата са предназначени за планов заводски (среден и капитален) ремонт на пътнически вагони, подемен ремонт на електрически локомотиви и закупуване на нов подвижен състав</w:t>
      </w:r>
      <w:r w:rsidRPr="005E7081">
        <w:t>;</w:t>
      </w:r>
    </w:p>
    <w:p w:rsidR="00DD638A" w:rsidRPr="005E7081" w:rsidRDefault="00DD638A" w:rsidP="005E7081">
      <w:pPr>
        <w:numPr>
          <w:ilvl w:val="1"/>
          <w:numId w:val="15"/>
        </w:numPr>
        <w:tabs>
          <w:tab w:val="clear" w:pos="1440"/>
          <w:tab w:val="left" w:pos="851"/>
          <w:tab w:val="num" w:pos="1276"/>
        </w:tabs>
        <w:ind w:left="0" w:firstLine="1080"/>
        <w:jc w:val="both"/>
      </w:pPr>
      <w:r w:rsidRPr="005E7081">
        <w:rPr>
          <w:i/>
        </w:rPr>
        <w:t>капиталови трансфери за ДП „Пристанищна инфраструктура”</w:t>
      </w:r>
      <w:r w:rsidRPr="005E7081">
        <w:rPr>
          <w:b/>
          <w:i/>
        </w:rPr>
        <w:t xml:space="preserve"> </w:t>
      </w:r>
      <w:r w:rsidRPr="005E7081">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5E7081">
        <w:rPr>
          <w:noProof/>
        </w:rPr>
        <w:t>. Предвидените със ЗДБРБ за  20</w:t>
      </w:r>
      <w:r w:rsidRPr="005F542B">
        <w:rPr>
          <w:noProof/>
        </w:rPr>
        <w:t>20</w:t>
      </w:r>
      <w:r w:rsidRPr="005E7081">
        <w:rPr>
          <w:noProof/>
        </w:rPr>
        <w:t xml:space="preserve"> г. средства са в размер на </w:t>
      </w:r>
      <w:r w:rsidRPr="005F542B">
        <w:rPr>
          <w:noProof/>
        </w:rPr>
        <w:t>1</w:t>
      </w:r>
      <w:r w:rsidRPr="005E7081">
        <w:rPr>
          <w:noProof/>
        </w:rPr>
        <w:t>11,0 млн. лева.</w:t>
      </w:r>
      <w:r w:rsidR="005E7081">
        <w:rPr>
          <w:noProof/>
        </w:rPr>
        <w:t xml:space="preserve"> </w:t>
      </w:r>
      <w:r w:rsidR="005E7081" w:rsidRPr="005E7081">
        <w:rPr>
          <w:noProof/>
        </w:rPr>
        <w:t>За 2020 г. са усвоени средства в размер на 93,6 млн. лв. или 84,4 на сто от годишния план</w:t>
      </w:r>
      <w:r w:rsidRPr="005E7081">
        <w:t>;</w:t>
      </w:r>
    </w:p>
    <w:p w:rsidR="00DD638A" w:rsidRPr="00D60C93" w:rsidRDefault="00DD638A" w:rsidP="007A2C8D">
      <w:pPr>
        <w:numPr>
          <w:ilvl w:val="0"/>
          <w:numId w:val="16"/>
        </w:numPr>
        <w:tabs>
          <w:tab w:val="clear" w:pos="2157"/>
          <w:tab w:val="left" w:pos="360"/>
          <w:tab w:val="left" w:pos="851"/>
        </w:tabs>
        <w:ind w:left="0" w:firstLine="426"/>
        <w:jc w:val="both"/>
      </w:pPr>
      <w:r w:rsidRPr="005E7081">
        <w:lastRenderedPageBreak/>
        <w:t>През 20</w:t>
      </w:r>
      <w:r w:rsidRPr="005F542B">
        <w:t>20</w:t>
      </w:r>
      <w:r w:rsidRPr="005E7081">
        <w:t xml:space="preserve"> г. продължава изпълнението на Програмите за отстраняване на нанесени щети </w:t>
      </w:r>
      <w:r w:rsidRPr="005E7081">
        <w:rPr>
          <w:noProof/>
        </w:rPr>
        <w:t>върху околната среда</w:t>
      </w:r>
      <w:r w:rsidRPr="005E7081">
        <w:t>, настъпили от минали действия или бездействия, при приватизация. В ЗДБРБ за 20</w:t>
      </w:r>
      <w:r w:rsidRPr="005F542B">
        <w:t>20</w:t>
      </w:r>
      <w:r w:rsidRPr="005E7081">
        <w:t xml:space="preserve"> г. за тези програми са предвидени 10,0 млн. лева.</w:t>
      </w:r>
      <w:r w:rsidRPr="004B1466">
        <w:rPr>
          <w:color w:val="0070C0"/>
        </w:rPr>
        <w:t xml:space="preserve"> </w:t>
      </w:r>
      <w:r w:rsidRPr="00D60C93">
        <w:rPr>
          <w:noProof/>
        </w:rPr>
        <w:t xml:space="preserve">За 2020 г. са усвоени </w:t>
      </w:r>
      <w:r w:rsidR="00D60C93" w:rsidRPr="00D60C93">
        <w:rPr>
          <w:noProof/>
        </w:rPr>
        <w:t>2</w:t>
      </w:r>
      <w:r w:rsidRPr="00D60C93">
        <w:rPr>
          <w:noProof/>
        </w:rPr>
        <w:t>,</w:t>
      </w:r>
      <w:r w:rsidR="00582666" w:rsidRPr="00D60C93">
        <w:rPr>
          <w:noProof/>
        </w:rPr>
        <w:t>3</w:t>
      </w:r>
      <w:r w:rsidRPr="00D60C93">
        <w:rPr>
          <w:noProof/>
        </w:rPr>
        <w:t xml:space="preserve"> млн. лв. или </w:t>
      </w:r>
      <w:r w:rsidR="00D60C93" w:rsidRPr="00D60C93">
        <w:rPr>
          <w:noProof/>
        </w:rPr>
        <w:t>22</w:t>
      </w:r>
      <w:r w:rsidRPr="00D60C93">
        <w:rPr>
          <w:noProof/>
        </w:rPr>
        <w:t>,</w:t>
      </w:r>
      <w:r w:rsidR="00D60C93" w:rsidRPr="00D60C93">
        <w:rPr>
          <w:noProof/>
        </w:rPr>
        <w:t>6</w:t>
      </w:r>
      <w:r w:rsidRPr="00D60C93">
        <w:rPr>
          <w:noProof/>
        </w:rPr>
        <w:t xml:space="preserve"> на сто от годишния план.</w:t>
      </w:r>
      <w:r w:rsidRPr="00D60C93">
        <w:t xml:space="preserve">  </w:t>
      </w:r>
    </w:p>
    <w:p w:rsidR="00DD638A" w:rsidRPr="004B1466" w:rsidRDefault="00DD638A" w:rsidP="007A2C8D">
      <w:pPr>
        <w:jc w:val="both"/>
        <w:rPr>
          <w:color w:val="0070C0"/>
          <w:sz w:val="8"/>
          <w:szCs w:val="8"/>
        </w:rPr>
      </w:pPr>
    </w:p>
    <w:p w:rsidR="00DD638A" w:rsidRPr="004B1466" w:rsidRDefault="00DD638A" w:rsidP="007A2C8D">
      <w:pPr>
        <w:jc w:val="both"/>
        <w:rPr>
          <w:color w:val="0070C0"/>
          <w:sz w:val="8"/>
          <w:szCs w:val="8"/>
          <w:highlight w:val="yellow"/>
        </w:rPr>
      </w:pPr>
    </w:p>
    <w:p w:rsidR="00DD638A" w:rsidRPr="007B6E9C" w:rsidRDefault="00DD638A" w:rsidP="007A2C8D">
      <w:pPr>
        <w:jc w:val="both"/>
      </w:pPr>
      <w:r w:rsidRPr="007B6E9C">
        <w:rPr>
          <w:b/>
          <w:bCs/>
        </w:rPr>
        <w:t>Други разходи по централния бюджет</w:t>
      </w:r>
      <w:r w:rsidRPr="007B6E9C">
        <w:t xml:space="preserve"> предназначени за: </w:t>
      </w:r>
    </w:p>
    <w:p w:rsidR="00DD638A" w:rsidRPr="004B1466" w:rsidRDefault="00DD638A" w:rsidP="007A2C8D">
      <w:pPr>
        <w:jc w:val="both"/>
        <w:rPr>
          <w:color w:val="0070C0"/>
          <w:sz w:val="8"/>
          <w:szCs w:val="8"/>
        </w:rPr>
      </w:pPr>
    </w:p>
    <w:p w:rsidR="00DD638A" w:rsidRPr="007B6E9C" w:rsidRDefault="00DD638A" w:rsidP="00B316F9">
      <w:pPr>
        <w:numPr>
          <w:ilvl w:val="0"/>
          <w:numId w:val="5"/>
        </w:numPr>
        <w:tabs>
          <w:tab w:val="left" w:pos="851"/>
        </w:tabs>
        <w:ind w:left="0" w:firstLine="1080"/>
        <w:jc w:val="both"/>
        <w:rPr>
          <w:sz w:val="8"/>
          <w:szCs w:val="8"/>
        </w:rPr>
      </w:pPr>
      <w:r w:rsidRPr="007B6E9C">
        <w:rPr>
          <w:i/>
        </w:rPr>
        <w:t>Компенсиране</w:t>
      </w:r>
      <w:r w:rsidR="00D67216" w:rsidRPr="007B6E9C">
        <w:rPr>
          <w:i/>
        </w:rPr>
        <w:t xml:space="preserve"> </w:t>
      </w:r>
      <w:r w:rsidRPr="007B6E9C">
        <w:rPr>
          <w:i/>
        </w:rPr>
        <w:t xml:space="preserve">на </w:t>
      </w:r>
      <w:r w:rsidRPr="007B6E9C">
        <w:rPr>
          <w:bCs/>
          <w:i/>
        </w:rPr>
        <w:t>намалените приходи от прилагането на цени за пътуване, предвидени в нормативни актове за определени категории пътници</w:t>
      </w:r>
      <w:r w:rsidRPr="007B6E9C">
        <w:rPr>
          <w:i/>
        </w:rPr>
        <w:t xml:space="preserve"> по железопътния и автомобилния транспорт, със средства от държавния бюджет</w:t>
      </w:r>
      <w:r w:rsidRPr="007B6E9C">
        <w:t xml:space="preserve"> - предвидените средства </w:t>
      </w:r>
      <w:r w:rsidR="00B316F9" w:rsidRPr="00B316F9">
        <w:t>със З</w:t>
      </w:r>
      <w:r w:rsidR="00B316F9">
        <w:t>ДБ</w:t>
      </w:r>
      <w:r w:rsidR="00B316F9" w:rsidRPr="00B316F9">
        <w:t xml:space="preserve">РБ за 2020 г. (Изм. и доп. – ДВ, бр. 104 от 2020 г., в сила от 8.12.2020 г.) </w:t>
      </w:r>
      <w:r w:rsidRPr="007B6E9C">
        <w:t>са</w:t>
      </w:r>
      <w:r w:rsidRPr="004B1466">
        <w:rPr>
          <w:color w:val="0070C0"/>
        </w:rPr>
        <w:t xml:space="preserve"> </w:t>
      </w:r>
      <w:r w:rsidRPr="007B6E9C">
        <w:t xml:space="preserve">общо в размер на </w:t>
      </w:r>
      <w:r w:rsidRPr="005F542B">
        <w:t>1</w:t>
      </w:r>
      <w:r w:rsidR="00B316F9">
        <w:t>09</w:t>
      </w:r>
      <w:r w:rsidRPr="007B6E9C">
        <w:t>,</w:t>
      </w:r>
      <w:r w:rsidRPr="005F542B">
        <w:t>8</w:t>
      </w:r>
      <w:r w:rsidRPr="007B6E9C">
        <w:t xml:space="preserve"> млн. лв., от които 4</w:t>
      </w:r>
      <w:r w:rsidR="00B316F9">
        <w:t>1</w:t>
      </w:r>
      <w:r w:rsidRPr="005F542B">
        <w:t>,</w:t>
      </w:r>
      <w:r w:rsidRPr="007B6E9C">
        <w:t>0</w:t>
      </w:r>
      <w:r w:rsidRPr="005F542B">
        <w:t xml:space="preserve"> </w:t>
      </w:r>
      <w:r w:rsidRPr="007B6E9C">
        <w:t xml:space="preserve">млн. лв. </w:t>
      </w:r>
      <w:r w:rsidRPr="007B6E9C">
        <w:rPr>
          <w:noProof/>
        </w:rPr>
        <w:t>за пътувания с вътрешноградския транспорт и междуселищния автомобилен транспорт, 4</w:t>
      </w:r>
      <w:r w:rsidRPr="005F542B">
        <w:rPr>
          <w:noProof/>
        </w:rPr>
        <w:t>4</w:t>
      </w:r>
      <w:r w:rsidRPr="007B6E9C">
        <w:rPr>
          <w:noProof/>
        </w:rPr>
        <w:t>,0 млн. лв. за транспорт на деца и ученици по чл. 283, ал. 2 от Закона за предучилищното и училищното образование, 16,</w:t>
      </w:r>
      <w:r w:rsidRPr="005F542B">
        <w:rPr>
          <w:noProof/>
        </w:rPr>
        <w:t>8</w:t>
      </w:r>
      <w:r w:rsidRPr="007B6E9C">
        <w:rPr>
          <w:noProof/>
        </w:rPr>
        <w:t xml:space="preserve"> млн. лв. за превоз на служители, ползващи право на безплатно пътуване при изпълнение на служебните си задължения</w:t>
      </w:r>
      <w:r w:rsidR="00D67216" w:rsidRPr="005F542B">
        <w:rPr>
          <w:noProof/>
        </w:rPr>
        <w:t>,</w:t>
      </w:r>
      <w:r w:rsidRPr="007B6E9C">
        <w:rPr>
          <w:noProof/>
        </w:rPr>
        <w:t xml:space="preserve"> и </w:t>
      </w:r>
      <w:r w:rsidR="00B316F9">
        <w:rPr>
          <w:noProof/>
        </w:rPr>
        <w:t>8</w:t>
      </w:r>
      <w:r w:rsidRPr="007B6E9C">
        <w:rPr>
          <w:noProof/>
        </w:rPr>
        <w:t>,0 млн. лв. за пътувания с железопътния транспорт.</w:t>
      </w:r>
      <w:r w:rsidRPr="007B6E9C">
        <w:t xml:space="preserve"> </w:t>
      </w:r>
      <w:r w:rsidR="005E5E4C">
        <w:rPr>
          <w:noProof/>
        </w:rPr>
        <w:t>Предоставените</w:t>
      </w:r>
      <w:r w:rsidRPr="007B6E9C">
        <w:rPr>
          <w:noProof/>
        </w:rPr>
        <w:t xml:space="preserve"> средства за </w:t>
      </w:r>
      <w:r w:rsidRPr="007B6E9C">
        <w:t>2020</w:t>
      </w:r>
      <w:r w:rsidR="00310DD9">
        <w:rPr>
          <w:noProof/>
        </w:rPr>
        <w:t> </w:t>
      </w:r>
      <w:r w:rsidRPr="007B6E9C">
        <w:rPr>
          <w:noProof/>
        </w:rPr>
        <w:t xml:space="preserve">г. са общо в размер на </w:t>
      </w:r>
      <w:r w:rsidR="007B6E9C" w:rsidRPr="007B6E9C">
        <w:rPr>
          <w:noProof/>
        </w:rPr>
        <w:t>94</w:t>
      </w:r>
      <w:r w:rsidRPr="007B6E9C">
        <w:rPr>
          <w:noProof/>
        </w:rPr>
        <w:t>,</w:t>
      </w:r>
      <w:r w:rsidR="007B6E9C" w:rsidRPr="007B6E9C">
        <w:rPr>
          <w:noProof/>
        </w:rPr>
        <w:t>9</w:t>
      </w:r>
      <w:r w:rsidRPr="007B6E9C">
        <w:rPr>
          <w:noProof/>
        </w:rPr>
        <w:t xml:space="preserve"> млн. лв. или </w:t>
      </w:r>
      <w:r w:rsidR="00B316F9">
        <w:rPr>
          <w:noProof/>
        </w:rPr>
        <w:t>86</w:t>
      </w:r>
      <w:r w:rsidRPr="007B6E9C">
        <w:rPr>
          <w:noProof/>
        </w:rPr>
        <w:t>,</w:t>
      </w:r>
      <w:r w:rsidR="00B316F9">
        <w:rPr>
          <w:noProof/>
        </w:rPr>
        <w:t>4</w:t>
      </w:r>
      <w:r w:rsidRPr="007B6E9C">
        <w:rPr>
          <w:noProof/>
        </w:rPr>
        <w:t xml:space="preserve"> на сто от </w:t>
      </w:r>
      <w:r w:rsidR="00B316F9">
        <w:rPr>
          <w:noProof/>
        </w:rPr>
        <w:t xml:space="preserve">актуализирания </w:t>
      </w:r>
      <w:r w:rsidRPr="007B6E9C">
        <w:rPr>
          <w:noProof/>
        </w:rPr>
        <w:t>годиш</w:t>
      </w:r>
      <w:r w:rsidR="00B316F9">
        <w:rPr>
          <w:noProof/>
        </w:rPr>
        <w:t>е</w:t>
      </w:r>
      <w:r w:rsidRPr="007B6E9C">
        <w:rPr>
          <w:noProof/>
        </w:rPr>
        <w:t>н разчет.</w:t>
      </w:r>
      <w:r w:rsidRPr="007B6E9C">
        <w:t xml:space="preserve"> </w:t>
      </w:r>
    </w:p>
    <w:p w:rsidR="00DD638A" w:rsidRPr="007B6E9C" w:rsidRDefault="005E5E4C" w:rsidP="007A2C8D">
      <w:pPr>
        <w:tabs>
          <w:tab w:val="left" w:pos="851"/>
        </w:tabs>
        <w:jc w:val="both"/>
      </w:pPr>
      <w:r>
        <w:rPr>
          <w:noProof/>
        </w:rPr>
        <w:t>Предоставените</w:t>
      </w:r>
      <w:r w:rsidR="00DD638A" w:rsidRPr="007B6E9C">
        <w:t xml:space="preserve"> средства към </w:t>
      </w:r>
      <w:r w:rsidR="00DF33BA" w:rsidRPr="007B6E9C">
        <w:t>3</w:t>
      </w:r>
      <w:r w:rsidR="007B6E9C" w:rsidRPr="007B6E9C">
        <w:t>1</w:t>
      </w:r>
      <w:r w:rsidR="00DF33BA" w:rsidRPr="007B6E9C">
        <w:t>.</w:t>
      </w:r>
      <w:r w:rsidR="007B6E9C" w:rsidRPr="007B6E9C">
        <w:t>12</w:t>
      </w:r>
      <w:r w:rsidR="00DD638A" w:rsidRPr="007B6E9C">
        <w:t xml:space="preserve">.2020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00DD638A" w:rsidRPr="007B6E9C">
        <w:rPr>
          <w:noProof/>
        </w:rPr>
        <w:t xml:space="preserve">вътрешноградски транспорт и междуселищен </w:t>
      </w:r>
      <w:r w:rsidR="00DD638A" w:rsidRPr="007B6E9C">
        <w:t>автомобилен транспорт или железопътен транспорт, съгласно ПМС № 3</w:t>
      </w:r>
      <w:r w:rsidR="00DD638A" w:rsidRPr="005F542B">
        <w:t>81</w:t>
      </w:r>
      <w:r w:rsidR="0001448B" w:rsidRPr="007B6E9C">
        <w:t xml:space="preserve"> от </w:t>
      </w:r>
      <w:r w:rsidR="00DD638A" w:rsidRPr="007B6E9C">
        <w:t>201</w:t>
      </w:r>
      <w:r w:rsidR="00DD638A" w:rsidRPr="005F542B">
        <w:t>9</w:t>
      </w:r>
      <w:r w:rsidR="00DD638A" w:rsidRPr="007B6E9C">
        <w:t xml:space="preserve"> г. за изпълнението на държавния бюджет на Република България за 20</w:t>
      </w:r>
      <w:r w:rsidR="00DD638A" w:rsidRPr="005F542B">
        <w:t>20</w:t>
      </w:r>
      <w:r w:rsidR="00DD638A" w:rsidRPr="007B6E9C">
        <w:t xml:space="preserve"> г., са както следва:</w:t>
      </w:r>
    </w:p>
    <w:p w:rsidR="00DD638A" w:rsidRPr="000D2933" w:rsidRDefault="00DD638A" w:rsidP="007A2C8D">
      <w:pPr>
        <w:ind w:firstLine="426"/>
        <w:jc w:val="both"/>
      </w:pPr>
      <w:r w:rsidRPr="000D2933">
        <w:t xml:space="preserve">- компенсации за пътувания с железопътния транспорт в размер на </w:t>
      </w:r>
      <w:r w:rsidR="007B6E9C" w:rsidRPr="000D2933">
        <w:t>6</w:t>
      </w:r>
      <w:r w:rsidRPr="000D2933">
        <w:t>,</w:t>
      </w:r>
      <w:r w:rsidR="007B6E9C" w:rsidRPr="000D2933">
        <w:t>3</w:t>
      </w:r>
      <w:r w:rsidRPr="000D2933">
        <w:t xml:space="preserve"> млн. лв.,  което е </w:t>
      </w:r>
      <w:r w:rsidR="000D2933" w:rsidRPr="000D2933">
        <w:t>7</w:t>
      </w:r>
      <w:r w:rsidR="007B6E9C" w:rsidRPr="000D2933">
        <w:t>8</w:t>
      </w:r>
      <w:r w:rsidRPr="000D2933">
        <w:t>,</w:t>
      </w:r>
      <w:r w:rsidR="000D2933" w:rsidRPr="000D2933">
        <w:t>3</w:t>
      </w:r>
      <w:r w:rsidRPr="000D2933">
        <w:t xml:space="preserve"> на сто от </w:t>
      </w:r>
      <w:r w:rsidR="000D2933" w:rsidRPr="000D2933">
        <w:t>актуализирания</w:t>
      </w:r>
      <w:r w:rsidRPr="000D2933">
        <w:t xml:space="preserve"> годишен план; </w:t>
      </w:r>
    </w:p>
    <w:p w:rsidR="00DD638A" w:rsidRPr="000D2933" w:rsidRDefault="00DD638A" w:rsidP="007A2C8D">
      <w:pPr>
        <w:tabs>
          <w:tab w:val="left" w:pos="540"/>
          <w:tab w:val="left" w:pos="709"/>
        </w:tabs>
        <w:ind w:firstLine="426"/>
        <w:jc w:val="both"/>
        <w:rPr>
          <w:noProof/>
        </w:rPr>
      </w:pPr>
      <w:r w:rsidRPr="000D2933">
        <w:rPr>
          <w:noProof/>
        </w:rPr>
        <w:t xml:space="preserve">-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0D2933" w:rsidRPr="000D2933">
        <w:rPr>
          <w:noProof/>
        </w:rPr>
        <w:t>88</w:t>
      </w:r>
      <w:r w:rsidRPr="000D2933">
        <w:rPr>
          <w:noProof/>
        </w:rPr>
        <w:t>,</w:t>
      </w:r>
      <w:r w:rsidR="000D2933" w:rsidRPr="000D2933">
        <w:rPr>
          <w:noProof/>
        </w:rPr>
        <w:t>6</w:t>
      </w:r>
      <w:r w:rsidRPr="000D2933">
        <w:rPr>
          <w:noProof/>
        </w:rPr>
        <w:t xml:space="preserve"> млн. лв., което е </w:t>
      </w:r>
      <w:r w:rsidR="000D2933" w:rsidRPr="000D2933">
        <w:rPr>
          <w:noProof/>
        </w:rPr>
        <w:t>87</w:t>
      </w:r>
      <w:r w:rsidRPr="000D2933">
        <w:rPr>
          <w:noProof/>
        </w:rPr>
        <w:t>,</w:t>
      </w:r>
      <w:r w:rsidR="000D2933" w:rsidRPr="000D2933">
        <w:rPr>
          <w:noProof/>
        </w:rPr>
        <w:t>0</w:t>
      </w:r>
      <w:r w:rsidRPr="000D2933">
        <w:rPr>
          <w:noProof/>
        </w:rPr>
        <w:t xml:space="preserve"> на сто от </w:t>
      </w:r>
      <w:r w:rsidRPr="000D2933">
        <w:t>утвърдения</w:t>
      </w:r>
      <w:r w:rsidRPr="000D2933">
        <w:rPr>
          <w:noProof/>
        </w:rPr>
        <w:t xml:space="preserve"> годишен план. </w:t>
      </w:r>
    </w:p>
    <w:p w:rsidR="00DD638A" w:rsidRPr="000D2933" w:rsidRDefault="005E5E4C" w:rsidP="007A2C8D">
      <w:pPr>
        <w:ind w:firstLine="426"/>
        <w:jc w:val="both"/>
        <w:rPr>
          <w:noProof/>
        </w:rPr>
      </w:pPr>
      <w:r>
        <w:rPr>
          <w:noProof/>
        </w:rPr>
        <w:t>Предоставените</w:t>
      </w:r>
      <w:r w:rsidR="00DD638A" w:rsidRPr="000D2933">
        <w:rPr>
          <w:noProof/>
        </w:rPr>
        <w:t xml:space="preserve"> средства за </w:t>
      </w:r>
      <w:r w:rsidR="00DD638A" w:rsidRPr="000D2933">
        <w:t>компенсиране на намалените приходи от прилагането на цени за пътуване, предвидени в нормативни актове за определени категории пътници,</w:t>
      </w:r>
      <w:r w:rsidR="00DD638A" w:rsidRPr="000D2933">
        <w:rPr>
          <w:noProof/>
        </w:rPr>
        <w:t xml:space="preserve"> по вътрешноградския транспорт и междусе</w:t>
      </w:r>
      <w:r w:rsidR="000D2933" w:rsidRPr="000D2933">
        <w:rPr>
          <w:noProof/>
        </w:rPr>
        <w:t xml:space="preserve">лищния автомобилен транспорт за </w:t>
      </w:r>
      <w:r w:rsidR="00DD638A" w:rsidRPr="000D2933">
        <w:rPr>
          <w:noProof/>
        </w:rPr>
        <w:t>2020 г., диференцирани по групи правоимащи лица и размер на намалението спрямо редовната цена, са както следва:</w:t>
      </w:r>
    </w:p>
    <w:p w:rsidR="00DD638A" w:rsidRPr="000D2933" w:rsidRDefault="00DD638A" w:rsidP="007A2C8D">
      <w:pPr>
        <w:pStyle w:val="BodyTextIndent"/>
        <w:spacing w:after="0"/>
        <w:ind w:left="0" w:firstLine="426"/>
        <w:jc w:val="both"/>
      </w:pPr>
      <w:r w:rsidRPr="000D2933">
        <w:t xml:space="preserve">- </w:t>
      </w:r>
      <w:r w:rsidR="000D2933" w:rsidRPr="000D2933">
        <w:t>3</w:t>
      </w:r>
      <w:r w:rsidRPr="005F542B">
        <w:t>3</w:t>
      </w:r>
      <w:r w:rsidRPr="000D2933">
        <w:t>,</w:t>
      </w:r>
      <w:r w:rsidR="000D2933" w:rsidRPr="000D2933">
        <w:t>3</w:t>
      </w:r>
      <w:r w:rsidRPr="005F542B">
        <w:t xml:space="preserve"> </w:t>
      </w:r>
      <w:r w:rsidRPr="000D2933">
        <w:t xml:space="preserve">млн. лв. за транспорт на деца и ученици в съответствие с чл. 283, ал. 2 от Закона за предучилищното и училищното образование, което е </w:t>
      </w:r>
      <w:r w:rsidR="000D2933" w:rsidRPr="000D2933">
        <w:t>7</w:t>
      </w:r>
      <w:r w:rsidR="0027457A" w:rsidRPr="000D2933">
        <w:t>5</w:t>
      </w:r>
      <w:r w:rsidRPr="000D2933">
        <w:t>,</w:t>
      </w:r>
      <w:r w:rsidR="000D2933" w:rsidRPr="000D2933">
        <w:t>8</w:t>
      </w:r>
      <w:r w:rsidRPr="000D2933">
        <w:t xml:space="preserve"> на сто от утвърдения годишен план; </w:t>
      </w:r>
    </w:p>
    <w:p w:rsidR="00DD638A" w:rsidRPr="000D2933" w:rsidRDefault="00DD638A" w:rsidP="007A2C8D">
      <w:pPr>
        <w:pStyle w:val="BodyTextIndent"/>
        <w:tabs>
          <w:tab w:val="left" w:pos="1026"/>
        </w:tabs>
        <w:spacing w:after="0"/>
        <w:ind w:left="0" w:firstLine="426"/>
        <w:jc w:val="both"/>
      </w:pPr>
      <w:r w:rsidRPr="000D2933">
        <w:t xml:space="preserve">- </w:t>
      </w:r>
      <w:r w:rsidR="000D2933" w:rsidRPr="000D2933">
        <w:t>55</w:t>
      </w:r>
      <w:r w:rsidRPr="000D2933">
        <w:t>,</w:t>
      </w:r>
      <w:r w:rsidR="00B748F7">
        <w:t>2</w:t>
      </w:r>
      <w:r w:rsidRPr="000D2933">
        <w:t xml:space="preserve">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w:t>
      </w:r>
      <w:r w:rsidRPr="004B1466">
        <w:rPr>
          <w:color w:val="0070C0"/>
        </w:rPr>
        <w:t xml:space="preserve"> </w:t>
      </w:r>
      <w:r w:rsidR="000D2933" w:rsidRPr="000D2933">
        <w:t xml:space="preserve">актуализираните </w:t>
      </w:r>
      <w:r w:rsidRPr="000D2933">
        <w:t xml:space="preserve">годишни </w:t>
      </w:r>
      <w:r w:rsidR="000D2933" w:rsidRPr="000D2933">
        <w:t>разчети</w:t>
      </w:r>
      <w:r w:rsidRPr="000D2933">
        <w:t xml:space="preserve"> е </w:t>
      </w:r>
      <w:r w:rsidR="000D2933" w:rsidRPr="000D2933">
        <w:t>95</w:t>
      </w:r>
      <w:r w:rsidRPr="000D2933">
        <w:t>,</w:t>
      </w:r>
      <w:r w:rsidR="000D2933" w:rsidRPr="000D2933">
        <w:t>6</w:t>
      </w:r>
      <w:r w:rsidRPr="000D2933">
        <w:t xml:space="preserve"> на сто, в това число:</w:t>
      </w:r>
    </w:p>
    <w:p w:rsidR="00DD638A" w:rsidRPr="000D2933" w:rsidRDefault="000D2933" w:rsidP="00C4077C">
      <w:pPr>
        <w:numPr>
          <w:ilvl w:val="0"/>
          <w:numId w:val="19"/>
        </w:numPr>
        <w:tabs>
          <w:tab w:val="left" w:pos="1276"/>
        </w:tabs>
        <w:ind w:left="1134" w:hanging="283"/>
        <w:jc w:val="both"/>
      </w:pPr>
      <w:r w:rsidRPr="000D2933">
        <w:t>38</w:t>
      </w:r>
      <w:r w:rsidR="00DD638A" w:rsidRPr="005F542B">
        <w:t>,</w:t>
      </w:r>
      <w:r w:rsidRPr="000D2933">
        <w:t>5</w:t>
      </w:r>
      <w:r w:rsidR="00DD638A" w:rsidRPr="000D2933">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0D2933">
        <w:t>93</w:t>
      </w:r>
      <w:r w:rsidR="00DD638A" w:rsidRPr="000D2933">
        <w:t>,</w:t>
      </w:r>
      <w:r w:rsidRPr="000D2933">
        <w:t>8</w:t>
      </w:r>
      <w:r w:rsidR="00DD638A" w:rsidRPr="000D2933">
        <w:t xml:space="preserve"> на сто спрямо утвърдения годишен план; </w:t>
      </w:r>
    </w:p>
    <w:p w:rsidR="00DD638A" w:rsidRDefault="00A32198" w:rsidP="000D2933">
      <w:pPr>
        <w:numPr>
          <w:ilvl w:val="0"/>
          <w:numId w:val="19"/>
        </w:numPr>
        <w:tabs>
          <w:tab w:val="left" w:pos="1276"/>
        </w:tabs>
        <w:ind w:left="1134" w:hanging="283"/>
        <w:jc w:val="both"/>
      </w:pPr>
      <w:r w:rsidRPr="000D2933">
        <w:t>1</w:t>
      </w:r>
      <w:r w:rsidR="000D2933" w:rsidRPr="000D2933">
        <w:t>6</w:t>
      </w:r>
      <w:r w:rsidR="00DD638A" w:rsidRPr="000D2933">
        <w:t>,</w:t>
      </w:r>
      <w:r w:rsidR="000D2933" w:rsidRPr="000D2933">
        <w:t>8</w:t>
      </w:r>
      <w:r w:rsidR="00DD638A" w:rsidRPr="000D2933">
        <w:t xml:space="preserve"> млн. лв. за превоз на служители, ползващи право на безплатно пътуване при изпълнение на служебните си задължения, </w:t>
      </w:r>
      <w:r w:rsidR="000D2933" w:rsidRPr="000D2933">
        <w:t>като средствата са предоставени изцяло</w:t>
      </w:r>
      <w:r w:rsidR="00DD638A" w:rsidRPr="000D2933">
        <w:t>.</w:t>
      </w:r>
    </w:p>
    <w:p w:rsidR="003C417E" w:rsidRPr="000D2933" w:rsidRDefault="003C417E" w:rsidP="003C417E">
      <w:pPr>
        <w:tabs>
          <w:tab w:val="left" w:pos="1276"/>
        </w:tabs>
        <w:ind w:left="851"/>
        <w:jc w:val="both"/>
      </w:pPr>
    </w:p>
    <w:p w:rsidR="00333B5E" w:rsidRPr="004B1466" w:rsidRDefault="00333B5E" w:rsidP="007A2C8D">
      <w:pPr>
        <w:jc w:val="both"/>
        <w:rPr>
          <w:color w:val="0070C0"/>
          <w:sz w:val="12"/>
          <w:szCs w:val="12"/>
        </w:rPr>
      </w:pPr>
    </w:p>
    <w:p w:rsidR="007D19B9" w:rsidRPr="008A66BC" w:rsidRDefault="007D19B9" w:rsidP="007D19B9">
      <w:pPr>
        <w:numPr>
          <w:ilvl w:val="0"/>
          <w:numId w:val="7"/>
        </w:numPr>
        <w:spacing w:after="120"/>
        <w:ind w:left="0" w:firstLine="360"/>
        <w:jc w:val="both"/>
        <w:rPr>
          <w:b/>
          <w:lang w:eastAsia="bg-BG"/>
        </w:rPr>
      </w:pPr>
      <w:r w:rsidRPr="008A66BC">
        <w:rPr>
          <w:b/>
          <w:lang w:eastAsia="bg-BG"/>
        </w:rPr>
        <w:t xml:space="preserve">Разходи за лихви </w:t>
      </w:r>
    </w:p>
    <w:p w:rsidR="008A66BC" w:rsidRPr="004B1466" w:rsidRDefault="008A66BC" w:rsidP="008A66BC">
      <w:pPr>
        <w:spacing w:after="120"/>
        <w:jc w:val="both"/>
        <w:rPr>
          <w:color w:val="0070C0"/>
          <w:lang w:eastAsia="bg-BG"/>
        </w:rPr>
      </w:pPr>
      <w:r w:rsidRPr="00814357">
        <w:rPr>
          <w:b/>
          <w:lang w:eastAsia="bg-BG"/>
        </w:rPr>
        <w:t xml:space="preserve">Лихвените плащания </w:t>
      </w:r>
      <w:r w:rsidRPr="00814357">
        <w:rPr>
          <w:lang w:eastAsia="bg-BG"/>
        </w:rPr>
        <w:t xml:space="preserve">по държавния бюджет към </w:t>
      </w:r>
      <w:r w:rsidRPr="00814357">
        <w:t>31.12.2020 г. са в общ размер на</w:t>
      </w:r>
      <w:r w:rsidRPr="006B5CB5">
        <w:t xml:space="preserve"> </w:t>
      </w:r>
      <w:r w:rsidRPr="006B5CB5">
        <w:rPr>
          <w:b/>
        </w:rPr>
        <w:t>585,3 млн. лв</w:t>
      </w:r>
      <w:r w:rsidRPr="006B5CB5">
        <w:t>. или 84,6 % от предвидените в годишните разчети</w:t>
      </w:r>
      <w:r w:rsidRPr="004B1466">
        <w:rPr>
          <w:color w:val="0070C0"/>
          <w:lang w:eastAsia="bg-BG"/>
        </w:rPr>
        <w:t xml:space="preserve">. </w:t>
      </w:r>
    </w:p>
    <w:p w:rsidR="008A66BC" w:rsidRPr="00247EB6" w:rsidRDefault="008A66BC" w:rsidP="008A66BC">
      <w:pPr>
        <w:spacing w:after="120"/>
        <w:jc w:val="both"/>
        <w:rPr>
          <w:color w:val="0070C0"/>
        </w:rPr>
      </w:pPr>
      <w:r w:rsidRPr="004D05D2">
        <w:t xml:space="preserve">Разходите за </w:t>
      </w:r>
      <w:r w:rsidRPr="004D05D2">
        <w:rPr>
          <w:b/>
        </w:rPr>
        <w:t>лихви по външни заеми</w:t>
      </w:r>
      <w:r w:rsidRPr="004D05D2">
        <w:t xml:space="preserve"> са в размер на </w:t>
      </w:r>
      <w:r w:rsidRPr="004D05D2">
        <w:rPr>
          <w:b/>
        </w:rPr>
        <w:t>422,4 млн. лв.,</w:t>
      </w:r>
      <w:r w:rsidRPr="004D05D2">
        <w:t xml:space="preserve"> в т.ч. 394,6 млн. лв. по централния бюджет. Разходите за лихви по ДИЗ, управлявани от министерства и ведомства са в размер на 27,8 млн. лв. </w:t>
      </w:r>
      <w:r w:rsidRPr="001033E1">
        <w:t>(</w:t>
      </w:r>
      <w:r w:rsidRPr="004D05D2">
        <w:t>от които 3,3 млн. лв. са по заемите с краен бенефициент търговско дружество</w:t>
      </w:r>
      <w:r w:rsidRPr="001033E1">
        <w:t>)</w:t>
      </w:r>
      <w:r w:rsidRPr="004D05D2">
        <w:t>.</w:t>
      </w:r>
    </w:p>
    <w:p w:rsidR="008A66BC" w:rsidRPr="004B1466" w:rsidRDefault="008A66BC" w:rsidP="008A66BC">
      <w:pPr>
        <w:spacing w:after="120"/>
        <w:jc w:val="both"/>
        <w:rPr>
          <w:b/>
          <w:color w:val="0070C0"/>
          <w:lang w:eastAsia="bg-BG"/>
        </w:rPr>
      </w:pPr>
      <w:r w:rsidRPr="00AB2E8C">
        <w:lastRenderedPageBreak/>
        <w:t>През отчетния период не са използвани средства, предвидени за покриване на риска от активиране на държавни гаранции</w:t>
      </w:r>
      <w:r w:rsidRPr="004B1466">
        <w:rPr>
          <w:color w:val="0070C0"/>
          <w:lang w:eastAsia="bg-BG"/>
        </w:rPr>
        <w:t>.</w:t>
      </w:r>
      <w:r w:rsidRPr="004B1466">
        <w:rPr>
          <w:b/>
          <w:color w:val="0070C0"/>
          <w:lang w:eastAsia="bg-BG"/>
        </w:rPr>
        <w:t xml:space="preserve"> </w:t>
      </w:r>
    </w:p>
    <w:p w:rsidR="008A66BC" w:rsidRPr="004B1466" w:rsidRDefault="008A66BC" w:rsidP="008A66BC">
      <w:pPr>
        <w:spacing w:after="60"/>
        <w:jc w:val="both"/>
        <w:rPr>
          <w:color w:val="0070C0"/>
          <w:lang w:eastAsia="bg-BG"/>
        </w:rPr>
      </w:pPr>
      <w:r w:rsidRPr="008735B5">
        <w:rPr>
          <w:b/>
        </w:rPr>
        <w:t>Лихвите по вътрешни заеми</w:t>
      </w:r>
      <w:r w:rsidRPr="008735B5">
        <w:t xml:space="preserve"> по държавния бюджет </w:t>
      </w:r>
      <w:r w:rsidRPr="008735B5">
        <w:rPr>
          <w:bCs/>
        </w:rPr>
        <w:t xml:space="preserve">за </w:t>
      </w:r>
      <w:r w:rsidRPr="008735B5">
        <w:t xml:space="preserve">2020 г. са в размер на </w:t>
      </w:r>
      <w:r w:rsidRPr="008735B5">
        <w:rPr>
          <w:b/>
        </w:rPr>
        <w:t>162,9</w:t>
      </w:r>
      <w:r w:rsidRPr="008735B5">
        <w:rPr>
          <w:rFonts w:eastAsia="Calibri"/>
          <w:b/>
        </w:rPr>
        <w:t>  </w:t>
      </w:r>
      <w:r w:rsidRPr="008735B5">
        <w:rPr>
          <w:b/>
        </w:rPr>
        <w:t>млн. лв.</w:t>
      </w:r>
      <w:r w:rsidRPr="008735B5">
        <w:t xml:space="preserve"> и представляват </w:t>
      </w:r>
      <w:r w:rsidR="001033E1">
        <w:t xml:space="preserve">основно </w:t>
      </w:r>
      <w:r w:rsidRPr="008735B5">
        <w:t>лихви по емисии на ДЦК на вътрешния пазар. Платените лихви и отстъпки по ДЦК, емитирани на аукционен принцип са в размер на 179,5 млн. лева. Реализираните при аукционите премии над номинала от емисии ДЦК към 31.12.2020 г. (отчетени в намаление на разходите за лихви по вътрешния дълг) съответно (-17,6) млн. лева</w:t>
      </w:r>
      <w:r w:rsidRPr="004B1466">
        <w:rPr>
          <w:color w:val="0070C0"/>
          <w:lang w:eastAsia="bg-BG"/>
        </w:rPr>
        <w:t>.</w:t>
      </w:r>
    </w:p>
    <w:p w:rsidR="008A66BC" w:rsidRPr="001C4E96" w:rsidRDefault="008A66BC" w:rsidP="008A66BC">
      <w:pPr>
        <w:numPr>
          <w:ilvl w:val="0"/>
          <w:numId w:val="26"/>
        </w:numPr>
        <w:spacing w:before="120" w:after="120"/>
        <w:ind w:left="425" w:hanging="425"/>
        <w:jc w:val="both"/>
        <w:rPr>
          <w:b/>
          <w:bCs/>
          <w:lang w:eastAsia="bg-BG"/>
        </w:rPr>
      </w:pPr>
      <w:r w:rsidRPr="001C4E96">
        <w:rPr>
          <w:b/>
          <w:bCs/>
          <w:lang w:eastAsia="bg-BG"/>
        </w:rPr>
        <w:t>Нетният размер на трансферите по държавния бюджет</w:t>
      </w:r>
      <w:r w:rsidRPr="001C4E96">
        <w:rPr>
          <w:bCs/>
          <w:lang w:eastAsia="bg-BG"/>
        </w:rPr>
        <w:t xml:space="preserve">  за </w:t>
      </w:r>
      <w:r w:rsidRPr="001C4E96">
        <w:rPr>
          <w:lang w:eastAsia="bg-BG"/>
        </w:rPr>
        <w:t>2020 г.</w:t>
      </w:r>
      <w:r w:rsidRPr="001C4E96">
        <w:rPr>
          <w:bCs/>
          <w:lang w:eastAsia="bg-BG"/>
        </w:rPr>
        <w:t xml:space="preserve"> е</w:t>
      </w:r>
      <w:r w:rsidRPr="001C4E96">
        <w:rPr>
          <w:b/>
          <w:bCs/>
          <w:lang w:eastAsia="bg-BG"/>
        </w:rPr>
        <w:t xml:space="preserve"> </w:t>
      </w:r>
      <w:r w:rsidRPr="001C4E96">
        <w:rPr>
          <w:b/>
          <w:bCs/>
        </w:rPr>
        <w:t>14 939,1</w:t>
      </w:r>
      <w:r w:rsidRPr="001C4E96">
        <w:rPr>
          <w:rFonts w:eastAsia="Calibri"/>
          <w:b/>
        </w:rPr>
        <w:t> </w:t>
      </w:r>
      <w:r w:rsidRPr="001C4E96">
        <w:rPr>
          <w:b/>
          <w:bCs/>
          <w:lang w:eastAsia="bg-BG"/>
        </w:rPr>
        <w:t xml:space="preserve">млн. лв.,  </w:t>
      </w:r>
      <w:r w:rsidRPr="001C4E96">
        <w:rPr>
          <w:bCs/>
          <w:lang w:eastAsia="bg-BG"/>
        </w:rPr>
        <w:t>в т.ч.:</w:t>
      </w:r>
      <w:r w:rsidRPr="001C4E96">
        <w:rPr>
          <w:b/>
          <w:bCs/>
          <w:lang w:eastAsia="bg-BG"/>
        </w:rPr>
        <w:t xml:space="preserve"> </w:t>
      </w:r>
    </w:p>
    <w:p w:rsidR="008A66BC" w:rsidRPr="004B1466" w:rsidRDefault="008A66BC" w:rsidP="008A66BC">
      <w:pPr>
        <w:numPr>
          <w:ilvl w:val="0"/>
          <w:numId w:val="21"/>
        </w:numPr>
        <w:tabs>
          <w:tab w:val="clear" w:pos="700"/>
          <w:tab w:val="left" w:pos="180"/>
          <w:tab w:val="num" w:pos="1495"/>
          <w:tab w:val="num" w:pos="9858"/>
        </w:tabs>
        <w:ind w:left="538" w:hanging="357"/>
        <w:jc w:val="both"/>
        <w:rPr>
          <w:color w:val="0070C0"/>
          <w:lang w:eastAsia="bg-BG"/>
        </w:rPr>
      </w:pPr>
      <w:r w:rsidRPr="005A7978">
        <w:t xml:space="preserve">бюджетните  взаимоотношения  с  общините  включват  нето трансфери  </w:t>
      </w:r>
      <w:r w:rsidRPr="001033E1">
        <w:t xml:space="preserve">и временни безлихвени заеми </w:t>
      </w:r>
      <w:r w:rsidRPr="005A7978">
        <w:t>в  размер  на 5 469,3 млн. лв.,</w:t>
      </w:r>
      <w:r w:rsidRPr="001033E1">
        <w:t xml:space="preserve"> </w:t>
      </w:r>
      <w:r w:rsidRPr="005A7978">
        <w:t>от които субсидии от централния бюджет в размер на 4 428,5 млн. лв., други целеви трансфери от централния бюджет в размер на 647,0 млн. лв., нетни трансфери от/за други бюджети в размер на 399,0 млн. лв. и възстановени трансфери от предходни години в централния бюджет – 5,2 млн.</w:t>
      </w:r>
      <w:r w:rsidRPr="000D238B">
        <w:t xml:space="preserve"> лева</w:t>
      </w:r>
      <w:r w:rsidRPr="004B1466">
        <w:rPr>
          <w:color w:val="0070C0"/>
          <w:lang w:eastAsia="bg-BG"/>
        </w:rPr>
        <w:t>;</w:t>
      </w:r>
    </w:p>
    <w:p w:rsidR="008A66BC" w:rsidRPr="004B2A10" w:rsidRDefault="008A66BC" w:rsidP="008A66BC">
      <w:pPr>
        <w:numPr>
          <w:ilvl w:val="0"/>
          <w:numId w:val="21"/>
        </w:numPr>
        <w:tabs>
          <w:tab w:val="clear" w:pos="700"/>
          <w:tab w:val="left" w:pos="180"/>
          <w:tab w:val="num" w:pos="540"/>
          <w:tab w:val="num" w:pos="1495"/>
          <w:tab w:val="num" w:pos="9858"/>
        </w:tabs>
        <w:ind w:left="538" w:hanging="357"/>
        <w:jc w:val="both"/>
      </w:pPr>
      <w:r w:rsidRPr="004B2A10">
        <w:t>на социалноосигурителните</w:t>
      </w:r>
      <w:r w:rsidR="009B064C">
        <w:rPr>
          <w:lang w:val="en-US"/>
        </w:rPr>
        <w:t> </w:t>
      </w:r>
      <w:r w:rsidRPr="004B2A10">
        <w:t>фондове (нето) – 7</w:t>
      </w:r>
      <w:r>
        <w:t> 787,4</w:t>
      </w:r>
      <w:r w:rsidRPr="004B2A10">
        <w:t xml:space="preserve"> млн. лв.,</w:t>
      </w:r>
      <w:r w:rsidRPr="004B2A10">
        <w:rPr>
          <w:b/>
        </w:rPr>
        <w:t xml:space="preserve"> </w:t>
      </w:r>
      <w:r w:rsidRPr="004B2A10">
        <w:t>което представлява 10</w:t>
      </w:r>
      <w:r>
        <w:t>6,0</w:t>
      </w:r>
      <w:r w:rsidRPr="004B2A10">
        <w:t> % спрямо годишния разчет;</w:t>
      </w:r>
    </w:p>
    <w:p w:rsidR="008A66BC" w:rsidRPr="004B1466" w:rsidRDefault="008A66BC" w:rsidP="008A66BC">
      <w:pPr>
        <w:numPr>
          <w:ilvl w:val="0"/>
          <w:numId w:val="21"/>
        </w:numPr>
        <w:tabs>
          <w:tab w:val="clear" w:pos="700"/>
          <w:tab w:val="left" w:pos="180"/>
          <w:tab w:val="num" w:pos="1495"/>
          <w:tab w:val="num" w:pos="9858"/>
        </w:tabs>
        <w:ind w:left="538" w:hanging="357"/>
        <w:jc w:val="both"/>
        <w:rPr>
          <w:color w:val="0070C0"/>
          <w:lang w:eastAsia="bg-BG"/>
        </w:rPr>
      </w:pPr>
      <w:r w:rsidRPr="00A04F91">
        <w:t>на други автономни бюджети (ДВУ, БАН, ССА, БНТ, БНР и БТА) – 902,9 млн. лв., 118,7 % спрямо годишния разчет</w:t>
      </w:r>
      <w:r w:rsidRPr="004B1466">
        <w:rPr>
          <w:color w:val="0070C0"/>
          <w:lang w:eastAsia="bg-BG"/>
        </w:rPr>
        <w:t>.</w:t>
      </w:r>
    </w:p>
    <w:p w:rsidR="008A66BC" w:rsidRPr="009C4A8F" w:rsidRDefault="008A66BC" w:rsidP="008A66BC">
      <w:pPr>
        <w:numPr>
          <w:ilvl w:val="0"/>
          <w:numId w:val="6"/>
        </w:numPr>
        <w:tabs>
          <w:tab w:val="clear" w:pos="700"/>
          <w:tab w:val="left" w:pos="426"/>
        </w:tabs>
        <w:spacing w:before="120"/>
        <w:ind w:left="0" w:firstLine="0"/>
        <w:jc w:val="both"/>
        <w:rPr>
          <w:bCs/>
        </w:rPr>
      </w:pPr>
      <w:r w:rsidRPr="009C4A8F">
        <w:t>Частта от</w:t>
      </w:r>
      <w:r w:rsidRPr="009C4A8F">
        <w:rPr>
          <w:b/>
        </w:rPr>
        <w:t xml:space="preserve"> вноската на Република България в общия бюджет на ЕС, </w:t>
      </w:r>
      <w:r w:rsidRPr="009C4A8F">
        <w:t>изплатена през 2020 г. от централния бюджет, възлиза на</w:t>
      </w:r>
      <w:r w:rsidRPr="009C4A8F">
        <w:rPr>
          <w:b/>
        </w:rPr>
        <w:t xml:space="preserve"> 1 295,5 млн. лева.</w:t>
      </w:r>
      <w:r w:rsidRPr="009C4A8F">
        <w:t xml:space="preserve"> </w:t>
      </w:r>
    </w:p>
    <w:p w:rsidR="008A66BC" w:rsidRPr="009B30B7" w:rsidRDefault="008A66BC" w:rsidP="008A66BC">
      <w:pPr>
        <w:numPr>
          <w:ilvl w:val="0"/>
          <w:numId w:val="6"/>
        </w:numPr>
        <w:tabs>
          <w:tab w:val="clear" w:pos="700"/>
          <w:tab w:val="num" w:pos="426"/>
        </w:tabs>
        <w:spacing w:before="240" w:after="240"/>
        <w:ind w:left="0" w:firstLine="0"/>
        <w:jc w:val="both"/>
        <w:rPr>
          <w:sz w:val="16"/>
          <w:szCs w:val="16"/>
        </w:rPr>
      </w:pPr>
      <w:r w:rsidRPr="009B30B7">
        <w:rPr>
          <w:b/>
        </w:rPr>
        <w:t xml:space="preserve">Бюджетното салдо по държавния бюджет </w:t>
      </w:r>
      <w:r w:rsidRPr="009B30B7">
        <w:t xml:space="preserve">за 2020 г. </w:t>
      </w:r>
      <w:r w:rsidRPr="009B30B7">
        <w:rPr>
          <w:b/>
        </w:rPr>
        <w:t xml:space="preserve">е отрицателно </w:t>
      </w:r>
      <w:r w:rsidRPr="009B30B7">
        <w:t xml:space="preserve">в размер на </w:t>
      </w:r>
      <w:r w:rsidRPr="009B30B7">
        <w:rPr>
          <w:b/>
        </w:rPr>
        <w:t>4 134,1</w:t>
      </w:r>
      <w:r>
        <w:rPr>
          <w:b/>
        </w:rPr>
        <w:t> </w:t>
      </w:r>
      <w:r w:rsidRPr="009B30B7">
        <w:rPr>
          <w:b/>
        </w:rPr>
        <w:t>млн. лева.</w:t>
      </w:r>
      <w:r w:rsidRPr="009B30B7">
        <w:t xml:space="preserve"> </w:t>
      </w:r>
    </w:p>
    <w:p w:rsidR="008A66BC" w:rsidRPr="00CC646E" w:rsidRDefault="008A66BC" w:rsidP="008A66BC">
      <w:pPr>
        <w:numPr>
          <w:ilvl w:val="0"/>
          <w:numId w:val="6"/>
        </w:numPr>
        <w:tabs>
          <w:tab w:val="clear" w:pos="700"/>
          <w:tab w:val="num" w:pos="426"/>
          <w:tab w:val="num" w:pos="786"/>
        </w:tabs>
        <w:spacing w:before="240" w:after="240"/>
        <w:ind w:left="0" w:firstLine="0"/>
        <w:jc w:val="both"/>
        <w:rPr>
          <w:b/>
          <w:lang w:eastAsia="bg-BG"/>
        </w:rPr>
      </w:pPr>
      <w:r w:rsidRPr="00CC646E">
        <w:rPr>
          <w:b/>
          <w:lang w:eastAsia="bg-BG"/>
        </w:rPr>
        <w:t>Финансиране на бюджета чрез операции по дълга</w:t>
      </w:r>
    </w:p>
    <w:p w:rsidR="008A66BC" w:rsidRPr="001033E1" w:rsidRDefault="008A66BC" w:rsidP="008A66BC">
      <w:pPr>
        <w:spacing w:after="120"/>
        <w:jc w:val="both"/>
      </w:pPr>
      <w:r w:rsidRPr="005F3305">
        <w:t xml:space="preserve">Към 31.12.2020 г. е отчетено положително нетно външно финансиране по централния бюджет в размер на </w:t>
      </w:r>
      <w:r w:rsidRPr="001033E1">
        <w:t>5</w:t>
      </w:r>
      <w:r w:rsidRPr="005F3305">
        <w:rPr>
          <w:lang w:val="en-US"/>
        </w:rPr>
        <w:t> </w:t>
      </w:r>
      <w:r w:rsidRPr="005F3305">
        <w:t>410,0 млн. лева</w:t>
      </w:r>
      <w:r w:rsidRPr="001033E1">
        <w:t xml:space="preserve"> (</w:t>
      </w:r>
      <w:r w:rsidRPr="005F3305">
        <w:t xml:space="preserve">в т. ч. </w:t>
      </w:r>
      <w:r w:rsidRPr="001033E1">
        <w:t>0</w:t>
      </w:r>
      <w:r w:rsidRPr="005F3305">
        <w:t>,</w:t>
      </w:r>
      <w:r w:rsidRPr="001033E1">
        <w:t>9</w:t>
      </w:r>
      <w:r w:rsidRPr="005F3305">
        <w:t xml:space="preserve"> млн. лв. п</w:t>
      </w:r>
      <w:r w:rsidRPr="001033E1">
        <w:t xml:space="preserve">олучени погашения по </w:t>
      </w:r>
      <w:r w:rsidRPr="00BC7492">
        <w:t>предоставени кредити на други държави</w:t>
      </w:r>
      <w:r w:rsidRPr="001033E1">
        <w:t>)</w:t>
      </w:r>
      <w:r w:rsidRPr="00BC7492">
        <w:t>.</w:t>
      </w:r>
    </w:p>
    <w:p w:rsidR="008A66BC" w:rsidRPr="00AC599F" w:rsidRDefault="008A66BC" w:rsidP="008A66BC">
      <w:pPr>
        <w:spacing w:after="120"/>
        <w:jc w:val="both"/>
      </w:pPr>
      <w:r w:rsidRPr="00BC7492">
        <w:t xml:space="preserve">На 23 септември 2020 г. </w:t>
      </w:r>
      <w:proofErr w:type="gramStart"/>
      <w:r w:rsidRPr="00BC7492">
        <w:rPr>
          <w:lang w:val="en-US"/>
        </w:rPr>
        <w:t>e</w:t>
      </w:r>
      <w:proofErr w:type="gramEnd"/>
      <w:r w:rsidRPr="001033E1">
        <w:t xml:space="preserve"> </w:t>
      </w:r>
      <w:r w:rsidRPr="00BC7492">
        <w:t>осъществено успешно емитиране на облигации на международните капиталови пазари</w:t>
      </w:r>
      <w:r w:rsidRPr="001033E1">
        <w:t xml:space="preserve"> (</w:t>
      </w:r>
      <w:r w:rsidRPr="00BC7492">
        <w:t>МКП</w:t>
      </w:r>
      <w:r w:rsidRPr="001033E1">
        <w:t>)</w:t>
      </w:r>
      <w:r w:rsidRPr="00BC7492">
        <w:t xml:space="preserve"> в общ размер на 2 500,0 млн. евро </w:t>
      </w:r>
      <w:r w:rsidRPr="001033E1">
        <w:t>(</w:t>
      </w:r>
      <w:r w:rsidRPr="00BC7492">
        <w:t>в т.ч. 10-годишни в обем 1 250,0 млн. евро номинална стойност, 30-годишни – 1 250,0 млн. евро номинална стойност</w:t>
      </w:r>
      <w:r w:rsidRPr="001033E1">
        <w:t>)</w:t>
      </w:r>
      <w:r w:rsidRPr="00BC7492">
        <w:t xml:space="preserve">. </w:t>
      </w:r>
      <w:r w:rsidRPr="00AC599F">
        <w:t>Постъпленията по централния бюджет от емисиите на МКП възлизат на 4 826,7 млн. лв.</w:t>
      </w:r>
    </w:p>
    <w:p w:rsidR="008A66BC" w:rsidRPr="00236C26" w:rsidRDefault="008A66BC" w:rsidP="008A66BC">
      <w:pPr>
        <w:spacing w:after="120"/>
        <w:jc w:val="both"/>
        <w:rPr>
          <w:lang w:val="en-US"/>
        </w:rPr>
      </w:pPr>
      <w:r w:rsidRPr="00AC599F">
        <w:t xml:space="preserve">През отчетния период по централния бюджет са </w:t>
      </w:r>
      <w:r w:rsidRPr="00AC599F">
        <w:rPr>
          <w:b/>
          <w:i/>
        </w:rPr>
        <w:t>усвоени</w:t>
      </w:r>
      <w:r w:rsidRPr="00AC599F">
        <w:t xml:space="preserve"> 782,3 млн. лв. по заеми от чужбина. </w:t>
      </w:r>
      <w:r w:rsidRPr="00236C26">
        <w:t>Средствата са усвоени, както следва</w:t>
      </w:r>
      <w:r w:rsidRPr="00236C26">
        <w:rPr>
          <w:lang w:val="en-US"/>
        </w:rPr>
        <w:t>:</w:t>
      </w:r>
    </w:p>
    <w:p w:rsidR="008A66BC" w:rsidRPr="00236C26" w:rsidRDefault="008A66BC" w:rsidP="008A66BC">
      <w:pPr>
        <w:numPr>
          <w:ilvl w:val="0"/>
          <w:numId w:val="27"/>
        </w:numPr>
        <w:tabs>
          <w:tab w:val="left" w:pos="1134"/>
        </w:tabs>
        <w:spacing w:after="60"/>
        <w:ind w:left="0" w:firstLine="851"/>
        <w:jc w:val="both"/>
      </w:pPr>
      <w:r w:rsidRPr="00236C26">
        <w:t xml:space="preserve">300,0 млн. евро (586,7 млн. лв.) на три транша (3, 4 и 5) от по 100,0 млн. евро – по </w:t>
      </w:r>
      <w:r w:rsidRPr="00236C26">
        <w:rPr>
          <w:rFonts w:cs="Arial"/>
        </w:rPr>
        <w:t>Финансов договор между Република България и Европейската инвестиционна банка за финансиране на проект „България – съфинансиране по Фондовете на ЕС 2014 – 2020 г. (СПЗ)</w:t>
      </w:r>
      <w:r w:rsidRPr="00236C26">
        <w:rPr>
          <w:rStyle w:val="FootnoteReference"/>
          <w:rFonts w:cs="Arial"/>
        </w:rPr>
        <w:footnoteReference w:id="11"/>
      </w:r>
      <w:r w:rsidRPr="00236C26">
        <w:rPr>
          <w:rFonts w:cs="Arial"/>
        </w:rPr>
        <w:t>“</w:t>
      </w:r>
      <w:r w:rsidRPr="00236C26">
        <w:t xml:space="preserve"> </w:t>
      </w:r>
    </w:p>
    <w:p w:rsidR="008A66BC" w:rsidRPr="00236C26" w:rsidRDefault="008A66BC" w:rsidP="008A66BC">
      <w:pPr>
        <w:numPr>
          <w:ilvl w:val="0"/>
          <w:numId w:val="27"/>
        </w:numPr>
        <w:tabs>
          <w:tab w:val="left" w:pos="1134"/>
        </w:tabs>
        <w:spacing w:after="60"/>
        <w:ind w:left="0" w:firstLine="851"/>
        <w:jc w:val="both"/>
      </w:pPr>
      <w:r w:rsidRPr="00236C26">
        <w:t>100,0 млн. евро (195,6 млн. лв.) - трети транш по Рамково споразумение за заем между Банката за развитие на Съвета на Европа и Република България, Механизъм за съфинансиране на проекти, изпълнявани със средства от ЕС по оперативните програми, съфинансирани от Европейските структурни и инвестиционни фондове за програмния период 2014-2020 г.</w:t>
      </w:r>
    </w:p>
    <w:p w:rsidR="008A66BC" w:rsidRPr="001033E1" w:rsidRDefault="008A66BC" w:rsidP="008A66BC">
      <w:pPr>
        <w:tabs>
          <w:tab w:val="num" w:pos="900"/>
          <w:tab w:val="num" w:pos="1500"/>
        </w:tabs>
        <w:spacing w:before="120" w:after="60"/>
        <w:jc w:val="both"/>
      </w:pPr>
      <w:r w:rsidRPr="00B83188">
        <w:rPr>
          <w:b/>
          <w:i/>
        </w:rPr>
        <w:t>Извършените погашения</w:t>
      </w:r>
      <w:r w:rsidRPr="00B83188">
        <w:t xml:space="preserve"> по заеми от чужбина по централния бюджет възлизат на </w:t>
      </w:r>
      <w:r w:rsidRPr="00366370">
        <w:t>200,0 млн. лв. и са,</w:t>
      </w:r>
      <w:r w:rsidRPr="001033E1">
        <w:t xml:space="preserve"> </w:t>
      </w:r>
      <w:r w:rsidRPr="00366370">
        <w:t>както следва</w:t>
      </w:r>
      <w:r w:rsidRPr="001033E1">
        <w:t>:</w:t>
      </w:r>
    </w:p>
    <w:p w:rsidR="008A66BC" w:rsidRPr="00CC646E" w:rsidRDefault="008A66BC" w:rsidP="008A66BC">
      <w:pPr>
        <w:pStyle w:val="ListParagraph"/>
        <w:numPr>
          <w:ilvl w:val="0"/>
          <w:numId w:val="27"/>
        </w:numPr>
        <w:tabs>
          <w:tab w:val="num" w:pos="900"/>
          <w:tab w:val="num" w:pos="1134"/>
        </w:tabs>
        <w:spacing w:before="120" w:after="0" w:line="240" w:lineRule="auto"/>
        <w:ind w:left="1276" w:hanging="425"/>
        <w:contextualSpacing w:val="0"/>
        <w:rPr>
          <w:rFonts w:ascii="Times New Roman" w:hAnsi="Times New Roman"/>
        </w:rPr>
      </w:pPr>
      <w:r w:rsidRPr="001033E1">
        <w:rPr>
          <w:rFonts w:ascii="Times New Roman" w:hAnsi="Times New Roman"/>
        </w:rPr>
        <w:t xml:space="preserve"> </w:t>
      </w:r>
      <w:r w:rsidRPr="00CC646E">
        <w:rPr>
          <w:rFonts w:ascii="Times New Roman" w:hAnsi="Times New Roman"/>
        </w:rPr>
        <w:t xml:space="preserve">95,3 млн. лв. към Международната банка за възстановяване и развитие; </w:t>
      </w:r>
    </w:p>
    <w:p w:rsidR="008A66BC" w:rsidRPr="00CC646E" w:rsidRDefault="008A66BC" w:rsidP="008A66BC">
      <w:pPr>
        <w:pStyle w:val="ListParagraph"/>
        <w:numPr>
          <w:ilvl w:val="0"/>
          <w:numId w:val="27"/>
        </w:numPr>
        <w:tabs>
          <w:tab w:val="num" w:pos="900"/>
          <w:tab w:val="left" w:pos="1134"/>
        </w:tabs>
        <w:spacing w:before="120" w:after="0" w:line="240" w:lineRule="auto"/>
        <w:ind w:left="993" w:hanging="142"/>
        <w:contextualSpacing w:val="0"/>
        <w:rPr>
          <w:rFonts w:ascii="Times New Roman" w:hAnsi="Times New Roman"/>
        </w:rPr>
      </w:pPr>
      <w:r w:rsidRPr="00CC646E">
        <w:rPr>
          <w:rFonts w:ascii="Times New Roman" w:hAnsi="Times New Roman"/>
        </w:rPr>
        <w:t xml:space="preserve"> 35,3 млн. лв. към Европейската инвестиционна банка;</w:t>
      </w:r>
    </w:p>
    <w:p w:rsidR="008A66BC" w:rsidRPr="00CC646E" w:rsidRDefault="008A66BC" w:rsidP="008A66BC">
      <w:pPr>
        <w:pStyle w:val="ListParagraph"/>
        <w:numPr>
          <w:ilvl w:val="0"/>
          <w:numId w:val="27"/>
        </w:numPr>
        <w:tabs>
          <w:tab w:val="num" w:pos="900"/>
          <w:tab w:val="left" w:pos="1134"/>
        </w:tabs>
        <w:spacing w:before="120" w:after="0" w:line="240" w:lineRule="auto"/>
        <w:ind w:left="993" w:hanging="142"/>
        <w:contextualSpacing w:val="0"/>
        <w:rPr>
          <w:rFonts w:ascii="Times New Roman" w:hAnsi="Times New Roman"/>
        </w:rPr>
      </w:pPr>
      <w:r w:rsidRPr="00CC646E">
        <w:rPr>
          <w:rFonts w:ascii="Times New Roman" w:hAnsi="Times New Roman"/>
        </w:rPr>
        <w:lastRenderedPageBreak/>
        <w:t xml:space="preserve"> 9,8 млн. лв. към Банка за развитие на Съвета на Европа;</w:t>
      </w:r>
    </w:p>
    <w:p w:rsidR="008A66BC" w:rsidRPr="00CC646E" w:rsidRDefault="008A66BC" w:rsidP="008A66BC">
      <w:pPr>
        <w:pStyle w:val="ListParagraph"/>
        <w:numPr>
          <w:ilvl w:val="0"/>
          <w:numId w:val="27"/>
        </w:numPr>
        <w:tabs>
          <w:tab w:val="num" w:pos="900"/>
          <w:tab w:val="left" w:pos="1134"/>
        </w:tabs>
        <w:spacing w:before="120" w:after="0" w:line="240" w:lineRule="auto"/>
        <w:ind w:left="993" w:hanging="142"/>
        <w:contextualSpacing w:val="0"/>
        <w:rPr>
          <w:rFonts w:ascii="Times New Roman" w:hAnsi="Times New Roman"/>
        </w:rPr>
      </w:pPr>
      <w:r w:rsidRPr="00CC646E">
        <w:rPr>
          <w:rFonts w:ascii="Times New Roman" w:hAnsi="Times New Roman"/>
        </w:rPr>
        <w:t>59,7 млн. лв. към Дойче Банк по заеми Schuldschein.</w:t>
      </w:r>
    </w:p>
    <w:p w:rsidR="008A66BC" w:rsidRPr="00366370" w:rsidRDefault="008A66BC" w:rsidP="008A66BC">
      <w:pPr>
        <w:spacing w:before="120" w:after="120"/>
        <w:jc w:val="both"/>
      </w:pPr>
      <w:r w:rsidRPr="00366370">
        <w:t xml:space="preserve">По </w:t>
      </w:r>
      <w:r w:rsidRPr="00366370">
        <w:rPr>
          <w:b/>
        </w:rPr>
        <w:t>държавните инвестиционни заеми</w:t>
      </w:r>
      <w:r w:rsidRPr="00366370">
        <w:t xml:space="preserve">, управлявани от министерства и ведомства, и ДИЗ с краен бенефициент търговско дружество през отчетния период няма </w:t>
      </w:r>
      <w:r w:rsidRPr="00366370">
        <w:rPr>
          <w:b/>
          <w:i/>
        </w:rPr>
        <w:t>усвоени</w:t>
      </w:r>
      <w:r w:rsidRPr="00366370">
        <w:t xml:space="preserve"> средства. През месец юли МРРБ е извършило възстановяване по сметка на Световна банка на неусвоена остатъчна сума по „Проект за развитие на общинската инфраструктура“, в размер на </w:t>
      </w:r>
      <w:r w:rsidRPr="001033E1">
        <w:t>(</w:t>
      </w:r>
      <w:r w:rsidRPr="00366370">
        <w:t>-1,8 млн. лв.</w:t>
      </w:r>
      <w:r w:rsidRPr="001033E1">
        <w:t>)</w:t>
      </w:r>
      <w:r w:rsidRPr="00366370">
        <w:t>.</w:t>
      </w:r>
    </w:p>
    <w:p w:rsidR="008A66BC" w:rsidRPr="00472F34" w:rsidRDefault="008A66BC" w:rsidP="008A66BC">
      <w:pPr>
        <w:spacing w:after="120"/>
        <w:jc w:val="both"/>
      </w:pPr>
      <w:r w:rsidRPr="00472F34">
        <w:rPr>
          <w:b/>
          <w:i/>
        </w:rPr>
        <w:t>Изплатените погашения</w:t>
      </w:r>
      <w:r w:rsidRPr="00472F34">
        <w:t xml:space="preserve"> по ДИЗ, управлявани от министерства и ведомства, са в размер на 129,4 млн. лв. По заемите с краен бенефициент търговско дружество извършените погашения са в размер на 19,7 млн. лева.</w:t>
      </w:r>
    </w:p>
    <w:p w:rsidR="008A66BC" w:rsidRPr="00667409" w:rsidRDefault="008A66BC" w:rsidP="008A66BC">
      <w:pPr>
        <w:spacing w:after="120"/>
        <w:jc w:val="both"/>
      </w:pPr>
      <w:r w:rsidRPr="00667409">
        <w:t>Не са използвани средства, предвидени за покриване на риска от активиране на държавни гаранции.</w:t>
      </w:r>
    </w:p>
    <w:p w:rsidR="008A66BC" w:rsidRPr="00C33FE6" w:rsidRDefault="008A66BC" w:rsidP="008A66BC">
      <w:pPr>
        <w:tabs>
          <w:tab w:val="left" w:pos="9356"/>
        </w:tabs>
        <w:spacing w:after="60"/>
        <w:jc w:val="both"/>
      </w:pPr>
      <w:r w:rsidRPr="00C33FE6">
        <w:t xml:space="preserve">Операции с </w:t>
      </w:r>
      <w:r w:rsidRPr="00C33FE6">
        <w:rPr>
          <w:b/>
        </w:rPr>
        <w:t xml:space="preserve">държавни ценни книжа </w:t>
      </w:r>
      <w:r w:rsidRPr="00C33FE6">
        <w:t xml:space="preserve">по централния бюджет </w:t>
      </w:r>
      <w:r w:rsidRPr="00C33FE6">
        <w:rPr>
          <w:b/>
        </w:rPr>
        <w:t>(позиция във вътрешното финансиране):</w:t>
      </w:r>
      <w:r w:rsidRPr="00C33FE6">
        <w:t xml:space="preserve"> </w:t>
      </w:r>
    </w:p>
    <w:p w:rsidR="008A66BC" w:rsidRPr="00410E4A" w:rsidRDefault="008A66BC" w:rsidP="008A66BC">
      <w:pPr>
        <w:tabs>
          <w:tab w:val="left" w:pos="9356"/>
        </w:tabs>
        <w:spacing w:after="60"/>
        <w:jc w:val="both"/>
      </w:pPr>
      <w:r w:rsidRPr="00C33FE6">
        <w:t xml:space="preserve">В края на месец декември 2020 г. е реализирано положително нетно вътрешно финансиране на бюджета с държавни ценни книжа (ДЦК) в размер на 184,9 млн. лева. Общият размер на постъпленията от емисии на ДЦК е 1 197,7 млн. лв. или са емитирани 1 200,0 млн. лв. ДЦК на обща номинална стойност, както следва: петгодишни облигации в обем 600 млн. лв. номинална стойност и облигации с матуритет десет години и 6 месеца с номинална стойност </w:t>
      </w:r>
      <w:r w:rsidRPr="00410E4A">
        <w:t>600 млн. лева. През месец декември не са провеждани аукциони.</w:t>
      </w:r>
    </w:p>
    <w:p w:rsidR="008A66BC" w:rsidRPr="00410E4A" w:rsidRDefault="008A66BC" w:rsidP="008A66BC">
      <w:pPr>
        <w:spacing w:after="60"/>
        <w:jc w:val="both"/>
      </w:pPr>
      <w:r w:rsidRPr="00410E4A">
        <w:t>Отчетените погашения за периода са в размер на 1 012,8 млн.</w:t>
      </w:r>
      <w:r w:rsidRPr="001033E1">
        <w:t xml:space="preserve"> </w:t>
      </w:r>
      <w:r w:rsidRPr="00410E4A">
        <w:t>лв., в т.ч. през януари 2020 г. МФ погаси емисия 7-годишни ДЦК от 2013 г. в обем от 165 млн. евро (322,7 млн. лв.); през февруари 2020 г. е изплатена емисия 5-годишни ДЦК от 2015 г. в размер на 400 млн. лв. номинална стойност.; през юли 2020 г. е изплатена емисия 10-годишни ДЦК от 2010 г. в обем на 290,1 млн. лева.</w:t>
      </w:r>
    </w:p>
    <w:p w:rsidR="008A66BC" w:rsidRPr="00473CCA" w:rsidRDefault="008A66BC" w:rsidP="008A66BC">
      <w:pPr>
        <w:pStyle w:val="Heading1"/>
        <w:numPr>
          <w:ilvl w:val="1"/>
          <w:numId w:val="10"/>
        </w:numPr>
        <w:tabs>
          <w:tab w:val="left" w:pos="993"/>
        </w:tabs>
        <w:spacing w:before="240" w:after="120"/>
        <w:ind w:left="709" w:right="-108" w:hanging="142"/>
        <w:jc w:val="both"/>
        <w:rPr>
          <w:sz w:val="24"/>
        </w:rPr>
      </w:pPr>
      <w:r w:rsidRPr="00473CCA">
        <w:rPr>
          <w:sz w:val="24"/>
        </w:rPr>
        <w:t>Бюджет на съдебната власт</w:t>
      </w:r>
    </w:p>
    <w:p w:rsidR="008A66BC" w:rsidRPr="00D16A1A" w:rsidRDefault="008A66BC" w:rsidP="008A66BC">
      <w:pPr>
        <w:ind w:firstLine="567"/>
        <w:jc w:val="both"/>
      </w:pPr>
      <w:r w:rsidRPr="00473CCA">
        <w:t xml:space="preserve">Със ЗДБРБ за 2020 г. са предвидени общо </w:t>
      </w:r>
      <w:r w:rsidRPr="00473CCA">
        <w:rPr>
          <w:b/>
        </w:rPr>
        <w:t>приходи</w:t>
      </w:r>
      <w:r w:rsidRPr="00473CCA">
        <w:t xml:space="preserve"> по бюджета на съдебната власт в размер на 116,0 млн.</w:t>
      </w:r>
      <w:r w:rsidRPr="001033E1">
        <w:t xml:space="preserve"> </w:t>
      </w:r>
      <w:r w:rsidRPr="00473CCA">
        <w:t>лв., от тях 100,0 млн.</w:t>
      </w:r>
      <w:r w:rsidRPr="001033E1">
        <w:t xml:space="preserve"> </w:t>
      </w:r>
      <w:r w:rsidRPr="00473CCA">
        <w:t xml:space="preserve">лв. са приходи от съдебни такси. За 2020 г. са отчетени приходи в размер на 98,3 млн. лв. (84,7 % от </w:t>
      </w:r>
      <w:r w:rsidRPr="00F609AD">
        <w:t xml:space="preserve">планираните), от които 81,8 млн. лв. - приходи от съдебни такси. За сравнение, за 2019 г. са отчетени общо приходи в размер на 109,7 млн. лв. (94,6 </w:t>
      </w:r>
      <w:r w:rsidRPr="00D16A1A">
        <w:t>% от закона), от които 91,8 млн. лв. - приходи от съдебни такси.</w:t>
      </w:r>
    </w:p>
    <w:p w:rsidR="008A66BC" w:rsidRPr="0058351D" w:rsidRDefault="008A66BC" w:rsidP="008A66BC">
      <w:pPr>
        <w:ind w:firstLine="720"/>
        <w:jc w:val="both"/>
      </w:pPr>
      <w:r w:rsidRPr="00D16A1A">
        <w:rPr>
          <w:b/>
        </w:rPr>
        <w:t xml:space="preserve">Разходите </w:t>
      </w:r>
      <w:r w:rsidRPr="00D16A1A">
        <w:t>по бюджета на съдебната власт</w:t>
      </w:r>
      <w:r w:rsidRPr="00D16A1A">
        <w:rPr>
          <w:b/>
        </w:rPr>
        <w:t xml:space="preserve"> </w:t>
      </w:r>
      <w:r w:rsidRPr="00D16A1A">
        <w:t>за 2020 г.</w:t>
      </w:r>
      <w:r w:rsidRPr="00D16A1A">
        <w:rPr>
          <w:b/>
        </w:rPr>
        <w:t xml:space="preserve"> </w:t>
      </w:r>
      <w:r w:rsidRPr="00D16A1A">
        <w:t>са в размер на 760,4 млн. лв. или 98,6 </w:t>
      </w:r>
      <w:r w:rsidRPr="00EA42A3">
        <w:t xml:space="preserve">% от планираните за годината (771,3 млн. лв.). За сравнение, за 2019 г. са отчетени разходи в размер 693,7 млн. лв., които представляват 98,5 % от определените с годишния закон </w:t>
      </w:r>
      <w:r w:rsidRPr="006E08F0">
        <w:t>704,3 млн. лева. За 2020 г. с най-голям относителен дял от отчетените разходи са тези за персонал – 91,1 % (692,5 млн. лв.).</w:t>
      </w:r>
      <w:r>
        <w:t xml:space="preserve"> </w:t>
      </w:r>
      <w:r w:rsidRPr="0058351D">
        <w:t xml:space="preserve">През </w:t>
      </w:r>
      <w:r>
        <w:t>2020 г.</w:t>
      </w:r>
      <w:r w:rsidRPr="0058351D">
        <w:t xml:space="preserve"> бяха приети две </w:t>
      </w:r>
      <w:r>
        <w:t>постановления на МС</w:t>
      </w:r>
      <w:r w:rsidRPr="0058351D">
        <w:t>, с които се промениха разходите на Висшия съдебен съвет</w:t>
      </w:r>
      <w:r>
        <w:t xml:space="preserve"> - </w:t>
      </w:r>
      <w:r w:rsidRPr="0058351D">
        <w:t>завишение с 5,0 млн. лв. на основание ПМС № 33 от 28.02.2020 г. и намаление с 1,0 млн. лв. на основание ПМС № 347 от 09.12.2020</w:t>
      </w:r>
      <w:r>
        <w:t> </w:t>
      </w:r>
      <w:r w:rsidRPr="0058351D">
        <w:t>г.</w:t>
      </w:r>
    </w:p>
    <w:p w:rsidR="00F521AA" w:rsidRPr="005F542B" w:rsidRDefault="00F521AA" w:rsidP="00777CBA">
      <w:pPr>
        <w:pStyle w:val="Heading1"/>
        <w:numPr>
          <w:ilvl w:val="0"/>
          <w:numId w:val="10"/>
        </w:numPr>
        <w:spacing w:before="360" w:after="120"/>
        <w:ind w:left="748" w:right="-108" w:hanging="391"/>
        <w:jc w:val="both"/>
        <w:rPr>
          <w:color w:val="000000" w:themeColor="text1"/>
          <w:sz w:val="24"/>
        </w:rPr>
      </w:pPr>
      <w:r w:rsidRPr="005F542B">
        <w:rPr>
          <w:color w:val="000000" w:themeColor="text1"/>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5F542B" w:rsidRDefault="00F521AA" w:rsidP="00F521AA">
      <w:pPr>
        <w:pStyle w:val="Heading1"/>
        <w:numPr>
          <w:ilvl w:val="1"/>
          <w:numId w:val="10"/>
        </w:numPr>
        <w:spacing w:after="120"/>
        <w:ind w:left="788" w:right="-108" w:hanging="431"/>
        <w:jc w:val="both"/>
        <w:rPr>
          <w:color w:val="000000" w:themeColor="text1"/>
          <w:sz w:val="24"/>
        </w:rPr>
      </w:pPr>
      <w:r w:rsidRPr="005F542B">
        <w:rPr>
          <w:color w:val="000000" w:themeColor="text1"/>
          <w:sz w:val="24"/>
        </w:rPr>
        <w:t xml:space="preserve"> Сметка за Европейски средства на Разплащателна агенция към Държавен фонд „Земеделие” </w:t>
      </w:r>
    </w:p>
    <w:p w:rsidR="005A7FA3" w:rsidRPr="005F542B" w:rsidRDefault="005A7FA3" w:rsidP="00C4077C">
      <w:pPr>
        <w:numPr>
          <w:ilvl w:val="0"/>
          <w:numId w:val="23"/>
        </w:numPr>
        <w:tabs>
          <w:tab w:val="num" w:pos="540"/>
        </w:tabs>
        <w:spacing w:before="120" w:after="120" w:line="276" w:lineRule="auto"/>
        <w:contextualSpacing/>
        <w:jc w:val="both"/>
        <w:rPr>
          <w:b/>
          <w:color w:val="000000" w:themeColor="text1"/>
          <w:lang w:eastAsia="bg-BG"/>
        </w:rPr>
      </w:pPr>
      <w:r w:rsidRPr="005F542B">
        <w:rPr>
          <w:b/>
          <w:color w:val="000000" w:themeColor="text1"/>
          <w:lang w:eastAsia="bg-BG"/>
        </w:rPr>
        <w:t>Приходи</w:t>
      </w:r>
    </w:p>
    <w:p w:rsidR="005A7FA3" w:rsidRPr="00B81921" w:rsidRDefault="005A7FA3" w:rsidP="005A7FA3">
      <w:pPr>
        <w:ind w:firstLine="567"/>
        <w:jc w:val="both"/>
        <w:rPr>
          <w:color w:val="000000" w:themeColor="text1"/>
        </w:rPr>
      </w:pPr>
      <w:r w:rsidRPr="00B81921">
        <w:rPr>
          <w:color w:val="000000" w:themeColor="text1"/>
        </w:rPr>
        <w:t xml:space="preserve">За 2020 г. планираните приходи по утвърдените </w:t>
      </w:r>
      <w:r w:rsidR="00B81921" w:rsidRPr="00B81921">
        <w:rPr>
          <w:color w:val="000000" w:themeColor="text1"/>
        </w:rPr>
        <w:t xml:space="preserve">актуализирани </w:t>
      </w:r>
      <w:r w:rsidRPr="00B81921">
        <w:rPr>
          <w:color w:val="000000" w:themeColor="text1"/>
        </w:rPr>
        <w:t xml:space="preserve">годишни разчети на сметката за средства от Европейския съюз на Разплащателната агенция към ДФ „Земеделие” са в размер на </w:t>
      </w:r>
      <w:r w:rsidR="00B81921" w:rsidRPr="00B81921">
        <w:rPr>
          <w:color w:val="000000" w:themeColor="text1"/>
        </w:rPr>
        <w:t>403,0</w:t>
      </w:r>
      <w:r w:rsidRPr="00B81921">
        <w:rPr>
          <w:color w:val="000000" w:themeColor="text1"/>
        </w:rPr>
        <w:t xml:space="preserve"> млн. лева. Към 3</w:t>
      </w:r>
      <w:r w:rsidR="00B81921" w:rsidRPr="00B81921">
        <w:rPr>
          <w:color w:val="000000" w:themeColor="text1"/>
        </w:rPr>
        <w:t>1</w:t>
      </w:r>
      <w:r w:rsidRPr="00B81921">
        <w:rPr>
          <w:color w:val="000000" w:themeColor="text1"/>
        </w:rPr>
        <w:t>.</w:t>
      </w:r>
      <w:r w:rsidR="00B81921" w:rsidRPr="00B81921">
        <w:rPr>
          <w:color w:val="000000" w:themeColor="text1"/>
        </w:rPr>
        <w:t>12</w:t>
      </w:r>
      <w:r w:rsidRPr="00B81921">
        <w:rPr>
          <w:color w:val="000000" w:themeColor="text1"/>
        </w:rPr>
        <w:t xml:space="preserve">.2020 г. постъпленията са в размер на </w:t>
      </w:r>
      <w:r w:rsidR="00B81921" w:rsidRPr="00B81921">
        <w:rPr>
          <w:color w:val="000000" w:themeColor="text1"/>
        </w:rPr>
        <w:t>408,5</w:t>
      </w:r>
      <w:r w:rsidRPr="00B81921">
        <w:rPr>
          <w:color w:val="000000" w:themeColor="text1"/>
        </w:rPr>
        <w:t xml:space="preserve"> млн. лв., което представлява </w:t>
      </w:r>
      <w:r w:rsidR="00B81921" w:rsidRPr="00B81921">
        <w:rPr>
          <w:color w:val="000000" w:themeColor="text1"/>
        </w:rPr>
        <w:t>101,4</w:t>
      </w:r>
      <w:r w:rsidRPr="00B81921">
        <w:rPr>
          <w:color w:val="000000" w:themeColor="text1"/>
        </w:rPr>
        <w:t xml:space="preserve"> % </w:t>
      </w:r>
      <w:r w:rsidR="00B81921" w:rsidRPr="00B81921">
        <w:rPr>
          <w:color w:val="000000" w:themeColor="text1"/>
        </w:rPr>
        <w:t>спрямо</w:t>
      </w:r>
      <w:r w:rsidRPr="00B81921">
        <w:rPr>
          <w:color w:val="000000" w:themeColor="text1"/>
        </w:rPr>
        <w:t xml:space="preserve"> годишния план, при </w:t>
      </w:r>
      <w:r w:rsidR="00B81921" w:rsidRPr="00B81921">
        <w:rPr>
          <w:color w:val="000000" w:themeColor="text1"/>
        </w:rPr>
        <w:t>100,1</w:t>
      </w:r>
      <w:r w:rsidRPr="00B81921">
        <w:rPr>
          <w:color w:val="000000" w:themeColor="text1"/>
        </w:rPr>
        <w:t xml:space="preserve"> % изпълнение на годишния план за </w:t>
      </w:r>
      <w:r w:rsidRPr="00B81921">
        <w:rPr>
          <w:color w:val="000000" w:themeColor="text1"/>
        </w:rPr>
        <w:lastRenderedPageBreak/>
        <w:t xml:space="preserve">предходната година. </w:t>
      </w:r>
      <w:r w:rsidRPr="00B81921">
        <w:rPr>
          <w:rFonts w:eastAsiaTheme="minorHAnsi"/>
          <w:color w:val="000000" w:themeColor="text1"/>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rsidR="005A7FA3" w:rsidRPr="006B5103"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6B5103">
        <w:rPr>
          <w:b/>
          <w:i/>
          <w:color w:val="000000" w:themeColor="text1"/>
        </w:rPr>
        <w:t>Текущи помощи и дарения от Европейския съюз</w:t>
      </w:r>
    </w:p>
    <w:p w:rsidR="005A7FA3" w:rsidRPr="006B5103" w:rsidRDefault="005A7FA3" w:rsidP="005A7FA3">
      <w:pPr>
        <w:ind w:firstLine="567"/>
        <w:jc w:val="both"/>
        <w:rPr>
          <w:color w:val="000000" w:themeColor="text1"/>
        </w:rPr>
      </w:pPr>
      <w:r w:rsidRPr="006B5103">
        <w:rPr>
          <w:color w:val="000000" w:themeColor="text1"/>
        </w:rPr>
        <w:t xml:space="preserve">Общият размер на получените приходи, отчетени в „Текущи помощи и дарения от Европейския съюз“ </w:t>
      </w:r>
      <w:r w:rsidR="006B5103" w:rsidRPr="006B5103">
        <w:rPr>
          <w:color w:val="000000" w:themeColor="text1"/>
        </w:rPr>
        <w:t>з</w:t>
      </w:r>
      <w:r w:rsidRPr="006B5103">
        <w:rPr>
          <w:color w:val="000000" w:themeColor="text1"/>
        </w:rPr>
        <w:t xml:space="preserve">а 2020 г. е </w:t>
      </w:r>
      <w:r w:rsidR="006B5103" w:rsidRPr="006B5103">
        <w:rPr>
          <w:color w:val="000000" w:themeColor="text1"/>
        </w:rPr>
        <w:t>52,2</w:t>
      </w:r>
      <w:r w:rsidRPr="006B5103">
        <w:rPr>
          <w:color w:val="000000" w:themeColor="text1"/>
        </w:rPr>
        <w:t xml:space="preserve"> млн. лв. при планирани за годината средства в размер на </w:t>
      </w:r>
      <w:r w:rsidR="006B5103" w:rsidRPr="006B5103">
        <w:rPr>
          <w:color w:val="000000" w:themeColor="text1"/>
        </w:rPr>
        <w:t>45,5</w:t>
      </w:r>
      <w:r w:rsidRPr="006B5103">
        <w:rPr>
          <w:color w:val="000000" w:themeColor="text1"/>
        </w:rPr>
        <w:t xml:space="preserve"> млн. лева.</w:t>
      </w:r>
    </w:p>
    <w:p w:rsidR="005A7FA3" w:rsidRPr="005558B0" w:rsidRDefault="005A7FA3" w:rsidP="005A7FA3">
      <w:pPr>
        <w:ind w:firstLine="567"/>
        <w:jc w:val="both"/>
        <w:rPr>
          <w:color w:val="000000" w:themeColor="text1"/>
        </w:rPr>
      </w:pPr>
      <w:r w:rsidRPr="006B5103">
        <w:rPr>
          <w:color w:val="000000" w:themeColor="text1"/>
        </w:rPr>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w:t>
      </w:r>
      <w:r w:rsidR="006B5103" w:rsidRPr="006B5103">
        <w:rPr>
          <w:color w:val="000000" w:themeColor="text1"/>
        </w:rPr>
        <w:t>1</w:t>
      </w:r>
      <w:r w:rsidRPr="006B5103">
        <w:rPr>
          <w:color w:val="000000" w:themeColor="text1"/>
        </w:rPr>
        <w:t>.</w:t>
      </w:r>
      <w:r w:rsidR="006B5103" w:rsidRPr="006B5103">
        <w:rPr>
          <w:color w:val="000000" w:themeColor="text1"/>
        </w:rPr>
        <w:t>12</w:t>
      </w:r>
      <w:r w:rsidRPr="006B5103">
        <w:rPr>
          <w:color w:val="000000" w:themeColor="text1"/>
        </w:rPr>
        <w:t xml:space="preserve">.2020 г. са </w:t>
      </w:r>
      <w:r w:rsidR="006B5103" w:rsidRPr="006B5103">
        <w:rPr>
          <w:color w:val="000000" w:themeColor="text1"/>
        </w:rPr>
        <w:t>41,3</w:t>
      </w:r>
      <w:r w:rsidRPr="006B5103">
        <w:rPr>
          <w:color w:val="000000" w:themeColor="text1"/>
        </w:rPr>
        <w:t xml:space="preserve"> млн. лв., което е </w:t>
      </w:r>
      <w:r w:rsidR="006B5103" w:rsidRPr="006B5103">
        <w:rPr>
          <w:color w:val="000000" w:themeColor="text1"/>
        </w:rPr>
        <w:t>120,0</w:t>
      </w:r>
      <w:r w:rsidRPr="006B5103">
        <w:rPr>
          <w:color w:val="000000" w:themeColor="text1"/>
        </w:rPr>
        <w:t xml:space="preserve"> % </w:t>
      </w:r>
      <w:r w:rsidR="0025458F">
        <w:rPr>
          <w:color w:val="000000" w:themeColor="text1"/>
        </w:rPr>
        <w:t>спрямо</w:t>
      </w:r>
      <w:r w:rsidRPr="006B5103">
        <w:rPr>
          <w:color w:val="000000" w:themeColor="text1"/>
        </w:rPr>
        <w:t xml:space="preserve"> планираните за годината 34,</w:t>
      </w:r>
      <w:r w:rsidR="006B5103" w:rsidRPr="006B5103">
        <w:rPr>
          <w:color w:val="000000" w:themeColor="text1"/>
        </w:rPr>
        <w:t>4</w:t>
      </w:r>
      <w:r w:rsidRPr="006B5103">
        <w:rPr>
          <w:color w:val="000000" w:themeColor="text1"/>
        </w:rPr>
        <w:t xml:space="preserve"> млн. лева. За </w:t>
      </w:r>
      <w:r w:rsidRPr="005558B0">
        <w:rPr>
          <w:color w:val="000000" w:themeColor="text1"/>
        </w:rPr>
        <w:t xml:space="preserve">сравнение, изпълнението на плана за 2019 г. е </w:t>
      </w:r>
      <w:r w:rsidR="006B5103" w:rsidRPr="005558B0">
        <w:rPr>
          <w:color w:val="000000" w:themeColor="text1"/>
        </w:rPr>
        <w:t>116,4</w:t>
      </w:r>
      <w:r w:rsidRPr="005558B0">
        <w:rPr>
          <w:color w:val="000000" w:themeColor="text1"/>
        </w:rPr>
        <w:t xml:space="preserve"> процента.</w:t>
      </w:r>
    </w:p>
    <w:p w:rsidR="005A7FA3" w:rsidRPr="005558B0" w:rsidRDefault="005A7FA3" w:rsidP="005A7FA3">
      <w:pPr>
        <w:ind w:firstLine="567"/>
        <w:jc w:val="both"/>
        <w:rPr>
          <w:color w:val="000000" w:themeColor="text1"/>
        </w:rPr>
      </w:pPr>
      <w:r w:rsidRPr="005558B0">
        <w:rPr>
          <w:color w:val="000000" w:themeColor="text1"/>
        </w:rPr>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w:t>
      </w:r>
      <w:r w:rsidR="005558B0" w:rsidRPr="005558B0">
        <w:rPr>
          <w:color w:val="000000" w:themeColor="text1"/>
        </w:rPr>
        <w:t>1</w:t>
      </w:r>
      <w:r w:rsidRPr="005558B0">
        <w:rPr>
          <w:color w:val="000000" w:themeColor="text1"/>
        </w:rPr>
        <w:t>.</w:t>
      </w:r>
      <w:r w:rsidR="005558B0" w:rsidRPr="005558B0">
        <w:rPr>
          <w:color w:val="000000" w:themeColor="text1"/>
        </w:rPr>
        <w:t>12</w:t>
      </w:r>
      <w:r w:rsidRPr="005558B0">
        <w:rPr>
          <w:color w:val="000000" w:themeColor="text1"/>
        </w:rPr>
        <w:t xml:space="preserve">.2020 г. са </w:t>
      </w:r>
      <w:r w:rsidR="005558B0" w:rsidRPr="005558B0">
        <w:rPr>
          <w:color w:val="000000" w:themeColor="text1"/>
        </w:rPr>
        <w:t>7,0</w:t>
      </w:r>
      <w:r w:rsidRPr="005558B0">
        <w:rPr>
          <w:color w:val="000000" w:themeColor="text1"/>
        </w:rPr>
        <w:t xml:space="preserve"> млн. лв., което представлява </w:t>
      </w:r>
      <w:r w:rsidR="005558B0" w:rsidRPr="005558B0">
        <w:rPr>
          <w:color w:val="000000" w:themeColor="text1"/>
        </w:rPr>
        <w:t>97,2</w:t>
      </w:r>
      <w:r w:rsidRPr="005558B0">
        <w:rPr>
          <w:color w:val="000000" w:themeColor="text1"/>
        </w:rPr>
        <w:t xml:space="preserve"> % от планираните за годината </w:t>
      </w:r>
      <w:r w:rsidR="005558B0" w:rsidRPr="005558B0">
        <w:rPr>
          <w:color w:val="000000" w:themeColor="text1"/>
        </w:rPr>
        <w:t>7,2</w:t>
      </w:r>
      <w:r w:rsidRPr="005558B0">
        <w:rPr>
          <w:color w:val="000000" w:themeColor="text1"/>
        </w:rPr>
        <w:t xml:space="preserve"> млн. лева. За сравнение, за предходната година възстановените суми по това направление са </w:t>
      </w:r>
      <w:r w:rsidR="005558B0" w:rsidRPr="005558B0">
        <w:rPr>
          <w:color w:val="000000" w:themeColor="text1"/>
        </w:rPr>
        <w:t>100,0</w:t>
      </w:r>
      <w:r w:rsidRPr="005558B0">
        <w:rPr>
          <w:color w:val="000000" w:themeColor="text1"/>
        </w:rPr>
        <w:t xml:space="preserve"> % </w:t>
      </w:r>
      <w:r w:rsidR="005558B0" w:rsidRPr="005558B0">
        <w:rPr>
          <w:color w:val="000000" w:themeColor="text1"/>
        </w:rPr>
        <w:t>спрямо</w:t>
      </w:r>
      <w:r w:rsidRPr="005558B0">
        <w:rPr>
          <w:color w:val="000000" w:themeColor="text1"/>
        </w:rPr>
        <w:t xml:space="preserve"> годишния план. </w:t>
      </w:r>
    </w:p>
    <w:p w:rsidR="005A7FA3" w:rsidRPr="005558B0" w:rsidRDefault="005A7FA3" w:rsidP="005A7FA3">
      <w:pPr>
        <w:ind w:firstLine="567"/>
        <w:jc w:val="both"/>
        <w:rPr>
          <w:color w:val="000000" w:themeColor="text1"/>
        </w:rPr>
      </w:pPr>
      <w:r w:rsidRPr="005558B0">
        <w:rPr>
          <w:color w:val="000000" w:themeColor="text1"/>
        </w:rPr>
        <w:t xml:space="preserve">През 2020 г. са получени </w:t>
      </w:r>
      <w:r w:rsidR="005558B0" w:rsidRPr="005558B0">
        <w:rPr>
          <w:color w:val="000000" w:themeColor="text1"/>
        </w:rPr>
        <w:t>3,9</w:t>
      </w:r>
      <w:r w:rsidRPr="005558B0">
        <w:rPr>
          <w:color w:val="000000" w:themeColor="text1"/>
        </w:rPr>
        <w:t xml:space="preserve"> млн. лв. текущи приходи от възстановяване от Европейския фонд за морско дело и рибарство (ЕФМДР), което представлява </w:t>
      </w:r>
      <w:r w:rsidR="005558B0" w:rsidRPr="005558B0">
        <w:rPr>
          <w:color w:val="000000" w:themeColor="text1"/>
        </w:rPr>
        <w:t>изпълнение от 100,0</w:t>
      </w:r>
      <w:r w:rsidRPr="005558B0">
        <w:rPr>
          <w:color w:val="000000" w:themeColor="text1"/>
        </w:rPr>
        <w:t xml:space="preserve"> % </w:t>
      </w:r>
      <w:r w:rsidR="005558B0" w:rsidRPr="005558B0">
        <w:rPr>
          <w:color w:val="000000" w:themeColor="text1"/>
        </w:rPr>
        <w:t>на годишния план</w:t>
      </w:r>
      <w:r w:rsidRPr="005558B0">
        <w:rPr>
          <w:color w:val="000000" w:themeColor="text1"/>
        </w:rPr>
        <w:t xml:space="preserve">. За предходната година изпълнението е било </w:t>
      </w:r>
      <w:r w:rsidR="005558B0" w:rsidRPr="005558B0">
        <w:rPr>
          <w:color w:val="000000" w:themeColor="text1"/>
        </w:rPr>
        <w:t>100,</w:t>
      </w:r>
      <w:r w:rsidRPr="005558B0">
        <w:rPr>
          <w:color w:val="000000" w:themeColor="text1"/>
        </w:rPr>
        <w:t xml:space="preserve">0 %. </w:t>
      </w:r>
    </w:p>
    <w:p w:rsidR="005A7FA3" w:rsidRPr="007117FB"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7117FB">
        <w:rPr>
          <w:b/>
          <w:i/>
          <w:color w:val="000000" w:themeColor="text1"/>
        </w:rPr>
        <w:t>Капиталови помощи и дарения от Европейския съюз</w:t>
      </w:r>
    </w:p>
    <w:p w:rsidR="005A7FA3" w:rsidRPr="007117FB" w:rsidRDefault="005A7FA3" w:rsidP="005A7FA3">
      <w:pPr>
        <w:ind w:firstLine="567"/>
        <w:jc w:val="both"/>
        <w:rPr>
          <w:color w:val="000000" w:themeColor="text1"/>
        </w:rPr>
      </w:pPr>
      <w:r w:rsidRPr="007117FB">
        <w:rPr>
          <w:color w:val="000000" w:themeColor="text1"/>
        </w:rPr>
        <w:t>Общият размер на получените приходи, отчетени в „Капиталови помощи и дарения от Европейския съюз“ към 3</w:t>
      </w:r>
      <w:r w:rsidR="007117FB" w:rsidRPr="007117FB">
        <w:rPr>
          <w:color w:val="000000" w:themeColor="text1"/>
        </w:rPr>
        <w:t>1</w:t>
      </w:r>
      <w:r w:rsidRPr="007117FB">
        <w:rPr>
          <w:color w:val="000000" w:themeColor="text1"/>
        </w:rPr>
        <w:t>.</w:t>
      </w:r>
      <w:r w:rsidR="007117FB" w:rsidRPr="007117FB">
        <w:rPr>
          <w:color w:val="000000" w:themeColor="text1"/>
        </w:rPr>
        <w:t>12</w:t>
      </w:r>
      <w:r w:rsidRPr="007117FB">
        <w:rPr>
          <w:color w:val="000000" w:themeColor="text1"/>
        </w:rPr>
        <w:t xml:space="preserve">.2020 г. е </w:t>
      </w:r>
      <w:r w:rsidR="007117FB" w:rsidRPr="007117FB">
        <w:rPr>
          <w:color w:val="000000" w:themeColor="text1"/>
        </w:rPr>
        <w:t>362,6</w:t>
      </w:r>
      <w:r w:rsidRPr="007117FB">
        <w:rPr>
          <w:color w:val="000000" w:themeColor="text1"/>
        </w:rPr>
        <w:t xml:space="preserve"> млн. лв. при планирани за годината </w:t>
      </w:r>
      <w:r w:rsidR="007117FB" w:rsidRPr="007117FB">
        <w:rPr>
          <w:color w:val="000000" w:themeColor="text1"/>
        </w:rPr>
        <w:t>357,5</w:t>
      </w:r>
      <w:r w:rsidRPr="007117FB">
        <w:rPr>
          <w:color w:val="000000" w:themeColor="text1"/>
        </w:rPr>
        <w:t xml:space="preserve"> млн. лева.</w:t>
      </w:r>
    </w:p>
    <w:p w:rsidR="005A7FA3" w:rsidRPr="007117FB" w:rsidRDefault="005A7FA3" w:rsidP="005A7FA3">
      <w:pPr>
        <w:ind w:firstLine="567"/>
        <w:jc w:val="both"/>
        <w:rPr>
          <w:color w:val="000000" w:themeColor="text1"/>
        </w:rPr>
      </w:pPr>
      <w:r w:rsidRPr="007117FB">
        <w:rPr>
          <w:color w:val="000000" w:themeColor="text1"/>
        </w:rPr>
        <w:t xml:space="preserve">Получените капиталови приходи от ЕЗФРСР по линия на ПРСР без директни плащания </w:t>
      </w:r>
      <w:r w:rsidR="007117FB" w:rsidRPr="007117FB">
        <w:rPr>
          <w:color w:val="000000" w:themeColor="text1"/>
        </w:rPr>
        <w:t>за</w:t>
      </w:r>
      <w:r w:rsidRPr="007117FB">
        <w:rPr>
          <w:color w:val="000000" w:themeColor="text1"/>
        </w:rPr>
        <w:t xml:space="preserve"> 2020 г. са </w:t>
      </w:r>
      <w:r w:rsidR="007117FB" w:rsidRPr="007117FB">
        <w:rPr>
          <w:color w:val="000000" w:themeColor="text1"/>
        </w:rPr>
        <w:t>344,2</w:t>
      </w:r>
      <w:r w:rsidRPr="007117FB">
        <w:rPr>
          <w:color w:val="000000" w:themeColor="text1"/>
        </w:rPr>
        <w:t xml:space="preserve"> млн. лв., което е </w:t>
      </w:r>
      <w:r w:rsidR="007117FB" w:rsidRPr="007117FB">
        <w:rPr>
          <w:color w:val="000000" w:themeColor="text1"/>
        </w:rPr>
        <w:t>101,9</w:t>
      </w:r>
      <w:r w:rsidRPr="007117FB">
        <w:rPr>
          <w:color w:val="000000" w:themeColor="text1"/>
        </w:rPr>
        <w:t xml:space="preserve">  % </w:t>
      </w:r>
      <w:r w:rsidR="007117FB" w:rsidRPr="007117FB">
        <w:rPr>
          <w:color w:val="000000" w:themeColor="text1"/>
        </w:rPr>
        <w:t>спрямо</w:t>
      </w:r>
      <w:r w:rsidRPr="007117FB">
        <w:rPr>
          <w:color w:val="000000" w:themeColor="text1"/>
        </w:rPr>
        <w:t xml:space="preserve"> годишния план (</w:t>
      </w:r>
      <w:r w:rsidR="007117FB" w:rsidRPr="007117FB">
        <w:rPr>
          <w:color w:val="000000" w:themeColor="text1"/>
        </w:rPr>
        <w:t>337,8</w:t>
      </w:r>
      <w:r w:rsidRPr="007117FB">
        <w:rPr>
          <w:color w:val="000000" w:themeColor="text1"/>
        </w:rPr>
        <w:t xml:space="preserve"> млн. лв.). За сравнение, през 2019 г. са получени </w:t>
      </w:r>
      <w:r w:rsidR="007117FB" w:rsidRPr="007117FB">
        <w:rPr>
          <w:color w:val="000000" w:themeColor="text1"/>
        </w:rPr>
        <w:t>354,5</w:t>
      </w:r>
      <w:r w:rsidRPr="007117FB">
        <w:rPr>
          <w:color w:val="000000" w:themeColor="text1"/>
        </w:rPr>
        <w:t xml:space="preserve"> млн. лева.</w:t>
      </w:r>
    </w:p>
    <w:p w:rsidR="005A7FA3" w:rsidRPr="007117FB" w:rsidRDefault="005A7FA3" w:rsidP="005A7FA3">
      <w:pPr>
        <w:ind w:firstLine="567"/>
        <w:jc w:val="both"/>
        <w:rPr>
          <w:color w:val="000000" w:themeColor="text1"/>
        </w:rPr>
      </w:pPr>
      <w:r w:rsidRPr="007117FB">
        <w:rPr>
          <w:color w:val="000000" w:themeColor="text1"/>
        </w:rPr>
        <w:t>През 2020 г. са  получени капиталови приходи в размер на 18,</w:t>
      </w:r>
      <w:r w:rsidR="007117FB" w:rsidRPr="007117FB">
        <w:rPr>
          <w:color w:val="000000" w:themeColor="text1"/>
        </w:rPr>
        <w:t>4</w:t>
      </w:r>
      <w:r w:rsidRPr="007117FB">
        <w:rPr>
          <w:color w:val="000000" w:themeColor="text1"/>
        </w:rPr>
        <w:t xml:space="preserve"> млн. лв. </w:t>
      </w:r>
      <w:r w:rsidRPr="007117FB">
        <w:rPr>
          <w:rFonts w:eastAsiaTheme="minorHAnsi"/>
          <w:color w:val="000000" w:themeColor="text1"/>
        </w:rPr>
        <w:t>от фонд ЕФМДР</w:t>
      </w:r>
      <w:r w:rsidRPr="007117FB">
        <w:rPr>
          <w:color w:val="000000" w:themeColor="text1"/>
        </w:rPr>
        <w:t xml:space="preserve"> при планирани за годината </w:t>
      </w:r>
      <w:r w:rsidR="007117FB" w:rsidRPr="007117FB">
        <w:rPr>
          <w:color w:val="000000" w:themeColor="text1"/>
        </w:rPr>
        <w:t>19,7</w:t>
      </w:r>
      <w:r w:rsidRPr="007117FB">
        <w:rPr>
          <w:color w:val="000000" w:themeColor="text1"/>
        </w:rPr>
        <w:t xml:space="preserve"> млн. лв., което е </w:t>
      </w:r>
      <w:r w:rsidR="007117FB" w:rsidRPr="007117FB">
        <w:rPr>
          <w:color w:val="000000" w:themeColor="text1"/>
        </w:rPr>
        <w:t>93,4</w:t>
      </w:r>
      <w:r w:rsidRPr="007117FB">
        <w:rPr>
          <w:rFonts w:eastAsiaTheme="minorHAnsi"/>
          <w:color w:val="000000" w:themeColor="text1"/>
        </w:rPr>
        <w:t xml:space="preserve"> % изпълнение на плана за годината. </w:t>
      </w:r>
      <w:r w:rsidRPr="007117FB">
        <w:rPr>
          <w:color w:val="000000" w:themeColor="text1"/>
        </w:rPr>
        <w:t xml:space="preserve">За сравнение, изпълнението на годишния план </w:t>
      </w:r>
      <w:r w:rsidR="007117FB" w:rsidRPr="007117FB">
        <w:rPr>
          <w:color w:val="000000" w:themeColor="text1"/>
        </w:rPr>
        <w:t xml:space="preserve">за </w:t>
      </w:r>
      <w:r w:rsidRPr="007117FB">
        <w:rPr>
          <w:color w:val="000000" w:themeColor="text1"/>
        </w:rPr>
        <w:t xml:space="preserve">2019 г. е </w:t>
      </w:r>
      <w:r w:rsidR="007117FB" w:rsidRPr="007117FB">
        <w:rPr>
          <w:color w:val="000000" w:themeColor="text1"/>
        </w:rPr>
        <w:t>100,0</w:t>
      </w:r>
      <w:r w:rsidRPr="007117FB">
        <w:rPr>
          <w:color w:val="000000" w:themeColor="text1"/>
        </w:rPr>
        <w:t xml:space="preserve"> процента.</w:t>
      </w:r>
    </w:p>
    <w:p w:rsidR="005A7FA3" w:rsidRPr="007117FB" w:rsidRDefault="005A7FA3" w:rsidP="00C4077C">
      <w:pPr>
        <w:numPr>
          <w:ilvl w:val="0"/>
          <w:numId w:val="22"/>
        </w:numPr>
        <w:tabs>
          <w:tab w:val="left" w:pos="993"/>
        </w:tabs>
        <w:spacing w:before="120" w:after="120"/>
        <w:ind w:left="1321" w:firstLine="567"/>
        <w:jc w:val="both"/>
        <w:rPr>
          <w:b/>
          <w:i/>
          <w:color w:val="000000" w:themeColor="text1"/>
        </w:rPr>
      </w:pPr>
      <w:r w:rsidRPr="007117FB">
        <w:rPr>
          <w:b/>
          <w:i/>
          <w:color w:val="000000" w:themeColor="text1"/>
        </w:rPr>
        <w:t>Приходи от наказателни лихви</w:t>
      </w:r>
    </w:p>
    <w:p w:rsidR="005A7FA3" w:rsidRPr="00D65CE3" w:rsidRDefault="005A7FA3" w:rsidP="005A7FA3">
      <w:pPr>
        <w:tabs>
          <w:tab w:val="left" w:pos="993"/>
        </w:tabs>
        <w:spacing w:before="120" w:after="120"/>
        <w:ind w:firstLine="567"/>
        <w:jc w:val="both"/>
        <w:rPr>
          <w:color w:val="000000" w:themeColor="text1"/>
        </w:rPr>
      </w:pPr>
      <w:r w:rsidRPr="00D65CE3">
        <w:rPr>
          <w:color w:val="000000" w:themeColor="text1"/>
        </w:rPr>
        <w:t>През 2020 г. са отчетени приходи от получени наказателни лихви, свързани с вземания за възстановяване на средства от ЕК в размер на 0,</w:t>
      </w:r>
      <w:r w:rsidR="00D65CE3" w:rsidRPr="00D65CE3">
        <w:rPr>
          <w:color w:val="000000" w:themeColor="text1"/>
        </w:rPr>
        <w:t>3</w:t>
      </w:r>
      <w:r w:rsidRPr="00D65CE3">
        <w:rPr>
          <w:color w:val="000000" w:themeColor="text1"/>
        </w:rPr>
        <w:t xml:space="preserve"> млн. лева.</w:t>
      </w:r>
    </w:p>
    <w:p w:rsidR="005A7FA3" w:rsidRPr="00D65CE3" w:rsidRDefault="005A7FA3" w:rsidP="00C4077C">
      <w:pPr>
        <w:numPr>
          <w:ilvl w:val="0"/>
          <w:numId w:val="22"/>
        </w:numPr>
        <w:tabs>
          <w:tab w:val="left" w:pos="993"/>
        </w:tabs>
        <w:spacing w:before="120" w:after="120"/>
        <w:ind w:left="1321" w:firstLine="567"/>
        <w:jc w:val="both"/>
        <w:rPr>
          <w:b/>
          <w:i/>
          <w:color w:val="000000" w:themeColor="text1"/>
        </w:rPr>
      </w:pPr>
      <w:r w:rsidRPr="00D65CE3">
        <w:rPr>
          <w:b/>
          <w:i/>
          <w:color w:val="000000" w:themeColor="text1"/>
        </w:rPr>
        <w:t xml:space="preserve">Коректив на касови постъпления </w:t>
      </w:r>
    </w:p>
    <w:p w:rsidR="005A7FA3" w:rsidRPr="00D65CE3" w:rsidRDefault="005A7FA3" w:rsidP="005A7FA3">
      <w:pPr>
        <w:tabs>
          <w:tab w:val="left" w:pos="993"/>
        </w:tabs>
        <w:spacing w:before="120" w:after="120"/>
        <w:ind w:firstLine="567"/>
        <w:jc w:val="both"/>
        <w:rPr>
          <w:bCs/>
          <w:iCs/>
          <w:color w:val="000000" w:themeColor="text1"/>
        </w:rPr>
      </w:pPr>
      <w:r w:rsidRPr="00D65CE3">
        <w:rPr>
          <w:bCs/>
          <w:iCs/>
          <w:color w:val="000000" w:themeColor="text1"/>
        </w:rPr>
        <w:t>Към 3</w:t>
      </w:r>
      <w:r w:rsidR="00D65CE3" w:rsidRPr="00D65CE3">
        <w:rPr>
          <w:bCs/>
          <w:iCs/>
          <w:color w:val="000000" w:themeColor="text1"/>
        </w:rPr>
        <w:t>1</w:t>
      </w:r>
      <w:r w:rsidRPr="00D65CE3">
        <w:rPr>
          <w:bCs/>
          <w:iCs/>
          <w:color w:val="000000" w:themeColor="text1"/>
        </w:rPr>
        <w:t>.</w:t>
      </w:r>
      <w:r w:rsidR="00D65CE3" w:rsidRPr="00D65CE3">
        <w:rPr>
          <w:bCs/>
          <w:iCs/>
          <w:color w:val="000000" w:themeColor="text1"/>
        </w:rPr>
        <w:t>12</w:t>
      </w:r>
      <w:r w:rsidRPr="00D65CE3">
        <w:rPr>
          <w:bCs/>
          <w:iCs/>
          <w:color w:val="000000" w:themeColor="text1"/>
        </w:rPr>
        <w:t>.2020 г. отчетеният коректив на касови постъпления възлиза на -</w:t>
      </w:r>
      <w:r w:rsidR="00D65CE3" w:rsidRPr="00D65CE3">
        <w:rPr>
          <w:bCs/>
          <w:iCs/>
          <w:color w:val="000000" w:themeColor="text1"/>
        </w:rPr>
        <w:t>6,5</w:t>
      </w:r>
      <w:r w:rsidRPr="00D65CE3">
        <w:rPr>
          <w:bCs/>
          <w:iCs/>
          <w:color w:val="000000" w:themeColor="text1"/>
        </w:rPr>
        <w:t xml:space="preserve"> млн. лева. Той е формиран от принудително събрани суми от НАП, за които не е извършен превод на средства по сметката на ДФЗ-РА.</w:t>
      </w:r>
    </w:p>
    <w:p w:rsidR="005A7FA3" w:rsidRPr="00D65CE3" w:rsidRDefault="005A7FA3" w:rsidP="005A7FA3">
      <w:pPr>
        <w:ind w:firstLine="567"/>
        <w:jc w:val="both"/>
        <w:rPr>
          <w:color w:val="000000" w:themeColor="text1"/>
          <w:sz w:val="10"/>
        </w:rPr>
      </w:pPr>
    </w:p>
    <w:p w:rsidR="005A7FA3" w:rsidRPr="00D65CE3" w:rsidRDefault="005A7FA3" w:rsidP="00C4077C">
      <w:pPr>
        <w:numPr>
          <w:ilvl w:val="0"/>
          <w:numId w:val="23"/>
        </w:numPr>
        <w:tabs>
          <w:tab w:val="num" w:pos="540"/>
        </w:tabs>
        <w:spacing w:before="120" w:after="120" w:line="276" w:lineRule="auto"/>
        <w:contextualSpacing/>
        <w:jc w:val="both"/>
        <w:rPr>
          <w:b/>
          <w:color w:val="000000" w:themeColor="text1"/>
          <w:lang w:eastAsia="bg-BG"/>
        </w:rPr>
      </w:pPr>
      <w:r w:rsidRPr="00D65CE3">
        <w:rPr>
          <w:b/>
          <w:color w:val="000000" w:themeColor="text1"/>
          <w:lang w:eastAsia="bg-BG"/>
        </w:rPr>
        <w:t xml:space="preserve">Разходи </w:t>
      </w:r>
    </w:p>
    <w:p w:rsidR="005A7FA3" w:rsidRPr="00D65CE3" w:rsidRDefault="005A7FA3" w:rsidP="005A7FA3">
      <w:pPr>
        <w:ind w:firstLine="567"/>
        <w:jc w:val="both"/>
        <w:rPr>
          <w:color w:val="000000" w:themeColor="text1"/>
        </w:rPr>
      </w:pPr>
      <w:r w:rsidRPr="00D65CE3">
        <w:rPr>
          <w:color w:val="000000" w:themeColor="text1"/>
        </w:rPr>
        <w:t xml:space="preserve">Общият размер на планираните за 2020 г. разходи по утвърдените </w:t>
      </w:r>
      <w:r w:rsidR="00D65CE3" w:rsidRPr="00D65CE3">
        <w:rPr>
          <w:color w:val="000000" w:themeColor="text1"/>
        </w:rPr>
        <w:t xml:space="preserve">актуализирани </w:t>
      </w:r>
      <w:r w:rsidRPr="00D65CE3">
        <w:rPr>
          <w:color w:val="000000" w:themeColor="text1"/>
        </w:rPr>
        <w:t xml:space="preserve">годишни разчети на сметката за средства от Европейския съюз на Разплащателната агенция към ДФ „Земеделие” е </w:t>
      </w:r>
      <w:r w:rsidR="00D65CE3" w:rsidRPr="00D65CE3">
        <w:rPr>
          <w:color w:val="000000" w:themeColor="text1"/>
        </w:rPr>
        <w:t>809,5</w:t>
      </w:r>
      <w:r w:rsidRPr="00D65CE3">
        <w:rPr>
          <w:color w:val="000000" w:themeColor="text1"/>
        </w:rPr>
        <w:t xml:space="preserve"> млн. лева. </w:t>
      </w:r>
    </w:p>
    <w:p w:rsidR="005A7FA3" w:rsidRPr="00D65CE3" w:rsidRDefault="005A7FA3" w:rsidP="005A7FA3">
      <w:pPr>
        <w:ind w:firstLine="567"/>
        <w:jc w:val="both"/>
        <w:rPr>
          <w:color w:val="000000" w:themeColor="text1"/>
        </w:rPr>
      </w:pPr>
      <w:r w:rsidRPr="00D65CE3">
        <w:rPr>
          <w:color w:val="000000" w:themeColor="text1"/>
        </w:rPr>
        <w:t xml:space="preserve">Уточненият план на субсидиите за текуща дейност и капиталовите трансфери за 2020 г. е </w:t>
      </w:r>
      <w:r w:rsidR="00D65CE3" w:rsidRPr="00D65CE3">
        <w:rPr>
          <w:color w:val="000000" w:themeColor="text1"/>
        </w:rPr>
        <w:t>434,2</w:t>
      </w:r>
      <w:r w:rsidRPr="00D65CE3">
        <w:rPr>
          <w:color w:val="000000" w:themeColor="text1"/>
        </w:rPr>
        <w:t xml:space="preserve"> млн. лева. Изпълнението към 3</w:t>
      </w:r>
      <w:r w:rsidR="00D65CE3" w:rsidRPr="00D65CE3">
        <w:rPr>
          <w:color w:val="000000" w:themeColor="text1"/>
        </w:rPr>
        <w:t>1</w:t>
      </w:r>
      <w:r w:rsidRPr="00D65CE3">
        <w:rPr>
          <w:color w:val="000000" w:themeColor="text1"/>
        </w:rPr>
        <w:t>.</w:t>
      </w:r>
      <w:r w:rsidR="00D65CE3" w:rsidRPr="00D65CE3">
        <w:rPr>
          <w:color w:val="000000" w:themeColor="text1"/>
        </w:rPr>
        <w:t>12</w:t>
      </w:r>
      <w:r w:rsidRPr="00D65CE3">
        <w:rPr>
          <w:color w:val="000000" w:themeColor="text1"/>
        </w:rPr>
        <w:t xml:space="preserve">.2020 г. възлиза на </w:t>
      </w:r>
      <w:r w:rsidR="00D65CE3" w:rsidRPr="00D65CE3">
        <w:rPr>
          <w:color w:val="000000" w:themeColor="text1"/>
        </w:rPr>
        <w:t>69,1</w:t>
      </w:r>
      <w:r w:rsidRPr="00D65CE3">
        <w:rPr>
          <w:color w:val="000000" w:themeColor="text1"/>
        </w:rPr>
        <w:t xml:space="preserve"> % от годишния план и е в размер на </w:t>
      </w:r>
      <w:r w:rsidR="00D65CE3" w:rsidRPr="00D65CE3">
        <w:rPr>
          <w:color w:val="000000" w:themeColor="text1"/>
        </w:rPr>
        <w:t>300,1</w:t>
      </w:r>
      <w:r w:rsidRPr="00D65CE3">
        <w:rPr>
          <w:color w:val="000000" w:themeColor="text1"/>
        </w:rPr>
        <w:t xml:space="preserve"> млн. лева.</w:t>
      </w:r>
    </w:p>
    <w:p w:rsidR="005A7FA3" w:rsidRPr="00D65CE3" w:rsidRDefault="005A7FA3" w:rsidP="005A7FA3">
      <w:pPr>
        <w:ind w:firstLine="567"/>
        <w:jc w:val="both"/>
        <w:rPr>
          <w:color w:val="000000" w:themeColor="text1"/>
        </w:rPr>
      </w:pPr>
      <w:r w:rsidRPr="00D65CE3">
        <w:rPr>
          <w:color w:val="000000" w:themeColor="text1"/>
        </w:rPr>
        <w:t>Разпределението на разходите е както следва:</w:t>
      </w:r>
    </w:p>
    <w:p w:rsidR="005A7FA3" w:rsidRPr="00D65CE3"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D65CE3">
        <w:rPr>
          <w:b/>
          <w:i/>
          <w:color w:val="000000" w:themeColor="text1"/>
        </w:rPr>
        <w:t>Субсидии и други текущи трансфери за нефинансови предприятия</w:t>
      </w:r>
    </w:p>
    <w:p w:rsidR="005A7FA3" w:rsidRPr="00451600" w:rsidRDefault="005A7FA3" w:rsidP="005A7FA3">
      <w:pPr>
        <w:ind w:firstLine="567"/>
        <w:jc w:val="both"/>
        <w:rPr>
          <w:color w:val="000000" w:themeColor="text1"/>
        </w:rPr>
      </w:pPr>
      <w:r w:rsidRPr="00451600">
        <w:rPr>
          <w:color w:val="000000" w:themeColor="text1"/>
        </w:rPr>
        <w:t xml:space="preserve">За 2020 г. са планирани средства в размер на </w:t>
      </w:r>
      <w:r w:rsidR="00D65CE3" w:rsidRPr="00451600">
        <w:rPr>
          <w:color w:val="000000" w:themeColor="text1"/>
        </w:rPr>
        <w:t>138,5</w:t>
      </w:r>
      <w:r w:rsidRPr="00451600">
        <w:rPr>
          <w:color w:val="000000" w:themeColor="text1"/>
        </w:rPr>
        <w:t xml:space="preserve"> млн. лв. за субсидии и други текущи трансфери за нефинансови предприятия. Отчетените </w:t>
      </w:r>
      <w:r w:rsidR="00D65CE3" w:rsidRPr="00451600">
        <w:rPr>
          <w:color w:val="000000" w:themeColor="text1"/>
        </w:rPr>
        <w:t>с</w:t>
      </w:r>
      <w:r w:rsidRPr="00451600">
        <w:rPr>
          <w:color w:val="000000" w:themeColor="text1"/>
        </w:rPr>
        <w:t xml:space="preserve">редства представляват </w:t>
      </w:r>
      <w:r w:rsidR="00D65CE3" w:rsidRPr="00451600">
        <w:rPr>
          <w:color w:val="000000" w:themeColor="text1"/>
        </w:rPr>
        <w:t>79,0</w:t>
      </w:r>
      <w:r w:rsidRPr="00451600">
        <w:rPr>
          <w:color w:val="000000" w:themeColor="text1"/>
        </w:rPr>
        <w:t xml:space="preserve"> % от планираните за годината и са в размер на </w:t>
      </w:r>
      <w:r w:rsidR="00D65CE3" w:rsidRPr="00451600">
        <w:rPr>
          <w:color w:val="000000" w:themeColor="text1"/>
        </w:rPr>
        <w:t>109,5</w:t>
      </w:r>
      <w:r w:rsidRPr="00451600">
        <w:rPr>
          <w:color w:val="000000" w:themeColor="text1"/>
        </w:rPr>
        <w:t xml:space="preserve"> млн. лева. За предходната година изпълнението е </w:t>
      </w:r>
      <w:r w:rsidR="00451600" w:rsidRPr="00451600">
        <w:rPr>
          <w:color w:val="000000" w:themeColor="text1"/>
        </w:rPr>
        <w:t>136,</w:t>
      </w:r>
      <w:r w:rsidRPr="00451600">
        <w:rPr>
          <w:color w:val="000000" w:themeColor="text1"/>
        </w:rPr>
        <w:t>8 млн. лева.</w:t>
      </w:r>
    </w:p>
    <w:p w:rsidR="005A7FA3" w:rsidRPr="00451600" w:rsidRDefault="005A7FA3" w:rsidP="005A7FA3">
      <w:pPr>
        <w:ind w:firstLine="567"/>
        <w:jc w:val="both"/>
        <w:rPr>
          <w:color w:val="000000" w:themeColor="text1"/>
        </w:rPr>
      </w:pPr>
      <w:r w:rsidRPr="00451600">
        <w:rPr>
          <w:color w:val="000000" w:themeColor="text1"/>
        </w:rPr>
        <w:t>Изпълнението по дейности е както следва:</w:t>
      </w:r>
    </w:p>
    <w:p w:rsidR="005A7FA3" w:rsidRPr="00F67403" w:rsidRDefault="005A7FA3" w:rsidP="005A7FA3">
      <w:pPr>
        <w:ind w:firstLine="567"/>
        <w:contextualSpacing/>
        <w:jc w:val="both"/>
        <w:rPr>
          <w:color w:val="000000" w:themeColor="text1"/>
        </w:rPr>
      </w:pPr>
      <w:r w:rsidRPr="00F67403">
        <w:rPr>
          <w:color w:val="000000" w:themeColor="text1"/>
        </w:rPr>
        <w:lastRenderedPageBreak/>
        <w:t xml:space="preserve">- национално съфинансиране към ЕЗФРСР за директни плащания – </w:t>
      </w:r>
      <w:r w:rsidR="00D60234" w:rsidRPr="00F67403">
        <w:rPr>
          <w:color w:val="000000" w:themeColor="text1"/>
        </w:rPr>
        <w:t>73,9</w:t>
      </w:r>
      <w:r w:rsidRPr="00F67403">
        <w:rPr>
          <w:color w:val="000000" w:themeColor="text1"/>
        </w:rPr>
        <w:t xml:space="preserve"> млн. лв., изпълнение </w:t>
      </w:r>
      <w:r w:rsidR="00D60234" w:rsidRPr="00F67403">
        <w:rPr>
          <w:color w:val="000000" w:themeColor="text1"/>
        </w:rPr>
        <w:t>95,5</w:t>
      </w:r>
      <w:r w:rsidRPr="00F67403">
        <w:rPr>
          <w:color w:val="000000" w:themeColor="text1"/>
        </w:rPr>
        <w:t xml:space="preserve"> % на планираните за годината 7</w:t>
      </w:r>
      <w:r w:rsidR="00D60234" w:rsidRPr="00F67403">
        <w:rPr>
          <w:color w:val="000000" w:themeColor="text1"/>
        </w:rPr>
        <w:t>7</w:t>
      </w:r>
      <w:r w:rsidRPr="00F67403">
        <w:rPr>
          <w:color w:val="000000" w:themeColor="text1"/>
        </w:rPr>
        <w:t>,</w:t>
      </w:r>
      <w:r w:rsidR="00D60234" w:rsidRPr="00F67403">
        <w:rPr>
          <w:color w:val="000000" w:themeColor="text1"/>
        </w:rPr>
        <w:t>4</w:t>
      </w:r>
      <w:r w:rsidRPr="00F67403">
        <w:rPr>
          <w:color w:val="000000" w:themeColor="text1"/>
        </w:rPr>
        <w:t xml:space="preserve"> млн. лева;</w:t>
      </w:r>
    </w:p>
    <w:p w:rsidR="00D60234" w:rsidRPr="00F67403" w:rsidRDefault="00D60234" w:rsidP="00D60234">
      <w:pPr>
        <w:ind w:firstLine="567"/>
        <w:contextualSpacing/>
        <w:jc w:val="both"/>
        <w:rPr>
          <w:color w:val="000000" w:themeColor="text1"/>
        </w:rPr>
      </w:pPr>
      <w:r w:rsidRPr="00F67403">
        <w:rPr>
          <w:color w:val="000000" w:themeColor="text1"/>
        </w:rPr>
        <w:t xml:space="preserve">- </w:t>
      </w:r>
      <w:r w:rsidR="00F67403" w:rsidRPr="00F67403">
        <w:rPr>
          <w:color w:val="000000" w:themeColor="text1"/>
        </w:rPr>
        <w:t>текущи субсидии по Програмата за морско дело и рибарство – 1,9 млн. лв., изпълнение от 29,2 % на планираните за годината 6,5 млн. лева;</w:t>
      </w:r>
    </w:p>
    <w:p w:rsidR="005A7FA3" w:rsidRPr="00F67403" w:rsidRDefault="005A7FA3" w:rsidP="005A7FA3">
      <w:pPr>
        <w:ind w:firstLine="567"/>
        <w:contextualSpacing/>
        <w:jc w:val="both"/>
        <w:rPr>
          <w:color w:val="000000" w:themeColor="text1"/>
        </w:rPr>
      </w:pPr>
      <w:r w:rsidRPr="00F67403">
        <w:rPr>
          <w:color w:val="000000" w:themeColor="text1"/>
        </w:rPr>
        <w:t xml:space="preserve">- текущи субсидии по Програмата за развитие на селските райони – </w:t>
      </w:r>
      <w:r w:rsidR="00D60234" w:rsidRPr="00F67403">
        <w:rPr>
          <w:color w:val="000000" w:themeColor="text1"/>
        </w:rPr>
        <w:t>13,3</w:t>
      </w:r>
      <w:r w:rsidRPr="00F67403">
        <w:rPr>
          <w:color w:val="000000" w:themeColor="text1"/>
        </w:rPr>
        <w:t xml:space="preserve"> млн. лв., изпълнение от </w:t>
      </w:r>
      <w:r w:rsidR="00D60234" w:rsidRPr="00F67403">
        <w:rPr>
          <w:color w:val="000000" w:themeColor="text1"/>
        </w:rPr>
        <w:t>4</w:t>
      </w:r>
      <w:r w:rsidRPr="00F67403">
        <w:rPr>
          <w:color w:val="000000" w:themeColor="text1"/>
        </w:rPr>
        <w:t>2,</w:t>
      </w:r>
      <w:r w:rsidR="00D60234" w:rsidRPr="00F67403">
        <w:rPr>
          <w:color w:val="000000" w:themeColor="text1"/>
        </w:rPr>
        <w:t>9</w:t>
      </w:r>
      <w:r w:rsidRPr="00F67403">
        <w:rPr>
          <w:color w:val="000000" w:themeColor="text1"/>
        </w:rPr>
        <w:t xml:space="preserve"> % на планираните за годината </w:t>
      </w:r>
      <w:r w:rsidR="00D60234" w:rsidRPr="00F67403">
        <w:rPr>
          <w:color w:val="000000" w:themeColor="text1"/>
        </w:rPr>
        <w:t>31,0</w:t>
      </w:r>
      <w:r w:rsidRPr="00F67403">
        <w:rPr>
          <w:color w:val="000000" w:themeColor="text1"/>
        </w:rPr>
        <w:t xml:space="preserve"> млн. лева;</w:t>
      </w:r>
    </w:p>
    <w:p w:rsidR="005A7FA3" w:rsidRPr="00F67403" w:rsidRDefault="005A7FA3" w:rsidP="005A7FA3">
      <w:pPr>
        <w:tabs>
          <w:tab w:val="left" w:pos="851"/>
          <w:tab w:val="left" w:pos="1134"/>
        </w:tabs>
        <w:ind w:firstLine="567"/>
        <w:contextualSpacing/>
        <w:jc w:val="both"/>
        <w:rPr>
          <w:color w:val="000000" w:themeColor="text1"/>
        </w:rPr>
      </w:pPr>
      <w:r w:rsidRPr="00F67403">
        <w:rPr>
          <w:color w:val="000000" w:themeColor="text1"/>
        </w:rPr>
        <w:t xml:space="preserve">- текущи субсидии за пазарни мерки – </w:t>
      </w:r>
      <w:r w:rsidR="00D60234" w:rsidRPr="00F67403">
        <w:rPr>
          <w:color w:val="000000" w:themeColor="text1"/>
        </w:rPr>
        <w:t>20,4</w:t>
      </w:r>
      <w:r w:rsidRPr="00F67403">
        <w:rPr>
          <w:color w:val="000000" w:themeColor="text1"/>
        </w:rPr>
        <w:t xml:space="preserve"> млн. лв., изпълнение от </w:t>
      </w:r>
      <w:r w:rsidR="00D60234" w:rsidRPr="00F67403">
        <w:rPr>
          <w:color w:val="000000" w:themeColor="text1"/>
        </w:rPr>
        <w:t>86,4</w:t>
      </w:r>
      <w:r w:rsidRPr="00F67403">
        <w:rPr>
          <w:color w:val="000000" w:themeColor="text1"/>
        </w:rPr>
        <w:t xml:space="preserve"> % на планираните за 2020 г. </w:t>
      </w:r>
      <w:r w:rsidR="00D60234" w:rsidRPr="00F67403">
        <w:rPr>
          <w:color w:val="000000" w:themeColor="text1"/>
        </w:rPr>
        <w:t>23,6</w:t>
      </w:r>
      <w:r w:rsidRPr="00F67403">
        <w:rPr>
          <w:color w:val="000000" w:themeColor="text1"/>
        </w:rPr>
        <w:t xml:space="preserve"> млн. лева.</w:t>
      </w:r>
    </w:p>
    <w:p w:rsidR="005A7FA3" w:rsidRPr="005C4967"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F67403">
        <w:rPr>
          <w:b/>
          <w:i/>
          <w:color w:val="000000" w:themeColor="text1"/>
        </w:rPr>
        <w:t xml:space="preserve">Субсидии и други текущи трансфери за юридически лица с </w:t>
      </w:r>
      <w:r w:rsidRPr="005C4967">
        <w:rPr>
          <w:b/>
          <w:i/>
          <w:color w:val="000000" w:themeColor="text1"/>
        </w:rPr>
        <w:t>нестопанска цел</w:t>
      </w:r>
    </w:p>
    <w:p w:rsidR="005A7FA3" w:rsidRPr="005C4967" w:rsidRDefault="005A7FA3" w:rsidP="005A7FA3">
      <w:pPr>
        <w:ind w:firstLine="567"/>
        <w:contextualSpacing/>
        <w:jc w:val="both"/>
        <w:rPr>
          <w:color w:val="000000" w:themeColor="text1"/>
        </w:rPr>
      </w:pPr>
      <w:r w:rsidRPr="005C4967">
        <w:rPr>
          <w:color w:val="000000" w:themeColor="text1"/>
        </w:rPr>
        <w:tab/>
        <w:t xml:space="preserve">За 2020 г. за субсидии и други текущи трансфери за юридически лица с нестопанска цел са планирани </w:t>
      </w:r>
      <w:r w:rsidR="00450D5B" w:rsidRPr="005C4967">
        <w:rPr>
          <w:color w:val="000000" w:themeColor="text1"/>
        </w:rPr>
        <w:t>23,1</w:t>
      </w:r>
      <w:r w:rsidRPr="005C4967">
        <w:rPr>
          <w:color w:val="000000" w:themeColor="text1"/>
        </w:rPr>
        <w:t xml:space="preserve"> млн. лева. </w:t>
      </w:r>
      <w:r w:rsidR="00450D5B" w:rsidRPr="005C4967">
        <w:rPr>
          <w:color w:val="000000" w:themeColor="text1"/>
        </w:rPr>
        <w:t>През годината</w:t>
      </w:r>
      <w:r w:rsidRPr="005C4967">
        <w:rPr>
          <w:color w:val="000000" w:themeColor="text1"/>
        </w:rPr>
        <w:t xml:space="preserve"> са отчетени разходи в размер на </w:t>
      </w:r>
      <w:r w:rsidR="005C4967" w:rsidRPr="005C4967">
        <w:rPr>
          <w:color w:val="000000" w:themeColor="text1"/>
        </w:rPr>
        <w:t>12,1</w:t>
      </w:r>
      <w:r w:rsidRPr="005C4967">
        <w:rPr>
          <w:color w:val="000000" w:themeColor="text1"/>
        </w:rPr>
        <w:t xml:space="preserve"> млн. лв. при 1</w:t>
      </w:r>
      <w:r w:rsidR="005C4967" w:rsidRPr="005C4967">
        <w:rPr>
          <w:color w:val="000000" w:themeColor="text1"/>
        </w:rPr>
        <w:t>2,2</w:t>
      </w:r>
      <w:r w:rsidRPr="005C4967">
        <w:rPr>
          <w:color w:val="000000" w:themeColor="text1"/>
        </w:rPr>
        <w:t xml:space="preserve"> млн. лв. за 2019 година.</w:t>
      </w:r>
    </w:p>
    <w:p w:rsidR="005A7FA3" w:rsidRPr="005C4967" w:rsidRDefault="005A7FA3" w:rsidP="005A7FA3">
      <w:pPr>
        <w:ind w:firstLine="567"/>
        <w:contextualSpacing/>
        <w:jc w:val="both"/>
        <w:rPr>
          <w:color w:val="000000" w:themeColor="text1"/>
        </w:rPr>
      </w:pPr>
      <w:r w:rsidRPr="005C4967">
        <w:rPr>
          <w:color w:val="000000" w:themeColor="text1"/>
        </w:rPr>
        <w:t>Разпределението по дейности е както следва:</w:t>
      </w:r>
    </w:p>
    <w:p w:rsidR="005A7FA3" w:rsidRPr="005C4967" w:rsidRDefault="005A7FA3" w:rsidP="005A7FA3">
      <w:pPr>
        <w:ind w:firstLine="567"/>
        <w:contextualSpacing/>
        <w:jc w:val="both"/>
        <w:rPr>
          <w:color w:val="000000" w:themeColor="text1"/>
        </w:rPr>
      </w:pPr>
      <w:r w:rsidRPr="005C4967">
        <w:rPr>
          <w:color w:val="000000" w:themeColor="text1"/>
        </w:rPr>
        <w:t xml:space="preserve">-  национално съфинансиране към ЕЗФРСР за директни плащания  – 0,1 млн. лева; </w:t>
      </w:r>
    </w:p>
    <w:p w:rsidR="005A7FA3" w:rsidRPr="005C4967" w:rsidRDefault="005A7FA3" w:rsidP="005A7FA3">
      <w:pPr>
        <w:tabs>
          <w:tab w:val="left" w:pos="851"/>
        </w:tabs>
        <w:ind w:firstLine="567"/>
        <w:contextualSpacing/>
        <w:jc w:val="both"/>
        <w:rPr>
          <w:color w:val="000000" w:themeColor="text1"/>
        </w:rPr>
      </w:pPr>
      <w:r w:rsidRPr="005C4967">
        <w:rPr>
          <w:color w:val="000000" w:themeColor="text1"/>
        </w:rPr>
        <w:t xml:space="preserve">-  текущи субсидии по ПМДР – </w:t>
      </w:r>
      <w:r w:rsidR="005C4967" w:rsidRPr="005C4967">
        <w:rPr>
          <w:color w:val="000000" w:themeColor="text1"/>
        </w:rPr>
        <w:t>2,1</w:t>
      </w:r>
      <w:r w:rsidRPr="005C4967">
        <w:rPr>
          <w:color w:val="000000" w:themeColor="text1"/>
        </w:rPr>
        <w:t xml:space="preserve"> млн. лв. при планирани </w:t>
      </w:r>
      <w:r w:rsidR="005C4967" w:rsidRPr="005C4967">
        <w:rPr>
          <w:color w:val="000000" w:themeColor="text1"/>
        </w:rPr>
        <w:t>3,0</w:t>
      </w:r>
      <w:r w:rsidRPr="005C4967">
        <w:rPr>
          <w:color w:val="000000" w:themeColor="text1"/>
        </w:rPr>
        <w:t xml:space="preserve"> млн. лева;</w:t>
      </w:r>
    </w:p>
    <w:p w:rsidR="005A7FA3" w:rsidRPr="005C4967" w:rsidRDefault="005A7FA3" w:rsidP="005A7FA3">
      <w:pPr>
        <w:ind w:firstLine="567"/>
        <w:contextualSpacing/>
        <w:jc w:val="both"/>
        <w:rPr>
          <w:color w:val="000000" w:themeColor="text1"/>
        </w:rPr>
      </w:pPr>
      <w:r w:rsidRPr="005C4967">
        <w:rPr>
          <w:color w:val="000000" w:themeColor="text1"/>
        </w:rPr>
        <w:t xml:space="preserve">- текущи субсидии по Програмата за развитие на селските райони – </w:t>
      </w:r>
      <w:r w:rsidR="005C4967" w:rsidRPr="005C4967">
        <w:rPr>
          <w:color w:val="000000" w:themeColor="text1"/>
        </w:rPr>
        <w:t>9,9</w:t>
      </w:r>
      <w:r w:rsidRPr="005C4967">
        <w:rPr>
          <w:color w:val="000000" w:themeColor="text1"/>
        </w:rPr>
        <w:t xml:space="preserve"> млн. лв., изпълнение </w:t>
      </w:r>
      <w:r w:rsidR="005C4967" w:rsidRPr="005C4967">
        <w:rPr>
          <w:color w:val="000000" w:themeColor="text1"/>
        </w:rPr>
        <w:t>49,5</w:t>
      </w:r>
      <w:r w:rsidRPr="005C4967">
        <w:rPr>
          <w:color w:val="000000" w:themeColor="text1"/>
        </w:rPr>
        <w:t xml:space="preserve"> % на планираните </w:t>
      </w:r>
      <w:r w:rsidR="005C4967" w:rsidRPr="005C4967">
        <w:rPr>
          <w:color w:val="000000" w:themeColor="text1"/>
        </w:rPr>
        <w:t>20,0</w:t>
      </w:r>
      <w:r w:rsidRPr="005C4967">
        <w:rPr>
          <w:color w:val="000000" w:themeColor="text1"/>
        </w:rPr>
        <w:t xml:space="preserve"> млн. лева;</w:t>
      </w:r>
    </w:p>
    <w:p w:rsidR="005A7FA3" w:rsidRPr="00515DA2" w:rsidRDefault="005A7FA3" w:rsidP="005A7FA3">
      <w:pPr>
        <w:ind w:firstLine="567"/>
        <w:contextualSpacing/>
        <w:jc w:val="both"/>
        <w:rPr>
          <w:color w:val="000000" w:themeColor="text1"/>
        </w:rPr>
      </w:pPr>
      <w:r w:rsidRPr="00515DA2">
        <w:rPr>
          <w:color w:val="000000" w:themeColor="text1"/>
        </w:rPr>
        <w:t>-  текущи субсидии за пазарни мерки – няма усвоени средства при планирани за годината 0,1 млн. лева.</w:t>
      </w:r>
    </w:p>
    <w:p w:rsidR="005A7FA3" w:rsidRPr="00515DA2"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515DA2">
        <w:rPr>
          <w:b/>
          <w:i/>
          <w:color w:val="000000" w:themeColor="text1"/>
        </w:rPr>
        <w:t>Капиталови трансфери за нефинансови предприятия</w:t>
      </w:r>
    </w:p>
    <w:p w:rsidR="005A7FA3" w:rsidRPr="00515DA2" w:rsidRDefault="005A7FA3" w:rsidP="005A7FA3">
      <w:pPr>
        <w:ind w:firstLine="567"/>
        <w:jc w:val="both"/>
        <w:rPr>
          <w:color w:val="000000" w:themeColor="text1"/>
        </w:rPr>
      </w:pPr>
      <w:r w:rsidRPr="00515DA2">
        <w:rPr>
          <w:color w:val="000000" w:themeColor="text1"/>
        </w:rPr>
        <w:t xml:space="preserve">За 2020 г. за капиталови трансфери за нефинансови предприятия са планирани </w:t>
      </w:r>
      <w:r w:rsidR="00515DA2" w:rsidRPr="00515DA2">
        <w:rPr>
          <w:color w:val="000000" w:themeColor="text1"/>
        </w:rPr>
        <w:t>250,8</w:t>
      </w:r>
      <w:r w:rsidRPr="00515DA2">
        <w:rPr>
          <w:color w:val="000000" w:themeColor="text1"/>
        </w:rPr>
        <w:t xml:space="preserve"> млн.</w:t>
      </w:r>
      <w:r w:rsidR="00515DA2" w:rsidRPr="00515DA2">
        <w:rPr>
          <w:color w:val="000000" w:themeColor="text1"/>
        </w:rPr>
        <w:t> </w:t>
      </w:r>
      <w:r w:rsidRPr="00515DA2">
        <w:rPr>
          <w:color w:val="000000" w:themeColor="text1"/>
        </w:rPr>
        <w:t>лева. Към 3</w:t>
      </w:r>
      <w:r w:rsidR="00515DA2" w:rsidRPr="00515DA2">
        <w:rPr>
          <w:color w:val="000000" w:themeColor="text1"/>
        </w:rPr>
        <w:t>1</w:t>
      </w:r>
      <w:r w:rsidRPr="00515DA2">
        <w:rPr>
          <w:color w:val="000000" w:themeColor="text1"/>
        </w:rPr>
        <w:t>.</w:t>
      </w:r>
      <w:r w:rsidR="00515DA2" w:rsidRPr="00515DA2">
        <w:rPr>
          <w:color w:val="000000" w:themeColor="text1"/>
        </w:rPr>
        <w:t>12</w:t>
      </w:r>
      <w:r w:rsidRPr="00515DA2">
        <w:rPr>
          <w:color w:val="000000" w:themeColor="text1"/>
        </w:rPr>
        <w:t>.2020 г. са отчетени 1</w:t>
      </w:r>
      <w:r w:rsidR="00515DA2" w:rsidRPr="00515DA2">
        <w:rPr>
          <w:color w:val="000000" w:themeColor="text1"/>
        </w:rPr>
        <w:t>69</w:t>
      </w:r>
      <w:r w:rsidRPr="00515DA2">
        <w:rPr>
          <w:color w:val="000000" w:themeColor="text1"/>
        </w:rPr>
        <w:t xml:space="preserve">,8 млн. лв., което е </w:t>
      </w:r>
      <w:r w:rsidR="00515DA2" w:rsidRPr="00515DA2">
        <w:rPr>
          <w:color w:val="000000" w:themeColor="text1"/>
        </w:rPr>
        <w:t>67,7</w:t>
      </w:r>
      <w:r w:rsidRPr="00515DA2">
        <w:rPr>
          <w:color w:val="000000" w:themeColor="text1"/>
        </w:rPr>
        <w:t xml:space="preserve"> % изпълнение на годишния план. Изпълнението за предходната година е 1</w:t>
      </w:r>
      <w:r w:rsidR="00515DA2" w:rsidRPr="00515DA2">
        <w:rPr>
          <w:color w:val="000000" w:themeColor="text1"/>
        </w:rPr>
        <w:t>82,9</w:t>
      </w:r>
      <w:r w:rsidRPr="00515DA2">
        <w:rPr>
          <w:color w:val="000000" w:themeColor="text1"/>
        </w:rPr>
        <w:t xml:space="preserve"> млн. лева.</w:t>
      </w:r>
    </w:p>
    <w:p w:rsidR="005A7FA3" w:rsidRPr="00515DA2" w:rsidRDefault="005A7FA3" w:rsidP="005A7FA3">
      <w:pPr>
        <w:ind w:firstLine="567"/>
        <w:jc w:val="both"/>
        <w:rPr>
          <w:color w:val="000000" w:themeColor="text1"/>
        </w:rPr>
      </w:pPr>
      <w:r w:rsidRPr="00515DA2">
        <w:rPr>
          <w:color w:val="000000" w:themeColor="text1"/>
        </w:rPr>
        <w:t>Разпределението по дейности е както следва:</w:t>
      </w:r>
    </w:p>
    <w:p w:rsidR="005A7FA3" w:rsidRPr="00515DA2" w:rsidRDefault="005A7FA3" w:rsidP="005A7FA3">
      <w:pPr>
        <w:ind w:firstLine="567"/>
        <w:contextualSpacing/>
        <w:jc w:val="both"/>
        <w:rPr>
          <w:color w:val="000000" w:themeColor="text1"/>
        </w:rPr>
      </w:pPr>
      <w:r w:rsidRPr="00515DA2">
        <w:rPr>
          <w:color w:val="000000" w:themeColor="text1"/>
        </w:rPr>
        <w:t xml:space="preserve">-  капиталови трансфери по Програмата за морско дело и рибарство (ПМДР) – </w:t>
      </w:r>
      <w:r w:rsidR="00515DA2" w:rsidRPr="00515DA2">
        <w:rPr>
          <w:color w:val="000000" w:themeColor="text1"/>
        </w:rPr>
        <w:t>12,2</w:t>
      </w:r>
      <w:r w:rsidRPr="00515DA2">
        <w:rPr>
          <w:color w:val="000000" w:themeColor="text1"/>
        </w:rPr>
        <w:t xml:space="preserve"> млн. лв., което е </w:t>
      </w:r>
      <w:r w:rsidR="00515DA2" w:rsidRPr="00515DA2">
        <w:rPr>
          <w:color w:val="000000" w:themeColor="text1"/>
        </w:rPr>
        <w:t>96,0</w:t>
      </w:r>
      <w:r w:rsidRPr="00515DA2">
        <w:rPr>
          <w:color w:val="000000" w:themeColor="text1"/>
        </w:rPr>
        <w:t xml:space="preserve"> %  изпълнение на годишния план (</w:t>
      </w:r>
      <w:r w:rsidR="00515DA2" w:rsidRPr="00515DA2">
        <w:rPr>
          <w:color w:val="000000" w:themeColor="text1"/>
        </w:rPr>
        <w:t>12,7</w:t>
      </w:r>
      <w:r w:rsidRPr="00515DA2">
        <w:rPr>
          <w:color w:val="000000" w:themeColor="text1"/>
        </w:rPr>
        <w:t xml:space="preserve"> млн. лева);</w:t>
      </w:r>
    </w:p>
    <w:p w:rsidR="005A7FA3" w:rsidRPr="00515DA2" w:rsidRDefault="005A7FA3" w:rsidP="005A7FA3">
      <w:pPr>
        <w:ind w:firstLine="567"/>
        <w:contextualSpacing/>
        <w:jc w:val="both"/>
        <w:rPr>
          <w:color w:val="000000" w:themeColor="text1"/>
        </w:rPr>
      </w:pPr>
      <w:r w:rsidRPr="00515DA2">
        <w:rPr>
          <w:color w:val="000000" w:themeColor="text1"/>
        </w:rPr>
        <w:t>-  капиталови трансфери по ПРСР – 1</w:t>
      </w:r>
      <w:r w:rsidR="00515DA2" w:rsidRPr="00515DA2">
        <w:rPr>
          <w:color w:val="000000" w:themeColor="text1"/>
        </w:rPr>
        <w:t>55,5</w:t>
      </w:r>
      <w:r w:rsidRPr="00515DA2">
        <w:rPr>
          <w:color w:val="000000" w:themeColor="text1"/>
        </w:rPr>
        <w:t xml:space="preserve"> млн. лв., </w:t>
      </w:r>
      <w:r w:rsidR="00515DA2" w:rsidRPr="00515DA2">
        <w:rPr>
          <w:color w:val="000000" w:themeColor="text1"/>
        </w:rPr>
        <w:t>66,0</w:t>
      </w:r>
      <w:r w:rsidRPr="00515DA2">
        <w:rPr>
          <w:color w:val="000000" w:themeColor="text1"/>
        </w:rPr>
        <w:t xml:space="preserve"> %  изпълнение на годишния план (</w:t>
      </w:r>
      <w:r w:rsidR="00515DA2" w:rsidRPr="00515DA2">
        <w:rPr>
          <w:color w:val="000000" w:themeColor="text1"/>
        </w:rPr>
        <w:t>235,</w:t>
      </w:r>
      <w:r w:rsidRPr="00515DA2">
        <w:rPr>
          <w:color w:val="000000" w:themeColor="text1"/>
        </w:rPr>
        <w:t>7 млн. лв.);</w:t>
      </w:r>
    </w:p>
    <w:p w:rsidR="005A7FA3" w:rsidRPr="00515DA2" w:rsidRDefault="005A7FA3" w:rsidP="005A7FA3">
      <w:pPr>
        <w:ind w:firstLine="567"/>
        <w:contextualSpacing/>
        <w:jc w:val="both"/>
        <w:rPr>
          <w:color w:val="000000" w:themeColor="text1"/>
        </w:rPr>
      </w:pPr>
      <w:r w:rsidRPr="00515DA2">
        <w:rPr>
          <w:color w:val="000000" w:themeColor="text1"/>
        </w:rPr>
        <w:t xml:space="preserve">-  капиталови трансфери за пазарни мерки – </w:t>
      </w:r>
      <w:r w:rsidR="00515DA2" w:rsidRPr="00515DA2">
        <w:rPr>
          <w:color w:val="000000" w:themeColor="text1"/>
        </w:rPr>
        <w:t>2,1</w:t>
      </w:r>
      <w:r w:rsidRPr="00515DA2">
        <w:rPr>
          <w:color w:val="000000" w:themeColor="text1"/>
        </w:rPr>
        <w:t xml:space="preserve"> млн. лв. при планирани в разчетите за годината 2,3 млн. лева. </w:t>
      </w:r>
    </w:p>
    <w:p w:rsidR="005A7FA3" w:rsidRPr="00515DA2"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515DA2">
        <w:rPr>
          <w:b/>
          <w:i/>
          <w:color w:val="000000" w:themeColor="text1"/>
        </w:rPr>
        <w:t>Капиталови трансфери за организации с нестопанска цел</w:t>
      </w:r>
    </w:p>
    <w:p w:rsidR="005A7FA3" w:rsidRPr="005A5EC7" w:rsidRDefault="005A7FA3" w:rsidP="005A7FA3">
      <w:pPr>
        <w:ind w:firstLine="567"/>
        <w:jc w:val="both"/>
        <w:rPr>
          <w:color w:val="000000" w:themeColor="text1"/>
        </w:rPr>
      </w:pPr>
      <w:r w:rsidRPr="005A5EC7">
        <w:rPr>
          <w:color w:val="000000" w:themeColor="text1"/>
        </w:rPr>
        <w:t>За 2020 г. са планирани капиталови трансфери за организации с нестопанска цел в размер на 2</w:t>
      </w:r>
      <w:r w:rsidR="005A5EC7" w:rsidRPr="005A5EC7">
        <w:rPr>
          <w:color w:val="000000" w:themeColor="text1"/>
        </w:rPr>
        <w:t>1.6</w:t>
      </w:r>
      <w:r w:rsidRPr="005A5EC7">
        <w:rPr>
          <w:color w:val="000000" w:themeColor="text1"/>
        </w:rPr>
        <w:t xml:space="preserve"> млн. лева. Към 3</w:t>
      </w:r>
      <w:r w:rsidR="005A5EC7" w:rsidRPr="005A5EC7">
        <w:rPr>
          <w:color w:val="000000" w:themeColor="text1"/>
        </w:rPr>
        <w:t>1</w:t>
      </w:r>
      <w:r w:rsidRPr="005A5EC7">
        <w:rPr>
          <w:color w:val="000000" w:themeColor="text1"/>
        </w:rPr>
        <w:t>.</w:t>
      </w:r>
      <w:r w:rsidR="005A5EC7" w:rsidRPr="005A5EC7">
        <w:rPr>
          <w:color w:val="000000" w:themeColor="text1"/>
        </w:rPr>
        <w:t>12</w:t>
      </w:r>
      <w:r w:rsidRPr="005A5EC7">
        <w:rPr>
          <w:color w:val="000000" w:themeColor="text1"/>
        </w:rPr>
        <w:t xml:space="preserve">.2020 г. са отчетени капиталови трансфери в размер на </w:t>
      </w:r>
      <w:r w:rsidR="005A5EC7" w:rsidRPr="005A5EC7">
        <w:rPr>
          <w:color w:val="000000" w:themeColor="text1"/>
        </w:rPr>
        <w:t>8</w:t>
      </w:r>
      <w:r w:rsidR="005B4864">
        <w:rPr>
          <w:color w:val="000000" w:themeColor="text1"/>
        </w:rPr>
        <w:t>,</w:t>
      </w:r>
      <w:r w:rsidR="005A5EC7" w:rsidRPr="005A5EC7">
        <w:rPr>
          <w:color w:val="000000" w:themeColor="text1"/>
        </w:rPr>
        <w:t>7</w:t>
      </w:r>
      <w:r w:rsidRPr="005A5EC7">
        <w:rPr>
          <w:color w:val="000000" w:themeColor="text1"/>
        </w:rPr>
        <w:t xml:space="preserve"> млн. лв., </w:t>
      </w:r>
      <w:r w:rsidR="005A5EC7" w:rsidRPr="005A5EC7">
        <w:rPr>
          <w:color w:val="000000" w:themeColor="text1"/>
        </w:rPr>
        <w:t>40</w:t>
      </w:r>
      <w:r w:rsidR="005B4864">
        <w:rPr>
          <w:color w:val="000000" w:themeColor="text1"/>
        </w:rPr>
        <w:t>,</w:t>
      </w:r>
      <w:r w:rsidR="005A5EC7" w:rsidRPr="005A5EC7">
        <w:rPr>
          <w:color w:val="000000" w:themeColor="text1"/>
        </w:rPr>
        <w:t>3</w:t>
      </w:r>
      <w:r w:rsidRPr="005A5EC7">
        <w:rPr>
          <w:color w:val="000000" w:themeColor="text1"/>
        </w:rPr>
        <w:t xml:space="preserve"> % изпълнение на годишния план, при отчетени </w:t>
      </w:r>
      <w:r w:rsidR="005A5EC7" w:rsidRPr="005A5EC7">
        <w:rPr>
          <w:color w:val="000000" w:themeColor="text1"/>
        </w:rPr>
        <w:t>3</w:t>
      </w:r>
      <w:r w:rsidRPr="005A5EC7">
        <w:rPr>
          <w:color w:val="000000" w:themeColor="text1"/>
        </w:rPr>
        <w:t>0,</w:t>
      </w:r>
      <w:r w:rsidR="005A5EC7" w:rsidRPr="005A5EC7">
        <w:rPr>
          <w:color w:val="000000" w:themeColor="text1"/>
        </w:rPr>
        <w:t>8</w:t>
      </w:r>
      <w:r w:rsidRPr="005A5EC7">
        <w:rPr>
          <w:color w:val="000000" w:themeColor="text1"/>
        </w:rPr>
        <w:t xml:space="preserve"> млн. лв. за предходната година. </w:t>
      </w:r>
    </w:p>
    <w:p w:rsidR="005A7FA3" w:rsidRPr="005A5EC7" w:rsidRDefault="005A7FA3" w:rsidP="005A7FA3">
      <w:pPr>
        <w:ind w:firstLine="567"/>
        <w:jc w:val="both"/>
        <w:rPr>
          <w:color w:val="000000" w:themeColor="text1"/>
        </w:rPr>
      </w:pPr>
      <w:r w:rsidRPr="005A5EC7">
        <w:rPr>
          <w:color w:val="000000" w:themeColor="text1"/>
        </w:rPr>
        <w:t>Разпределението по дейности е както следва:</w:t>
      </w:r>
    </w:p>
    <w:p w:rsidR="005A7FA3" w:rsidRPr="004340EC" w:rsidRDefault="005A7FA3" w:rsidP="005A7FA3">
      <w:pPr>
        <w:ind w:firstLine="567"/>
        <w:contextualSpacing/>
        <w:jc w:val="both"/>
        <w:rPr>
          <w:color w:val="000000" w:themeColor="text1"/>
        </w:rPr>
      </w:pPr>
      <w:r w:rsidRPr="004340EC">
        <w:rPr>
          <w:color w:val="000000" w:themeColor="text1"/>
        </w:rPr>
        <w:t>-  капиталови трансфери по Програмата за морско дело и рибарство (ПМДР) – няма усвоени средства при планирани за годината 2,0 млн. лв.;</w:t>
      </w:r>
    </w:p>
    <w:p w:rsidR="005A7FA3" w:rsidRPr="004340EC" w:rsidRDefault="005A7FA3" w:rsidP="005A7FA3">
      <w:pPr>
        <w:ind w:firstLine="567"/>
        <w:contextualSpacing/>
        <w:jc w:val="both"/>
        <w:rPr>
          <w:color w:val="000000" w:themeColor="text1"/>
        </w:rPr>
      </w:pPr>
      <w:r w:rsidRPr="004340EC">
        <w:rPr>
          <w:color w:val="000000" w:themeColor="text1"/>
        </w:rPr>
        <w:t xml:space="preserve">-  капиталови трансфери по ПРСР – </w:t>
      </w:r>
      <w:r w:rsidR="004340EC" w:rsidRPr="004340EC">
        <w:rPr>
          <w:color w:val="000000" w:themeColor="text1"/>
        </w:rPr>
        <w:t>8,7</w:t>
      </w:r>
      <w:r w:rsidRPr="004340EC">
        <w:rPr>
          <w:color w:val="000000" w:themeColor="text1"/>
        </w:rPr>
        <w:t xml:space="preserve"> млн. лв., </w:t>
      </w:r>
      <w:r w:rsidR="004340EC" w:rsidRPr="004340EC">
        <w:rPr>
          <w:color w:val="000000" w:themeColor="text1"/>
        </w:rPr>
        <w:t>44</w:t>
      </w:r>
      <w:r w:rsidRPr="004340EC">
        <w:rPr>
          <w:color w:val="000000" w:themeColor="text1"/>
        </w:rPr>
        <w:t>,4 %  изпълнение на годишния план (</w:t>
      </w:r>
      <w:r w:rsidR="004340EC" w:rsidRPr="004340EC">
        <w:rPr>
          <w:color w:val="000000" w:themeColor="text1"/>
        </w:rPr>
        <w:t>19,6</w:t>
      </w:r>
      <w:r w:rsidRPr="004340EC">
        <w:rPr>
          <w:color w:val="000000" w:themeColor="text1"/>
        </w:rPr>
        <w:t xml:space="preserve"> млн. лв.).</w:t>
      </w:r>
    </w:p>
    <w:p w:rsidR="004340EC" w:rsidRPr="004340EC" w:rsidRDefault="004340EC" w:rsidP="005A7FA3">
      <w:pPr>
        <w:ind w:firstLine="567"/>
        <w:contextualSpacing/>
        <w:jc w:val="both"/>
        <w:rPr>
          <w:color w:val="000000" w:themeColor="text1"/>
          <w:sz w:val="12"/>
          <w:szCs w:val="12"/>
        </w:rPr>
      </w:pPr>
    </w:p>
    <w:p w:rsidR="005A7FA3" w:rsidRPr="004340EC" w:rsidRDefault="005A7FA3" w:rsidP="005A7FA3">
      <w:pPr>
        <w:ind w:firstLine="567"/>
        <w:contextualSpacing/>
        <w:jc w:val="both"/>
        <w:rPr>
          <w:color w:val="000000" w:themeColor="text1"/>
        </w:rPr>
      </w:pPr>
      <w:r w:rsidRPr="004340EC">
        <w:rPr>
          <w:color w:val="000000" w:themeColor="text1"/>
        </w:rPr>
        <w:t>Планираните разходи в размер 3</w:t>
      </w:r>
      <w:r w:rsidR="004340EC" w:rsidRPr="004340EC">
        <w:rPr>
          <w:color w:val="000000" w:themeColor="text1"/>
        </w:rPr>
        <w:t>7</w:t>
      </w:r>
      <w:r w:rsidRPr="004340EC">
        <w:rPr>
          <w:color w:val="000000" w:themeColor="text1"/>
        </w:rPr>
        <w:t xml:space="preserve">5,3 млн. лв., в т.ч.: за заплати и възнаграждения на персонала 9,3 млн. лв., задължителни осигурителни вноски от работодатели 2,7 млн. лв., издръжка </w:t>
      </w:r>
      <w:r w:rsidR="004340EC" w:rsidRPr="004340EC">
        <w:rPr>
          <w:color w:val="000000" w:themeColor="text1"/>
        </w:rPr>
        <w:t>3,3</w:t>
      </w:r>
      <w:r w:rsidRPr="004340EC">
        <w:rPr>
          <w:color w:val="000000" w:themeColor="text1"/>
        </w:rPr>
        <w:t xml:space="preserve"> млн. лв. и придобиване на ДМА </w:t>
      </w:r>
      <w:r w:rsidR="004340EC" w:rsidRPr="004340EC">
        <w:rPr>
          <w:color w:val="000000" w:themeColor="text1"/>
        </w:rPr>
        <w:t>360,0</w:t>
      </w:r>
      <w:r w:rsidRPr="004340EC">
        <w:rPr>
          <w:color w:val="000000" w:themeColor="text1"/>
        </w:rPr>
        <w:t xml:space="preserve"> млн. лв., подлежат на отчитане в § 63-00 „Трансфери между сметки за средствата от ЕС“.</w:t>
      </w:r>
    </w:p>
    <w:p w:rsidR="005A7FA3" w:rsidRPr="004340EC" w:rsidRDefault="005A7FA3" w:rsidP="005A7FA3">
      <w:pPr>
        <w:ind w:firstLine="567"/>
        <w:jc w:val="both"/>
        <w:rPr>
          <w:b/>
          <w:color w:val="000000" w:themeColor="text1"/>
          <w:sz w:val="12"/>
          <w:u w:val="single"/>
        </w:rPr>
      </w:pPr>
    </w:p>
    <w:p w:rsidR="005A7FA3" w:rsidRPr="004340EC" w:rsidRDefault="005A7FA3" w:rsidP="00C4077C">
      <w:pPr>
        <w:numPr>
          <w:ilvl w:val="0"/>
          <w:numId w:val="23"/>
        </w:numPr>
        <w:tabs>
          <w:tab w:val="num" w:pos="540"/>
        </w:tabs>
        <w:spacing w:before="120" w:after="120" w:line="276" w:lineRule="auto"/>
        <w:contextualSpacing/>
        <w:jc w:val="both"/>
        <w:rPr>
          <w:b/>
          <w:color w:val="000000" w:themeColor="text1"/>
          <w:lang w:eastAsia="bg-BG"/>
        </w:rPr>
      </w:pPr>
      <w:r w:rsidRPr="004340EC">
        <w:rPr>
          <w:b/>
          <w:color w:val="000000" w:themeColor="text1"/>
          <w:lang w:eastAsia="bg-BG"/>
        </w:rPr>
        <w:t xml:space="preserve">Трансфери </w:t>
      </w:r>
    </w:p>
    <w:p w:rsidR="005A7FA3" w:rsidRDefault="005A7FA3" w:rsidP="005A7FA3">
      <w:pPr>
        <w:ind w:firstLine="567"/>
        <w:jc w:val="both"/>
        <w:rPr>
          <w:color w:val="000000" w:themeColor="text1"/>
        </w:rPr>
      </w:pPr>
      <w:r w:rsidRPr="004340EC">
        <w:rPr>
          <w:color w:val="000000" w:themeColor="text1"/>
        </w:rPr>
        <w:t>В частта на трансферите, в касовия отчет на ДФЗ-РА към 3</w:t>
      </w:r>
      <w:r w:rsidR="004340EC" w:rsidRPr="004340EC">
        <w:rPr>
          <w:color w:val="000000" w:themeColor="text1"/>
        </w:rPr>
        <w:t>1</w:t>
      </w:r>
      <w:r w:rsidRPr="004340EC">
        <w:rPr>
          <w:color w:val="000000" w:themeColor="text1"/>
        </w:rPr>
        <w:t>.</w:t>
      </w:r>
      <w:r w:rsidR="004340EC" w:rsidRPr="004340EC">
        <w:rPr>
          <w:color w:val="000000" w:themeColor="text1"/>
        </w:rPr>
        <w:t>12</w:t>
      </w:r>
      <w:r w:rsidRPr="004340EC">
        <w:rPr>
          <w:color w:val="000000" w:themeColor="text1"/>
        </w:rPr>
        <w:t>.2020 г. са отразени следните касови потоци:</w:t>
      </w:r>
    </w:p>
    <w:p w:rsidR="004340EC" w:rsidRPr="004340EC" w:rsidRDefault="004340EC" w:rsidP="005A7FA3">
      <w:pPr>
        <w:ind w:firstLine="567"/>
        <w:jc w:val="both"/>
        <w:rPr>
          <w:color w:val="000000" w:themeColor="text1"/>
        </w:rPr>
      </w:pPr>
    </w:p>
    <w:p w:rsidR="004340EC" w:rsidRPr="004340EC" w:rsidRDefault="004340EC" w:rsidP="004340EC">
      <w:pPr>
        <w:numPr>
          <w:ilvl w:val="0"/>
          <w:numId w:val="22"/>
        </w:numPr>
        <w:tabs>
          <w:tab w:val="left" w:pos="993"/>
        </w:tabs>
        <w:spacing w:before="120" w:after="120" w:line="276" w:lineRule="auto"/>
        <w:ind w:left="1321" w:firstLine="567"/>
        <w:jc w:val="both"/>
        <w:rPr>
          <w:b/>
          <w:i/>
          <w:color w:val="000000" w:themeColor="text1"/>
        </w:rPr>
      </w:pPr>
      <w:r w:rsidRPr="004340EC">
        <w:rPr>
          <w:b/>
          <w:i/>
          <w:color w:val="000000" w:themeColor="text1"/>
        </w:rPr>
        <w:t xml:space="preserve">Трансфери между ЦБ и сметки за средства от Европейския съюз </w:t>
      </w:r>
    </w:p>
    <w:p w:rsidR="004340EC" w:rsidRPr="00865922" w:rsidRDefault="004340EC" w:rsidP="004340EC">
      <w:pPr>
        <w:tabs>
          <w:tab w:val="left" w:pos="540"/>
          <w:tab w:val="left" w:pos="993"/>
        </w:tabs>
        <w:spacing w:line="320" w:lineRule="exact"/>
        <w:jc w:val="both"/>
      </w:pPr>
      <w:r w:rsidRPr="00865922">
        <w:lastRenderedPageBreak/>
        <w:tab/>
        <w:t>Планираната сума на трансфера от ЦБ е в размер 213,9 млн.</w:t>
      </w:r>
      <w:r>
        <w:t xml:space="preserve"> </w:t>
      </w:r>
      <w:r w:rsidRPr="00865922">
        <w:t>л</w:t>
      </w:r>
      <w:r>
        <w:t>е</w:t>
      </w:r>
      <w:r w:rsidRPr="00865922">
        <w:t>в</w:t>
      </w:r>
      <w:r>
        <w:t>а</w:t>
      </w:r>
      <w:r w:rsidRPr="00865922">
        <w:t>. Отчетената стойност е 178</w:t>
      </w:r>
      <w:r>
        <w:t>,0</w:t>
      </w:r>
      <w:r w:rsidRPr="00865922">
        <w:t xml:space="preserve"> млн.</w:t>
      </w:r>
      <w:r>
        <w:t xml:space="preserve"> </w:t>
      </w:r>
      <w:r w:rsidRPr="00865922">
        <w:t>лв., съответстваща на получения в края на 2020</w:t>
      </w:r>
      <w:r>
        <w:t xml:space="preserve"> </w:t>
      </w:r>
      <w:r w:rsidRPr="00865922">
        <w:t>г. трансфер от ЦБ за компенсиране на средствата, изплатени от РА за сметка на национално съфинансиране към фондовете ЕФГЗ, ЕЗФРСР, ЕФМДР и ЕФР.</w:t>
      </w:r>
    </w:p>
    <w:p w:rsidR="005A7FA3" w:rsidRPr="007A70FB"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4340EC">
        <w:rPr>
          <w:b/>
          <w:i/>
          <w:color w:val="000000" w:themeColor="text1"/>
        </w:rPr>
        <w:t xml:space="preserve">Трансфери между бюджети и сметки за средства от Европейския </w:t>
      </w:r>
      <w:r w:rsidRPr="007A70FB">
        <w:rPr>
          <w:b/>
          <w:i/>
          <w:color w:val="000000" w:themeColor="text1"/>
        </w:rPr>
        <w:t xml:space="preserve">съюз </w:t>
      </w:r>
    </w:p>
    <w:p w:rsidR="005A7FA3" w:rsidRPr="007A70FB" w:rsidRDefault="005A7FA3" w:rsidP="005A7FA3">
      <w:pPr>
        <w:ind w:firstLine="567"/>
        <w:jc w:val="both"/>
        <w:rPr>
          <w:color w:val="000000" w:themeColor="text1"/>
        </w:rPr>
      </w:pPr>
      <w:r w:rsidRPr="007A70FB">
        <w:rPr>
          <w:color w:val="000000" w:themeColor="text1"/>
        </w:rPr>
        <w:t xml:space="preserve">Получените трансфери от бюджетни сметки на бюджетни организации и общини са формирани при възстановяване на суми по вземания по ПРСР, </w:t>
      </w:r>
      <w:r w:rsidR="007A70FB" w:rsidRPr="007A70FB">
        <w:rPr>
          <w:color w:val="000000" w:themeColor="text1"/>
        </w:rPr>
        <w:t xml:space="preserve">ОПРСР, </w:t>
      </w:r>
      <w:r w:rsidRPr="007A70FB">
        <w:rPr>
          <w:color w:val="000000" w:themeColor="text1"/>
        </w:rPr>
        <w:t xml:space="preserve">ПМДР и директни плащания. </w:t>
      </w:r>
      <w:r w:rsidR="007A70FB" w:rsidRPr="007A70FB">
        <w:rPr>
          <w:color w:val="000000" w:themeColor="text1"/>
        </w:rPr>
        <w:t xml:space="preserve">За </w:t>
      </w:r>
      <w:r w:rsidRPr="007A70FB">
        <w:rPr>
          <w:color w:val="000000" w:themeColor="text1"/>
        </w:rPr>
        <w:t xml:space="preserve">2020 г. техният размер е </w:t>
      </w:r>
      <w:r w:rsidR="007A70FB" w:rsidRPr="007A70FB">
        <w:rPr>
          <w:color w:val="000000" w:themeColor="text1"/>
        </w:rPr>
        <w:t>4,0</w:t>
      </w:r>
      <w:r w:rsidRPr="007A70FB">
        <w:rPr>
          <w:color w:val="000000" w:themeColor="text1"/>
        </w:rPr>
        <w:t xml:space="preserve"> млн. лева. </w:t>
      </w:r>
    </w:p>
    <w:p w:rsidR="005A7FA3" w:rsidRPr="007A70FB" w:rsidRDefault="005A7FA3" w:rsidP="005A7FA3">
      <w:pPr>
        <w:ind w:firstLine="567"/>
        <w:jc w:val="both"/>
        <w:rPr>
          <w:color w:val="000000" w:themeColor="text1"/>
        </w:rPr>
      </w:pPr>
      <w:r w:rsidRPr="007A70FB">
        <w:rPr>
          <w:color w:val="000000" w:themeColor="text1"/>
        </w:rPr>
        <w:tab/>
        <w:t>Предоставените през 2020 г. трансфери във връзка с чл.14 от Закона за подпомагане на земеделските производители възлизат на 0,</w:t>
      </w:r>
      <w:r w:rsidR="007A70FB" w:rsidRPr="007A70FB">
        <w:rPr>
          <w:color w:val="000000" w:themeColor="text1"/>
        </w:rPr>
        <w:t>6</w:t>
      </w:r>
      <w:r w:rsidRPr="007A70FB">
        <w:rPr>
          <w:color w:val="000000" w:themeColor="text1"/>
        </w:rPr>
        <w:t xml:space="preserve"> млн. лева.</w:t>
      </w:r>
    </w:p>
    <w:p w:rsidR="005A7FA3" w:rsidRPr="007A70FB"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7A70FB">
        <w:rPr>
          <w:b/>
          <w:i/>
          <w:color w:val="000000" w:themeColor="text1"/>
        </w:rPr>
        <w:t>Трансфери между сметки за средства от Европейския съюз</w:t>
      </w:r>
    </w:p>
    <w:p w:rsidR="005A7FA3" w:rsidRPr="007A70FB" w:rsidRDefault="005A7FA3" w:rsidP="005A7FA3">
      <w:pPr>
        <w:ind w:firstLine="567"/>
        <w:jc w:val="both"/>
        <w:rPr>
          <w:color w:val="000000" w:themeColor="text1"/>
        </w:rPr>
      </w:pPr>
      <w:r w:rsidRPr="007A70FB">
        <w:rPr>
          <w:color w:val="000000" w:themeColor="text1"/>
        </w:rPr>
        <w:t xml:space="preserve">Предоставените трансфери са формирани от изплатените субсидии и възстановените суми от публични бенефициенти. Към края на 2020 г. са отчетени </w:t>
      </w:r>
      <w:r w:rsidR="007A70FB" w:rsidRPr="007A70FB">
        <w:rPr>
          <w:color w:val="000000" w:themeColor="text1"/>
        </w:rPr>
        <w:t>308,5</w:t>
      </w:r>
      <w:r w:rsidRPr="007A70FB">
        <w:rPr>
          <w:color w:val="000000" w:themeColor="text1"/>
        </w:rPr>
        <w:t xml:space="preserve"> млн. лв., в т.ч.:</w:t>
      </w:r>
    </w:p>
    <w:p w:rsidR="005A7FA3" w:rsidRPr="007A70FB" w:rsidRDefault="005A7FA3" w:rsidP="00C4077C">
      <w:pPr>
        <w:pStyle w:val="ListParagraph"/>
        <w:numPr>
          <w:ilvl w:val="0"/>
          <w:numId w:val="21"/>
        </w:numPr>
        <w:tabs>
          <w:tab w:val="left" w:pos="1080"/>
        </w:tabs>
        <w:spacing w:line="240" w:lineRule="auto"/>
        <w:ind w:left="706" w:firstLine="14"/>
        <w:rPr>
          <w:rFonts w:ascii="Times New Roman" w:hAnsi="Times New Roman"/>
          <w:color w:val="000000" w:themeColor="text1"/>
        </w:rPr>
      </w:pPr>
      <w:r w:rsidRPr="007A70FB">
        <w:rPr>
          <w:rFonts w:ascii="Times New Roman" w:hAnsi="Times New Roman"/>
          <w:color w:val="000000" w:themeColor="text1"/>
        </w:rPr>
        <w:t xml:space="preserve">по Програмата за развитие на селските райони – </w:t>
      </w:r>
      <w:r w:rsidR="007A70FB" w:rsidRPr="007A70FB">
        <w:rPr>
          <w:rFonts w:ascii="Times New Roman" w:hAnsi="Times New Roman"/>
          <w:color w:val="000000" w:themeColor="text1"/>
        </w:rPr>
        <w:t>297,6</w:t>
      </w:r>
      <w:r w:rsidRPr="007A70FB">
        <w:rPr>
          <w:rFonts w:ascii="Times New Roman" w:hAnsi="Times New Roman"/>
          <w:color w:val="000000" w:themeColor="text1"/>
        </w:rPr>
        <w:t xml:space="preserve"> млн. лева;</w:t>
      </w:r>
    </w:p>
    <w:p w:rsidR="005A7FA3" w:rsidRPr="007A70FB" w:rsidRDefault="005A7FA3" w:rsidP="00C4077C">
      <w:pPr>
        <w:pStyle w:val="ListParagraph"/>
        <w:numPr>
          <w:ilvl w:val="0"/>
          <w:numId w:val="21"/>
        </w:numPr>
        <w:tabs>
          <w:tab w:val="left" w:pos="1080"/>
        </w:tabs>
        <w:spacing w:line="240" w:lineRule="auto"/>
        <w:ind w:left="706" w:firstLine="14"/>
        <w:rPr>
          <w:rFonts w:ascii="Times New Roman" w:hAnsi="Times New Roman"/>
          <w:color w:val="000000" w:themeColor="text1"/>
        </w:rPr>
      </w:pPr>
      <w:r w:rsidRPr="007A70FB">
        <w:rPr>
          <w:rFonts w:ascii="Times New Roman" w:hAnsi="Times New Roman"/>
          <w:color w:val="000000" w:themeColor="text1"/>
        </w:rPr>
        <w:t>национално съфинансиране към директни плащания: 0,</w:t>
      </w:r>
      <w:r w:rsidR="007A70FB" w:rsidRPr="007A70FB">
        <w:rPr>
          <w:rFonts w:ascii="Times New Roman" w:hAnsi="Times New Roman"/>
          <w:color w:val="000000" w:themeColor="text1"/>
        </w:rPr>
        <w:t>2</w:t>
      </w:r>
      <w:r w:rsidRPr="007A70FB">
        <w:rPr>
          <w:rFonts w:ascii="Times New Roman" w:hAnsi="Times New Roman"/>
          <w:color w:val="000000" w:themeColor="text1"/>
        </w:rPr>
        <w:t xml:space="preserve"> млн. лева;</w:t>
      </w:r>
    </w:p>
    <w:p w:rsidR="005A7FA3" w:rsidRPr="007A70FB" w:rsidRDefault="005A7FA3" w:rsidP="00C4077C">
      <w:pPr>
        <w:pStyle w:val="ListParagraph"/>
        <w:numPr>
          <w:ilvl w:val="0"/>
          <w:numId w:val="21"/>
        </w:numPr>
        <w:tabs>
          <w:tab w:val="left" w:pos="1080"/>
        </w:tabs>
        <w:spacing w:line="240" w:lineRule="auto"/>
        <w:ind w:left="706" w:firstLine="14"/>
        <w:rPr>
          <w:rFonts w:ascii="Times New Roman" w:hAnsi="Times New Roman"/>
          <w:color w:val="000000" w:themeColor="text1"/>
        </w:rPr>
      </w:pPr>
      <w:r w:rsidRPr="007A70FB">
        <w:rPr>
          <w:rFonts w:ascii="Times New Roman" w:hAnsi="Times New Roman"/>
          <w:color w:val="000000" w:themeColor="text1"/>
        </w:rPr>
        <w:t>по Програмата за морско дело и рибарство: 1</w:t>
      </w:r>
      <w:r w:rsidR="007A70FB" w:rsidRPr="007A70FB">
        <w:rPr>
          <w:rFonts w:ascii="Times New Roman" w:hAnsi="Times New Roman"/>
          <w:color w:val="000000" w:themeColor="text1"/>
        </w:rPr>
        <w:t>0,7</w:t>
      </w:r>
      <w:r w:rsidRPr="007A70FB">
        <w:rPr>
          <w:rFonts w:ascii="Times New Roman" w:hAnsi="Times New Roman"/>
          <w:color w:val="000000" w:themeColor="text1"/>
        </w:rPr>
        <w:t xml:space="preserve"> млн. лева;</w:t>
      </w:r>
    </w:p>
    <w:p w:rsidR="005A7FA3" w:rsidRPr="007A70FB" w:rsidRDefault="005A7FA3" w:rsidP="00C4077C">
      <w:pPr>
        <w:pStyle w:val="ListParagraph"/>
        <w:numPr>
          <w:ilvl w:val="0"/>
          <w:numId w:val="21"/>
        </w:numPr>
        <w:tabs>
          <w:tab w:val="left" w:pos="1080"/>
        </w:tabs>
        <w:spacing w:line="240" w:lineRule="auto"/>
        <w:ind w:left="706" w:firstLine="14"/>
        <w:rPr>
          <w:rFonts w:ascii="Times New Roman" w:hAnsi="Times New Roman"/>
          <w:color w:val="000000" w:themeColor="text1"/>
        </w:rPr>
      </w:pPr>
      <w:r w:rsidRPr="007A70FB">
        <w:rPr>
          <w:rFonts w:ascii="Times New Roman" w:hAnsi="Times New Roman"/>
          <w:color w:val="000000" w:themeColor="text1"/>
        </w:rPr>
        <w:t>училищни схеми: 0,03 млн. лева.</w:t>
      </w:r>
    </w:p>
    <w:p w:rsidR="005A7FA3" w:rsidRPr="007A70FB" w:rsidRDefault="005A7FA3" w:rsidP="005A7FA3">
      <w:pPr>
        <w:ind w:firstLine="567"/>
        <w:jc w:val="both"/>
        <w:rPr>
          <w:color w:val="000000" w:themeColor="text1"/>
        </w:rPr>
      </w:pPr>
      <w:r w:rsidRPr="007A70FB">
        <w:rPr>
          <w:color w:val="000000" w:themeColor="text1"/>
        </w:rPr>
        <w:t xml:space="preserve">За </w:t>
      </w:r>
      <w:r w:rsidR="00552CD5" w:rsidRPr="007A70FB">
        <w:rPr>
          <w:color w:val="000000" w:themeColor="text1"/>
        </w:rPr>
        <w:t>2019 г. са предоставени</w:t>
      </w:r>
      <w:r w:rsidRPr="007A70FB">
        <w:rPr>
          <w:color w:val="000000" w:themeColor="text1"/>
        </w:rPr>
        <w:t xml:space="preserve"> трансфери в размер на 2</w:t>
      </w:r>
      <w:r w:rsidR="007A70FB" w:rsidRPr="007A70FB">
        <w:rPr>
          <w:color w:val="000000" w:themeColor="text1"/>
        </w:rPr>
        <w:t>89,7</w:t>
      </w:r>
      <w:r w:rsidR="00B608CB" w:rsidRPr="007A70FB">
        <w:rPr>
          <w:color w:val="000000" w:themeColor="text1"/>
        </w:rPr>
        <w:t> </w:t>
      </w:r>
      <w:r w:rsidRPr="007A70FB">
        <w:rPr>
          <w:color w:val="000000" w:themeColor="text1"/>
        </w:rPr>
        <w:t>млн. лева.</w:t>
      </w:r>
    </w:p>
    <w:p w:rsidR="005A7FA3" w:rsidRPr="007A70FB" w:rsidRDefault="005A7FA3" w:rsidP="005A7FA3">
      <w:pPr>
        <w:tabs>
          <w:tab w:val="left" w:pos="540"/>
        </w:tabs>
        <w:ind w:firstLine="567"/>
        <w:jc w:val="both"/>
        <w:rPr>
          <w:color w:val="000000" w:themeColor="text1"/>
        </w:rPr>
      </w:pPr>
      <w:r w:rsidRPr="007A70FB">
        <w:rPr>
          <w:color w:val="000000" w:themeColor="text1"/>
          <w:lang w:eastAsia="bg-BG"/>
        </w:rPr>
        <w:tab/>
      </w:r>
    </w:p>
    <w:p w:rsidR="005A7FA3" w:rsidRPr="007A70FB" w:rsidRDefault="005A7FA3" w:rsidP="00C4077C">
      <w:pPr>
        <w:numPr>
          <w:ilvl w:val="0"/>
          <w:numId w:val="23"/>
        </w:numPr>
        <w:tabs>
          <w:tab w:val="num" w:pos="540"/>
        </w:tabs>
        <w:spacing w:before="120" w:after="120" w:line="276" w:lineRule="auto"/>
        <w:contextualSpacing/>
        <w:jc w:val="both"/>
        <w:rPr>
          <w:b/>
          <w:color w:val="000000" w:themeColor="text1"/>
          <w:lang w:eastAsia="bg-BG"/>
        </w:rPr>
      </w:pPr>
      <w:r w:rsidRPr="007A70FB">
        <w:rPr>
          <w:b/>
          <w:color w:val="000000" w:themeColor="text1"/>
          <w:lang w:eastAsia="bg-BG"/>
        </w:rPr>
        <w:t>Финансиране</w:t>
      </w:r>
    </w:p>
    <w:p w:rsidR="007A70FB" w:rsidRPr="007A70FB" w:rsidRDefault="007A70FB" w:rsidP="00B25CF2">
      <w:pPr>
        <w:numPr>
          <w:ilvl w:val="0"/>
          <w:numId w:val="22"/>
        </w:numPr>
        <w:tabs>
          <w:tab w:val="left" w:pos="993"/>
        </w:tabs>
        <w:spacing w:before="120" w:after="120" w:line="276" w:lineRule="auto"/>
        <w:ind w:left="1321" w:firstLine="567"/>
        <w:jc w:val="both"/>
        <w:rPr>
          <w:b/>
          <w:i/>
          <w:color w:val="000000" w:themeColor="text1"/>
        </w:rPr>
      </w:pPr>
      <w:r w:rsidRPr="007A70FB">
        <w:rPr>
          <w:b/>
          <w:i/>
          <w:color w:val="000000" w:themeColor="text1"/>
        </w:rPr>
        <w:t>Събрани средства и извършени плащания за сметка на други бюджети</w:t>
      </w:r>
    </w:p>
    <w:p w:rsidR="007A70FB" w:rsidRPr="007A70FB" w:rsidRDefault="007A70FB" w:rsidP="007A70FB">
      <w:pPr>
        <w:tabs>
          <w:tab w:val="left" w:pos="851"/>
        </w:tabs>
        <w:ind w:firstLine="426"/>
        <w:jc w:val="both"/>
        <w:rPr>
          <w:b/>
          <w:lang w:eastAsia="bg-BG"/>
        </w:rPr>
      </w:pPr>
      <w:r w:rsidRPr="007A70FB">
        <w:rPr>
          <w:b/>
          <w:lang w:eastAsia="bg-BG"/>
        </w:rPr>
        <w:tab/>
      </w:r>
      <w:r w:rsidRPr="007A70FB">
        <w:rPr>
          <w:lang w:eastAsia="bg-BG"/>
        </w:rPr>
        <w:t>Към 31.12.2020</w:t>
      </w:r>
      <w:r w:rsidR="00B25CF2">
        <w:rPr>
          <w:lang w:eastAsia="bg-BG"/>
        </w:rPr>
        <w:t xml:space="preserve"> </w:t>
      </w:r>
      <w:r w:rsidRPr="007A70FB">
        <w:rPr>
          <w:lang w:eastAsia="bg-BG"/>
        </w:rPr>
        <w:t>г. сумата за събрани средства и извършени плащания за сметка на други бюджети възлиза нето на 0,1 млн.</w:t>
      </w:r>
      <w:r w:rsidR="00B25CF2">
        <w:rPr>
          <w:lang w:eastAsia="bg-BG"/>
        </w:rPr>
        <w:t xml:space="preserve"> </w:t>
      </w:r>
      <w:r w:rsidRPr="007A70FB">
        <w:rPr>
          <w:lang w:eastAsia="bg-BG"/>
        </w:rPr>
        <w:t>л</w:t>
      </w:r>
      <w:r w:rsidR="00B25CF2">
        <w:rPr>
          <w:lang w:eastAsia="bg-BG"/>
        </w:rPr>
        <w:t>е</w:t>
      </w:r>
      <w:r w:rsidRPr="007A70FB">
        <w:rPr>
          <w:lang w:eastAsia="bg-BG"/>
        </w:rPr>
        <w:t>в</w:t>
      </w:r>
      <w:r w:rsidR="00B25CF2">
        <w:rPr>
          <w:lang w:eastAsia="bg-BG"/>
        </w:rPr>
        <w:t>а</w:t>
      </w:r>
      <w:r w:rsidRPr="007A70FB">
        <w:rPr>
          <w:lang w:eastAsia="bg-BG"/>
        </w:rPr>
        <w:t>.</w:t>
      </w:r>
    </w:p>
    <w:p w:rsidR="007A70FB" w:rsidRPr="007A70FB" w:rsidRDefault="007A70FB" w:rsidP="00B25CF2">
      <w:pPr>
        <w:numPr>
          <w:ilvl w:val="0"/>
          <w:numId w:val="22"/>
        </w:numPr>
        <w:tabs>
          <w:tab w:val="left" w:pos="993"/>
        </w:tabs>
        <w:spacing w:before="120" w:after="120" w:line="276" w:lineRule="auto"/>
        <w:ind w:left="1321" w:firstLine="567"/>
        <w:jc w:val="both"/>
        <w:rPr>
          <w:b/>
          <w:i/>
          <w:color w:val="000000" w:themeColor="text1"/>
        </w:rPr>
      </w:pPr>
      <w:r w:rsidRPr="007A70FB">
        <w:rPr>
          <w:b/>
          <w:i/>
          <w:color w:val="000000" w:themeColor="text1"/>
        </w:rPr>
        <w:t>Друго финансиране</w:t>
      </w:r>
    </w:p>
    <w:p w:rsidR="007A70FB" w:rsidRPr="007A70FB" w:rsidRDefault="007A70FB" w:rsidP="007A70FB">
      <w:pPr>
        <w:jc w:val="both"/>
        <w:rPr>
          <w:lang w:eastAsia="bg-BG"/>
        </w:rPr>
      </w:pPr>
      <w:r w:rsidRPr="007A70FB">
        <w:rPr>
          <w:color w:val="0070C0"/>
          <w:lang w:eastAsia="bg-BG"/>
        </w:rPr>
        <w:tab/>
      </w:r>
      <w:r w:rsidRPr="007A70FB">
        <w:rPr>
          <w:lang w:eastAsia="bg-BG"/>
        </w:rPr>
        <w:t>Към 31.12.2020</w:t>
      </w:r>
      <w:r w:rsidR="00B25CF2">
        <w:rPr>
          <w:lang w:eastAsia="bg-BG"/>
        </w:rPr>
        <w:t xml:space="preserve"> </w:t>
      </w:r>
      <w:r w:rsidRPr="007A70FB">
        <w:rPr>
          <w:lang w:eastAsia="bg-BG"/>
        </w:rPr>
        <w:t>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18,7 млн.</w:t>
      </w:r>
      <w:r w:rsidR="00B25CF2">
        <w:rPr>
          <w:lang w:eastAsia="bg-BG"/>
        </w:rPr>
        <w:t xml:space="preserve"> </w:t>
      </w:r>
      <w:r w:rsidRPr="007A70FB">
        <w:rPr>
          <w:lang w:eastAsia="bg-BG"/>
        </w:rPr>
        <w:t>лв., при планирани 192,5 млн.</w:t>
      </w:r>
      <w:r w:rsidR="00B25CF2">
        <w:rPr>
          <w:lang w:eastAsia="bg-BG"/>
        </w:rPr>
        <w:t xml:space="preserve"> </w:t>
      </w:r>
      <w:r w:rsidRPr="007A70FB">
        <w:rPr>
          <w:lang w:eastAsia="bg-BG"/>
        </w:rPr>
        <w:t>л</w:t>
      </w:r>
      <w:r w:rsidR="00B25CF2">
        <w:rPr>
          <w:lang w:eastAsia="bg-BG"/>
        </w:rPr>
        <w:t>е</w:t>
      </w:r>
      <w:r w:rsidRPr="007A70FB">
        <w:rPr>
          <w:lang w:eastAsia="bg-BG"/>
        </w:rPr>
        <w:t>в</w:t>
      </w:r>
      <w:r w:rsidR="00B25CF2">
        <w:rPr>
          <w:lang w:eastAsia="bg-BG"/>
        </w:rPr>
        <w:t>а</w:t>
      </w:r>
      <w:r w:rsidRPr="007A70FB">
        <w:rPr>
          <w:lang w:eastAsia="bg-BG"/>
        </w:rPr>
        <w:t>.</w:t>
      </w:r>
    </w:p>
    <w:p w:rsidR="007A70FB" w:rsidRPr="007A70FB" w:rsidRDefault="007A70FB" w:rsidP="007A70FB">
      <w:pPr>
        <w:jc w:val="both"/>
        <w:rPr>
          <w:lang w:eastAsia="bg-BG"/>
        </w:rPr>
      </w:pPr>
      <w:r w:rsidRPr="007A70FB">
        <w:rPr>
          <w:lang w:eastAsia="bg-BG"/>
        </w:rPr>
        <w:tab/>
      </w:r>
    </w:p>
    <w:p w:rsidR="007A70FB" w:rsidRPr="007A70FB" w:rsidRDefault="007A70FB" w:rsidP="007A70FB">
      <w:pPr>
        <w:jc w:val="both"/>
        <w:rPr>
          <w:lang w:eastAsia="bg-BG"/>
        </w:rPr>
      </w:pPr>
      <w:r w:rsidRPr="007A70FB">
        <w:rPr>
          <w:lang w:eastAsia="bg-BG"/>
        </w:rPr>
        <w:tab/>
        <w:t>През 2020</w:t>
      </w:r>
      <w:r w:rsidR="00B25CF2">
        <w:rPr>
          <w:lang w:eastAsia="bg-BG"/>
        </w:rPr>
        <w:t xml:space="preserve"> </w:t>
      </w:r>
      <w:r w:rsidRPr="007A70FB">
        <w:rPr>
          <w:lang w:eastAsia="bg-BG"/>
        </w:rPr>
        <w:t>г. са отчетени плащания в общ размер 1 861,6 млн.</w:t>
      </w:r>
      <w:r w:rsidR="00B25CF2">
        <w:rPr>
          <w:lang w:eastAsia="bg-BG"/>
        </w:rPr>
        <w:t xml:space="preserve"> </w:t>
      </w:r>
      <w:r w:rsidRPr="007A70FB">
        <w:rPr>
          <w:lang w:eastAsia="bg-BG"/>
        </w:rPr>
        <w:t>лв., представляващи 96,7</w:t>
      </w:r>
      <w:r w:rsidR="00B25CF2">
        <w:rPr>
          <w:lang w:eastAsia="bg-BG"/>
        </w:rPr>
        <w:t> </w:t>
      </w:r>
      <w:r w:rsidRPr="007A70FB">
        <w:rPr>
          <w:lang w:eastAsia="bg-BG"/>
        </w:rPr>
        <w:t>% от годишните разчети, които са 1 926,1 млн.</w:t>
      </w:r>
      <w:r w:rsidR="00B25CF2">
        <w:rPr>
          <w:lang w:eastAsia="bg-BG"/>
        </w:rPr>
        <w:t xml:space="preserve"> </w:t>
      </w:r>
      <w:r w:rsidRPr="007A70FB">
        <w:rPr>
          <w:lang w:eastAsia="bg-BG"/>
        </w:rPr>
        <w:t>л</w:t>
      </w:r>
      <w:r w:rsidR="00B25CF2">
        <w:rPr>
          <w:lang w:eastAsia="bg-BG"/>
        </w:rPr>
        <w:t>е</w:t>
      </w:r>
      <w:r w:rsidRPr="007A70FB">
        <w:rPr>
          <w:lang w:eastAsia="bg-BG"/>
        </w:rPr>
        <w:t>в</w:t>
      </w:r>
      <w:r w:rsidR="00B25CF2">
        <w:rPr>
          <w:lang w:eastAsia="bg-BG"/>
        </w:rPr>
        <w:t>а</w:t>
      </w:r>
      <w:r w:rsidRPr="007A70FB">
        <w:rPr>
          <w:lang w:eastAsia="bg-BG"/>
        </w:rPr>
        <w:t>. През 2019</w:t>
      </w:r>
      <w:r w:rsidR="00B25CF2">
        <w:rPr>
          <w:lang w:eastAsia="bg-BG"/>
        </w:rPr>
        <w:t xml:space="preserve"> </w:t>
      </w:r>
      <w:r w:rsidRPr="007A70FB">
        <w:rPr>
          <w:lang w:eastAsia="bg-BG"/>
        </w:rPr>
        <w:t>г. плащанията, отчитани като финансиране са били 1 807,6 млн.</w:t>
      </w:r>
      <w:r w:rsidR="00B25CF2">
        <w:rPr>
          <w:lang w:eastAsia="bg-BG"/>
        </w:rPr>
        <w:t xml:space="preserve"> </w:t>
      </w:r>
      <w:r w:rsidRPr="007A70FB">
        <w:rPr>
          <w:lang w:eastAsia="bg-BG"/>
        </w:rPr>
        <w:t>л</w:t>
      </w:r>
      <w:r w:rsidR="00B25CF2">
        <w:rPr>
          <w:lang w:eastAsia="bg-BG"/>
        </w:rPr>
        <w:t>е</w:t>
      </w:r>
      <w:r w:rsidRPr="007A70FB">
        <w:rPr>
          <w:lang w:eastAsia="bg-BG"/>
        </w:rPr>
        <w:t>в</w:t>
      </w:r>
      <w:r w:rsidR="00B25CF2">
        <w:rPr>
          <w:lang w:eastAsia="bg-BG"/>
        </w:rPr>
        <w:t>а</w:t>
      </w:r>
      <w:r w:rsidRPr="007A70FB">
        <w:rPr>
          <w:lang w:eastAsia="bg-BG"/>
        </w:rPr>
        <w:t>.</w:t>
      </w:r>
    </w:p>
    <w:p w:rsidR="007A70FB" w:rsidRPr="007A70FB" w:rsidRDefault="007A70FB" w:rsidP="007A70FB">
      <w:pPr>
        <w:jc w:val="both"/>
        <w:rPr>
          <w:lang w:eastAsia="bg-BG"/>
        </w:rPr>
      </w:pPr>
      <w:r w:rsidRPr="007A70FB">
        <w:rPr>
          <w:lang w:eastAsia="bg-BG"/>
        </w:rPr>
        <w:tab/>
        <w:t>Отчетените плащания са по следните направления:</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t>1 576,1 млн.</w:t>
      </w:r>
      <w:r w:rsidR="00B25CF2">
        <w:rPr>
          <w:szCs w:val="20"/>
        </w:rPr>
        <w:t xml:space="preserve"> </w:t>
      </w:r>
      <w:r w:rsidRPr="007A70FB">
        <w:rPr>
          <w:szCs w:val="20"/>
        </w:rPr>
        <w:t>лв. за директни плащания за сметка на ЕФГЗ, представляващи 97,9</w:t>
      </w:r>
      <w:r w:rsidR="00B25CF2">
        <w:rPr>
          <w:szCs w:val="20"/>
        </w:rPr>
        <w:t xml:space="preserve"> </w:t>
      </w:r>
      <w:r w:rsidRPr="007A70FB">
        <w:rPr>
          <w:szCs w:val="20"/>
        </w:rPr>
        <w:t>% от планираните 1 609,2 млн.</w:t>
      </w:r>
      <w:r w:rsidR="00B25CF2">
        <w:rPr>
          <w:szCs w:val="20"/>
        </w:rPr>
        <w:t xml:space="preserve"> </w:t>
      </w:r>
      <w:r w:rsidRPr="007A70FB">
        <w:rPr>
          <w:szCs w:val="20"/>
        </w:rPr>
        <w:t>л</w:t>
      </w:r>
      <w:r w:rsidR="00B25CF2">
        <w:rPr>
          <w:szCs w:val="20"/>
        </w:rPr>
        <w:t>е</w:t>
      </w:r>
      <w:r w:rsidRPr="007A70FB">
        <w:rPr>
          <w:szCs w:val="20"/>
        </w:rPr>
        <w:t>в</w:t>
      </w:r>
      <w:r w:rsidR="00B25CF2">
        <w:rPr>
          <w:szCs w:val="20"/>
        </w:rPr>
        <w:t>а</w:t>
      </w:r>
      <w:r w:rsidRPr="007A70FB">
        <w:rPr>
          <w:szCs w:val="20"/>
        </w:rPr>
        <w:t>;</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t>253</w:t>
      </w:r>
      <w:r w:rsidR="00B25CF2">
        <w:rPr>
          <w:szCs w:val="20"/>
        </w:rPr>
        <w:t>,0</w:t>
      </w:r>
      <w:r w:rsidRPr="007A70FB">
        <w:rPr>
          <w:szCs w:val="20"/>
        </w:rPr>
        <w:t xml:space="preserve"> млн.</w:t>
      </w:r>
      <w:r w:rsidR="00B25CF2">
        <w:rPr>
          <w:szCs w:val="20"/>
        </w:rPr>
        <w:t xml:space="preserve"> </w:t>
      </w:r>
      <w:r w:rsidRPr="007A70FB">
        <w:rPr>
          <w:szCs w:val="20"/>
        </w:rPr>
        <w:t>лв. средства от ЕЗФРСР, прехвърлени към директни плащания, което е 94,5</w:t>
      </w:r>
      <w:r w:rsidR="00B25CF2">
        <w:rPr>
          <w:szCs w:val="20"/>
        </w:rPr>
        <w:t xml:space="preserve"> </w:t>
      </w:r>
      <w:r w:rsidRPr="007A70FB">
        <w:rPr>
          <w:szCs w:val="20"/>
        </w:rPr>
        <w:t>% от планираните 267,8 млн.</w:t>
      </w:r>
      <w:r w:rsidR="00B25CF2">
        <w:rPr>
          <w:szCs w:val="20"/>
        </w:rPr>
        <w:t xml:space="preserve"> </w:t>
      </w:r>
      <w:r w:rsidRPr="007A70FB">
        <w:rPr>
          <w:szCs w:val="20"/>
        </w:rPr>
        <w:t>л</w:t>
      </w:r>
      <w:r w:rsidR="00B25CF2">
        <w:rPr>
          <w:szCs w:val="20"/>
        </w:rPr>
        <w:t>е</w:t>
      </w:r>
      <w:r w:rsidRPr="007A70FB">
        <w:rPr>
          <w:szCs w:val="20"/>
        </w:rPr>
        <w:t>в</w:t>
      </w:r>
      <w:r w:rsidR="00B25CF2">
        <w:rPr>
          <w:szCs w:val="20"/>
        </w:rPr>
        <w:t>а</w:t>
      </w:r>
      <w:r w:rsidRPr="007A70FB">
        <w:rPr>
          <w:szCs w:val="20"/>
        </w:rPr>
        <w:t>.;</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t>20,8 млн.</w:t>
      </w:r>
      <w:r w:rsidR="00B25CF2">
        <w:rPr>
          <w:szCs w:val="20"/>
        </w:rPr>
        <w:t xml:space="preserve"> </w:t>
      </w:r>
      <w:r w:rsidRPr="007A70FB">
        <w:rPr>
          <w:szCs w:val="20"/>
        </w:rPr>
        <w:t>лв. за пазарни мерки при разчет за плащания в размер 25,3 млн.</w:t>
      </w:r>
      <w:r w:rsidR="00B25CF2">
        <w:rPr>
          <w:szCs w:val="20"/>
        </w:rPr>
        <w:t xml:space="preserve"> </w:t>
      </w:r>
      <w:r w:rsidRPr="007A70FB">
        <w:rPr>
          <w:szCs w:val="20"/>
        </w:rPr>
        <w:t>лв. изпълнение 82,2</w:t>
      </w:r>
      <w:r w:rsidR="00B25CF2">
        <w:rPr>
          <w:szCs w:val="20"/>
        </w:rPr>
        <w:t xml:space="preserve"> </w:t>
      </w:r>
      <w:r w:rsidRPr="007A70FB">
        <w:rPr>
          <w:szCs w:val="20"/>
        </w:rPr>
        <w:t>%;</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t>11,7 млн.</w:t>
      </w:r>
      <w:r w:rsidR="00B25CF2">
        <w:rPr>
          <w:szCs w:val="20"/>
        </w:rPr>
        <w:t xml:space="preserve"> </w:t>
      </w:r>
      <w:r w:rsidRPr="007A70FB">
        <w:rPr>
          <w:szCs w:val="20"/>
        </w:rPr>
        <w:t>лв. за преструктуриране, изпълнение 49,4</w:t>
      </w:r>
      <w:r w:rsidR="0004301F">
        <w:rPr>
          <w:szCs w:val="20"/>
        </w:rPr>
        <w:t xml:space="preserve"> </w:t>
      </w:r>
      <w:r w:rsidRPr="007A70FB">
        <w:rPr>
          <w:szCs w:val="20"/>
        </w:rPr>
        <w:t>% от планираните плащания в размер 23,7 млн.</w:t>
      </w:r>
      <w:r w:rsidR="00B25CF2">
        <w:rPr>
          <w:szCs w:val="20"/>
        </w:rPr>
        <w:t xml:space="preserve"> </w:t>
      </w:r>
      <w:r w:rsidRPr="007A70FB">
        <w:rPr>
          <w:szCs w:val="20"/>
        </w:rPr>
        <w:t>лв.</w:t>
      </w:r>
    </w:p>
    <w:p w:rsidR="007A70FB" w:rsidRPr="007A70FB" w:rsidRDefault="007A70FB" w:rsidP="007A70FB">
      <w:pPr>
        <w:jc w:val="both"/>
        <w:rPr>
          <w:lang w:eastAsia="bg-BG"/>
        </w:rPr>
      </w:pPr>
      <w:r w:rsidRPr="007A70FB">
        <w:rPr>
          <w:lang w:eastAsia="bg-BG"/>
        </w:rPr>
        <w:tab/>
      </w:r>
    </w:p>
    <w:p w:rsidR="007A70FB" w:rsidRPr="007A70FB" w:rsidRDefault="007A70FB" w:rsidP="007A70FB">
      <w:pPr>
        <w:jc w:val="both"/>
        <w:rPr>
          <w:lang w:eastAsia="bg-BG"/>
        </w:rPr>
      </w:pPr>
      <w:r w:rsidRPr="007A70FB">
        <w:rPr>
          <w:lang w:eastAsia="bg-BG"/>
        </w:rPr>
        <w:tab/>
        <w:t>Възстановените суми от Европейския съюз към 31.12.2020</w:t>
      </w:r>
      <w:r w:rsidR="00B25CF2">
        <w:rPr>
          <w:lang w:eastAsia="bg-BG"/>
        </w:rPr>
        <w:t xml:space="preserve"> </w:t>
      </w:r>
      <w:r w:rsidRPr="007A70FB">
        <w:rPr>
          <w:lang w:eastAsia="bg-BG"/>
        </w:rPr>
        <w:t>г. възлизат общо на 1 725,7 млн.</w:t>
      </w:r>
      <w:r w:rsidR="00B25CF2">
        <w:rPr>
          <w:lang w:eastAsia="bg-BG"/>
        </w:rPr>
        <w:t xml:space="preserve"> </w:t>
      </w:r>
      <w:r w:rsidRPr="007A70FB">
        <w:rPr>
          <w:lang w:eastAsia="bg-BG"/>
        </w:rPr>
        <w:t>лв., представляващи 99,4</w:t>
      </w:r>
      <w:r w:rsidR="00B25CF2">
        <w:rPr>
          <w:lang w:eastAsia="bg-BG"/>
        </w:rPr>
        <w:t xml:space="preserve"> </w:t>
      </w:r>
      <w:r w:rsidRPr="007A70FB">
        <w:rPr>
          <w:lang w:eastAsia="bg-BG"/>
        </w:rPr>
        <w:t>% от планираните 1 735,6 млн.</w:t>
      </w:r>
      <w:r w:rsidR="00B25CF2">
        <w:rPr>
          <w:lang w:eastAsia="bg-BG"/>
        </w:rPr>
        <w:t xml:space="preserve"> </w:t>
      </w:r>
      <w:r w:rsidRPr="007A70FB">
        <w:rPr>
          <w:lang w:eastAsia="bg-BG"/>
        </w:rPr>
        <w:t>л</w:t>
      </w:r>
      <w:r w:rsidR="00B25CF2">
        <w:rPr>
          <w:lang w:eastAsia="bg-BG"/>
        </w:rPr>
        <w:t>е</w:t>
      </w:r>
      <w:r w:rsidRPr="007A70FB">
        <w:rPr>
          <w:lang w:eastAsia="bg-BG"/>
        </w:rPr>
        <w:t>в</w:t>
      </w:r>
      <w:r w:rsidR="00B25CF2">
        <w:rPr>
          <w:lang w:eastAsia="bg-BG"/>
        </w:rPr>
        <w:t>а</w:t>
      </w:r>
      <w:r w:rsidRPr="007A70FB">
        <w:rPr>
          <w:lang w:eastAsia="bg-BG"/>
        </w:rPr>
        <w:t xml:space="preserve">. Степента на изпълнение </w:t>
      </w:r>
      <w:r w:rsidR="007D1DD5">
        <w:rPr>
          <w:lang w:eastAsia="bg-BG"/>
        </w:rPr>
        <w:t>за</w:t>
      </w:r>
      <w:r w:rsidRPr="007A70FB">
        <w:rPr>
          <w:lang w:eastAsia="bg-BG"/>
        </w:rPr>
        <w:t xml:space="preserve"> 2019</w:t>
      </w:r>
      <w:r w:rsidR="00B25CF2">
        <w:rPr>
          <w:lang w:eastAsia="bg-BG"/>
        </w:rPr>
        <w:t xml:space="preserve"> </w:t>
      </w:r>
      <w:r w:rsidRPr="007A70FB">
        <w:rPr>
          <w:lang w:eastAsia="bg-BG"/>
        </w:rPr>
        <w:t>г. е била 99,9</w:t>
      </w:r>
      <w:r w:rsidR="00B25CF2">
        <w:rPr>
          <w:lang w:eastAsia="bg-BG"/>
        </w:rPr>
        <w:t xml:space="preserve"> </w:t>
      </w:r>
      <w:r w:rsidRPr="007A70FB">
        <w:rPr>
          <w:lang w:eastAsia="bg-BG"/>
        </w:rPr>
        <w:t>%.</w:t>
      </w:r>
    </w:p>
    <w:p w:rsidR="007A70FB" w:rsidRPr="007A70FB" w:rsidRDefault="007A70FB" w:rsidP="007A70FB">
      <w:pPr>
        <w:jc w:val="both"/>
        <w:rPr>
          <w:color w:val="0070C0"/>
          <w:lang w:eastAsia="bg-BG"/>
        </w:rPr>
      </w:pPr>
      <w:r w:rsidRPr="007A70FB">
        <w:rPr>
          <w:lang w:eastAsia="bg-BG"/>
        </w:rPr>
        <w:tab/>
        <w:t>Възстановени са суми по следните направления:</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t>1 518,5 млн.</w:t>
      </w:r>
      <w:r w:rsidR="00B25CF2">
        <w:rPr>
          <w:szCs w:val="20"/>
        </w:rPr>
        <w:t xml:space="preserve"> </w:t>
      </w:r>
      <w:r w:rsidRPr="007A70FB">
        <w:rPr>
          <w:szCs w:val="20"/>
        </w:rPr>
        <w:t>лв. за директни плащания от ЕФГЗ</w:t>
      </w:r>
      <w:r w:rsidR="00B25CF2">
        <w:rPr>
          <w:szCs w:val="20"/>
        </w:rPr>
        <w:t>,</w:t>
      </w:r>
      <w:r w:rsidRPr="007A70FB">
        <w:rPr>
          <w:szCs w:val="20"/>
        </w:rPr>
        <w:t xml:space="preserve"> 100</w:t>
      </w:r>
      <w:r w:rsidR="00B25CF2">
        <w:rPr>
          <w:szCs w:val="20"/>
        </w:rPr>
        <w:t xml:space="preserve"> </w:t>
      </w:r>
      <w:r w:rsidRPr="007A70FB">
        <w:rPr>
          <w:szCs w:val="20"/>
        </w:rPr>
        <w:t xml:space="preserve">% </w:t>
      </w:r>
      <w:r w:rsidR="00B25CF2">
        <w:rPr>
          <w:szCs w:val="20"/>
        </w:rPr>
        <w:t>изпълнение на</w:t>
      </w:r>
      <w:r w:rsidRPr="007A70FB">
        <w:rPr>
          <w:szCs w:val="20"/>
        </w:rPr>
        <w:t xml:space="preserve"> планираните 1 518,2 млн.</w:t>
      </w:r>
      <w:r w:rsidR="00B25CF2">
        <w:rPr>
          <w:szCs w:val="20"/>
        </w:rPr>
        <w:t xml:space="preserve"> </w:t>
      </w:r>
      <w:r w:rsidRPr="007A70FB">
        <w:rPr>
          <w:szCs w:val="20"/>
        </w:rPr>
        <w:t>л</w:t>
      </w:r>
      <w:r w:rsidR="00B25CF2">
        <w:rPr>
          <w:szCs w:val="20"/>
        </w:rPr>
        <w:t>е</w:t>
      </w:r>
      <w:r w:rsidRPr="007A70FB">
        <w:rPr>
          <w:szCs w:val="20"/>
        </w:rPr>
        <w:t>в</w:t>
      </w:r>
      <w:r w:rsidR="00B25CF2">
        <w:rPr>
          <w:szCs w:val="20"/>
        </w:rPr>
        <w:t>а</w:t>
      </w:r>
      <w:r w:rsidRPr="007A70FB">
        <w:rPr>
          <w:szCs w:val="20"/>
        </w:rPr>
        <w:t>;</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lastRenderedPageBreak/>
        <w:t>180,4 млн.</w:t>
      </w:r>
      <w:r w:rsidR="00B25CF2">
        <w:rPr>
          <w:szCs w:val="20"/>
        </w:rPr>
        <w:t xml:space="preserve"> </w:t>
      </w:r>
      <w:r w:rsidRPr="007A70FB">
        <w:rPr>
          <w:szCs w:val="20"/>
        </w:rPr>
        <w:t>лв. от ЕЗФРСР, прехвърлени към директни плащания</w:t>
      </w:r>
      <w:r w:rsidR="00B25CF2">
        <w:rPr>
          <w:szCs w:val="20"/>
        </w:rPr>
        <w:t xml:space="preserve">, </w:t>
      </w:r>
      <w:r w:rsidRPr="007A70FB">
        <w:rPr>
          <w:szCs w:val="20"/>
        </w:rPr>
        <w:t>100</w:t>
      </w:r>
      <w:r w:rsidR="00B25CF2">
        <w:rPr>
          <w:szCs w:val="20"/>
        </w:rPr>
        <w:t xml:space="preserve"> </w:t>
      </w:r>
      <w:r w:rsidRPr="007A70FB">
        <w:rPr>
          <w:szCs w:val="20"/>
        </w:rPr>
        <w:t xml:space="preserve">% </w:t>
      </w:r>
      <w:r w:rsidR="00B25CF2">
        <w:rPr>
          <w:szCs w:val="20"/>
        </w:rPr>
        <w:t xml:space="preserve">изпълнение на </w:t>
      </w:r>
      <w:r w:rsidRPr="007A70FB">
        <w:rPr>
          <w:szCs w:val="20"/>
        </w:rPr>
        <w:t>заложените 180,4 млн.</w:t>
      </w:r>
      <w:r w:rsidR="00B25CF2">
        <w:rPr>
          <w:szCs w:val="20"/>
        </w:rPr>
        <w:t xml:space="preserve"> </w:t>
      </w:r>
      <w:r w:rsidRPr="007A70FB">
        <w:rPr>
          <w:szCs w:val="20"/>
        </w:rPr>
        <w:t>л</w:t>
      </w:r>
      <w:r w:rsidR="00B25CF2">
        <w:rPr>
          <w:szCs w:val="20"/>
        </w:rPr>
        <w:t>е</w:t>
      </w:r>
      <w:r w:rsidRPr="007A70FB">
        <w:rPr>
          <w:szCs w:val="20"/>
        </w:rPr>
        <w:t>в</w:t>
      </w:r>
      <w:r w:rsidR="00B25CF2">
        <w:rPr>
          <w:szCs w:val="20"/>
        </w:rPr>
        <w:t>а</w:t>
      </w:r>
      <w:r w:rsidRPr="007A70FB">
        <w:rPr>
          <w:szCs w:val="20"/>
        </w:rPr>
        <w:t>;</w:t>
      </w:r>
    </w:p>
    <w:p w:rsidR="007A70FB" w:rsidRPr="007A70FB" w:rsidRDefault="007A70FB" w:rsidP="007A70FB">
      <w:pPr>
        <w:numPr>
          <w:ilvl w:val="0"/>
          <w:numId w:val="24"/>
        </w:numPr>
        <w:tabs>
          <w:tab w:val="left" w:pos="993"/>
        </w:tabs>
        <w:ind w:left="0" w:firstLine="709"/>
        <w:contextualSpacing/>
        <w:jc w:val="both"/>
        <w:rPr>
          <w:szCs w:val="20"/>
        </w:rPr>
      </w:pPr>
      <w:r w:rsidRPr="007A70FB">
        <w:rPr>
          <w:szCs w:val="20"/>
        </w:rPr>
        <w:t>18,3 млн.</w:t>
      </w:r>
      <w:r w:rsidR="00B25CF2">
        <w:rPr>
          <w:szCs w:val="20"/>
        </w:rPr>
        <w:t xml:space="preserve"> </w:t>
      </w:r>
      <w:r w:rsidRPr="007A70FB">
        <w:rPr>
          <w:szCs w:val="20"/>
        </w:rPr>
        <w:t>лв. за пазарни мерки от ЕФГЗ при планирани 25,6 млн.</w:t>
      </w:r>
      <w:r w:rsidR="00B25CF2">
        <w:rPr>
          <w:szCs w:val="20"/>
        </w:rPr>
        <w:t xml:space="preserve"> </w:t>
      </w:r>
      <w:r w:rsidRPr="007A70FB">
        <w:rPr>
          <w:szCs w:val="20"/>
        </w:rPr>
        <w:t>лв., изпълнение</w:t>
      </w:r>
      <w:r w:rsidR="00B25CF2">
        <w:rPr>
          <w:szCs w:val="20"/>
        </w:rPr>
        <w:t xml:space="preserve"> на годишните разчети</w:t>
      </w:r>
      <w:r w:rsidRPr="007A70FB">
        <w:rPr>
          <w:szCs w:val="20"/>
        </w:rPr>
        <w:t>: 71,5</w:t>
      </w:r>
      <w:r w:rsidR="00B25CF2">
        <w:rPr>
          <w:szCs w:val="20"/>
        </w:rPr>
        <w:t xml:space="preserve"> </w:t>
      </w:r>
      <w:r w:rsidRPr="007A70FB">
        <w:rPr>
          <w:szCs w:val="20"/>
        </w:rPr>
        <w:t>%;</w:t>
      </w:r>
    </w:p>
    <w:p w:rsidR="007A70FB" w:rsidRPr="007A70FB" w:rsidRDefault="007A70FB" w:rsidP="007A70FB">
      <w:pPr>
        <w:numPr>
          <w:ilvl w:val="0"/>
          <w:numId w:val="24"/>
        </w:numPr>
        <w:tabs>
          <w:tab w:val="left" w:pos="993"/>
        </w:tabs>
        <w:ind w:left="0" w:firstLine="709"/>
        <w:contextualSpacing/>
        <w:jc w:val="both"/>
      </w:pPr>
      <w:r w:rsidRPr="007A70FB">
        <w:rPr>
          <w:szCs w:val="20"/>
        </w:rPr>
        <w:t>8,5 млн.</w:t>
      </w:r>
      <w:r w:rsidR="00B25CF2">
        <w:rPr>
          <w:szCs w:val="20"/>
        </w:rPr>
        <w:t xml:space="preserve"> </w:t>
      </w:r>
      <w:r w:rsidRPr="007A70FB">
        <w:rPr>
          <w:szCs w:val="20"/>
        </w:rPr>
        <w:t>лв. за преструктуриране от ЕФГЗ при планирани 11,4 млн.</w:t>
      </w:r>
      <w:r w:rsidR="00B25CF2">
        <w:rPr>
          <w:szCs w:val="20"/>
        </w:rPr>
        <w:t xml:space="preserve"> </w:t>
      </w:r>
      <w:r w:rsidRPr="007A70FB">
        <w:rPr>
          <w:szCs w:val="20"/>
        </w:rPr>
        <w:t>лв., изпълнение 74,6</w:t>
      </w:r>
      <w:r w:rsidR="00B25CF2">
        <w:rPr>
          <w:szCs w:val="20"/>
        </w:rPr>
        <w:t xml:space="preserve"> </w:t>
      </w:r>
      <w:r w:rsidR="007D1DD5">
        <w:rPr>
          <w:szCs w:val="20"/>
        </w:rPr>
        <w:t>процента</w:t>
      </w:r>
      <w:r w:rsidRPr="007A70FB">
        <w:rPr>
          <w:szCs w:val="20"/>
        </w:rPr>
        <w:t>.</w:t>
      </w:r>
    </w:p>
    <w:p w:rsidR="007A70FB" w:rsidRPr="007A70FB" w:rsidRDefault="007A70FB" w:rsidP="00020391">
      <w:pPr>
        <w:tabs>
          <w:tab w:val="left" w:pos="993"/>
        </w:tabs>
        <w:ind w:left="709"/>
        <w:contextualSpacing/>
        <w:jc w:val="both"/>
      </w:pPr>
      <w:r w:rsidRPr="007A70FB">
        <w:t>Операциите с чужди средства към 31.12.2020</w:t>
      </w:r>
      <w:r w:rsidR="00B25CF2">
        <w:t xml:space="preserve"> </w:t>
      </w:r>
      <w:r w:rsidRPr="007A70FB">
        <w:t xml:space="preserve">г. възлизат (нето) на </w:t>
      </w:r>
      <w:r w:rsidR="00B25CF2">
        <w:t>-</w:t>
      </w:r>
      <w:r w:rsidRPr="007A70FB">
        <w:t>0,1 млн.</w:t>
      </w:r>
      <w:r w:rsidR="00B25CF2">
        <w:t xml:space="preserve"> </w:t>
      </w:r>
      <w:r w:rsidRPr="007A70FB">
        <w:t>л</w:t>
      </w:r>
      <w:r w:rsidR="007D1DD5">
        <w:t>е</w:t>
      </w:r>
      <w:r w:rsidRPr="007A70FB">
        <w:t>в</w:t>
      </w:r>
      <w:r w:rsidR="007D1DD5">
        <w:t>а</w:t>
      </w:r>
      <w:r w:rsidRPr="007A70FB">
        <w:t>.</w:t>
      </w:r>
    </w:p>
    <w:p w:rsidR="007A70FB" w:rsidRPr="007A70FB" w:rsidRDefault="007A70FB" w:rsidP="007A70FB">
      <w:pPr>
        <w:tabs>
          <w:tab w:val="left" w:pos="709"/>
        </w:tabs>
        <w:contextualSpacing/>
        <w:jc w:val="both"/>
      </w:pPr>
      <w:r w:rsidRPr="007A70FB">
        <w:rPr>
          <w:lang w:eastAsia="bg-BG"/>
        </w:rPr>
        <w:tab/>
        <w:t xml:space="preserve">Предоставените суми (нето) </w:t>
      </w:r>
      <w:r w:rsidRPr="007A70FB">
        <w:t>по разчети с ЦБ за финансиране на плащания при недостиг на средства по сметки</w:t>
      </w:r>
      <w:r w:rsidRPr="007A70FB">
        <w:rPr>
          <w:lang w:eastAsia="bg-BG"/>
        </w:rPr>
        <w:t xml:space="preserve"> към края на 2020</w:t>
      </w:r>
      <w:r w:rsidR="007D1DD5">
        <w:rPr>
          <w:lang w:eastAsia="bg-BG"/>
        </w:rPr>
        <w:t xml:space="preserve"> </w:t>
      </w:r>
      <w:r w:rsidRPr="007A70FB">
        <w:rPr>
          <w:lang w:eastAsia="bg-BG"/>
        </w:rPr>
        <w:t>г. възлизат на 154,6 млн.</w:t>
      </w:r>
      <w:r w:rsidR="007D1DD5">
        <w:rPr>
          <w:lang w:eastAsia="bg-BG"/>
        </w:rPr>
        <w:t xml:space="preserve"> </w:t>
      </w:r>
      <w:r w:rsidRPr="007A70FB">
        <w:rPr>
          <w:lang w:eastAsia="bg-BG"/>
        </w:rPr>
        <w:t>лв. при планирани 383 млн.</w:t>
      </w:r>
      <w:r w:rsidR="00020391">
        <w:rPr>
          <w:lang w:eastAsia="bg-BG"/>
        </w:rPr>
        <w:t> </w:t>
      </w:r>
      <w:r w:rsidRPr="007A70FB">
        <w:rPr>
          <w:lang w:eastAsia="bg-BG"/>
        </w:rPr>
        <w:t>л</w:t>
      </w:r>
      <w:r w:rsidR="007D1DD5">
        <w:rPr>
          <w:lang w:eastAsia="bg-BG"/>
        </w:rPr>
        <w:t>е</w:t>
      </w:r>
      <w:r w:rsidRPr="007A70FB">
        <w:rPr>
          <w:lang w:eastAsia="bg-BG"/>
        </w:rPr>
        <w:t>в</w:t>
      </w:r>
      <w:r w:rsidR="007D1DD5">
        <w:rPr>
          <w:lang w:eastAsia="bg-BG"/>
        </w:rPr>
        <w:t>а</w:t>
      </w:r>
      <w:r w:rsidRPr="007A70FB">
        <w:rPr>
          <w:lang w:eastAsia="bg-BG"/>
        </w:rPr>
        <w:t>.</w:t>
      </w:r>
      <w:r w:rsidRPr="007A70FB">
        <w:t xml:space="preserve"> </w:t>
      </w:r>
    </w:p>
    <w:p w:rsidR="005A7FA3" w:rsidRPr="005F542B" w:rsidRDefault="005A7FA3" w:rsidP="005A7FA3">
      <w:pPr>
        <w:rPr>
          <w:color w:val="0070C0"/>
        </w:rPr>
      </w:pPr>
    </w:p>
    <w:p w:rsidR="005A7FA3" w:rsidRDefault="005A7FA3" w:rsidP="005A7FA3">
      <w:pPr>
        <w:pStyle w:val="Heading1"/>
        <w:numPr>
          <w:ilvl w:val="1"/>
          <w:numId w:val="10"/>
        </w:numPr>
        <w:ind w:left="788" w:right="-108" w:hanging="431"/>
        <w:jc w:val="both"/>
        <w:rPr>
          <w:color w:val="000000" w:themeColor="text1"/>
          <w:sz w:val="24"/>
        </w:rPr>
      </w:pPr>
      <w:r w:rsidRPr="005C4F9E">
        <w:rPr>
          <w:color w:val="000000" w:themeColor="text1"/>
          <w:sz w:val="24"/>
        </w:rPr>
        <w:t>Национален фонд към Министерство на финансите</w:t>
      </w:r>
    </w:p>
    <w:p w:rsidR="005C4F9E" w:rsidRPr="005C4F9E" w:rsidRDefault="005C4F9E" w:rsidP="005C4F9E"/>
    <w:p w:rsidR="005C4F9E" w:rsidRPr="00351E83" w:rsidRDefault="005C4F9E" w:rsidP="005C4F9E">
      <w:pPr>
        <w:pStyle w:val="BodyTextIndent"/>
        <w:tabs>
          <w:tab w:val="left" w:pos="450"/>
        </w:tabs>
        <w:ind w:left="0" w:firstLine="425"/>
        <w:jc w:val="both"/>
        <w:rPr>
          <w:bCs/>
          <w:color w:val="0070C0"/>
        </w:rPr>
      </w:pPr>
      <w:r w:rsidRPr="00351E83">
        <w:rPr>
          <w:bCs/>
        </w:rPr>
        <w:t>По сметките на НФ към 3</w:t>
      </w:r>
      <w:r w:rsidRPr="00351E83">
        <w:rPr>
          <w:bCs/>
          <w:lang w:val="ru-RU"/>
        </w:rPr>
        <w:t>1</w:t>
      </w:r>
      <w:r w:rsidRPr="00351E83">
        <w:rPr>
          <w:bCs/>
        </w:rPr>
        <w:t>.</w:t>
      </w:r>
      <w:r w:rsidRPr="00351E83">
        <w:rPr>
          <w:bCs/>
          <w:lang w:val="ru-RU"/>
        </w:rPr>
        <w:t>12</w:t>
      </w:r>
      <w:r w:rsidRPr="00351E83">
        <w:rPr>
          <w:bCs/>
        </w:rPr>
        <w:t>.2020 г. са постъпили приходи  (нето) в размер на 1</w:t>
      </w:r>
      <w:r>
        <w:rPr>
          <w:bCs/>
        </w:rPr>
        <w:t> </w:t>
      </w:r>
      <w:r w:rsidRPr="00351E83">
        <w:rPr>
          <w:bCs/>
        </w:rPr>
        <w:t>961</w:t>
      </w:r>
      <w:r>
        <w:rPr>
          <w:bCs/>
        </w:rPr>
        <w:t>,</w:t>
      </w:r>
      <w:r w:rsidRPr="00351E83">
        <w:rPr>
          <w:bCs/>
          <w:lang w:val="ru-RU"/>
        </w:rPr>
        <w:t>4</w:t>
      </w:r>
      <w:r w:rsidRPr="00351E83">
        <w:rPr>
          <w:bCs/>
        </w:rPr>
        <w:t xml:space="preserve"> млн. лева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и 2014–2021 г., Норвежкия финансов механизъм (НФМ) 2009–2014 г. и 2014–2021 г., двустранните програми за трансгранично сътрудничество по външните граници на EС (ПТСВГ) за периода 2014–2020 г. и Българо-швейцарската програма за сътрудничество (БШПС),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rsidR="005C4F9E" w:rsidRPr="00351E83" w:rsidRDefault="005C4F9E" w:rsidP="005C4F9E">
      <w:pPr>
        <w:pStyle w:val="BodyTextIndent"/>
        <w:tabs>
          <w:tab w:val="left" w:pos="450"/>
        </w:tabs>
        <w:ind w:left="0" w:firstLine="686"/>
        <w:jc w:val="both"/>
        <w:rPr>
          <w:bCs/>
          <w:color w:val="0070C0"/>
        </w:rPr>
      </w:pPr>
      <w:r w:rsidRPr="00AB2874">
        <w:rPr>
          <w:bCs/>
        </w:rPr>
        <w:t>Извършените разходи (нето) за периода с натрупване чрез сметките на НФ възлизат на 724</w:t>
      </w:r>
      <w:r>
        <w:rPr>
          <w:bCs/>
        </w:rPr>
        <w:t>,</w:t>
      </w:r>
      <w:r w:rsidRPr="00AB2874">
        <w:rPr>
          <w:bCs/>
        </w:rPr>
        <w:t>5 млн. лева. По видове разходи изпълнението е както следва: 59</w:t>
      </w:r>
      <w:r>
        <w:rPr>
          <w:bCs/>
        </w:rPr>
        <w:t>,</w:t>
      </w:r>
      <w:r w:rsidRPr="00AB2874">
        <w:rPr>
          <w:bCs/>
        </w:rPr>
        <w:t>86</w:t>
      </w:r>
      <w:r>
        <w:rPr>
          <w:bCs/>
        </w:rPr>
        <w:t xml:space="preserve"> </w:t>
      </w:r>
      <w:r w:rsidRPr="00AB2874">
        <w:rPr>
          <w:bCs/>
        </w:rPr>
        <w:t>% от общата стойност са капиталови трансфери, 39</w:t>
      </w:r>
      <w:r>
        <w:rPr>
          <w:bCs/>
        </w:rPr>
        <w:t>,</w:t>
      </w:r>
      <w:r w:rsidRPr="00AB2874">
        <w:rPr>
          <w:bCs/>
        </w:rPr>
        <w:t>17</w:t>
      </w:r>
      <w:r>
        <w:rPr>
          <w:bCs/>
        </w:rPr>
        <w:t xml:space="preserve"> </w:t>
      </w:r>
      <w:r w:rsidRPr="00AB2874">
        <w:rPr>
          <w:bCs/>
        </w:rPr>
        <w:t>% са субсидии, 0</w:t>
      </w:r>
      <w:r>
        <w:rPr>
          <w:bCs/>
        </w:rPr>
        <w:t>,</w:t>
      </w:r>
      <w:r w:rsidRPr="00AB2874">
        <w:rPr>
          <w:bCs/>
        </w:rPr>
        <w:t>96</w:t>
      </w:r>
      <w:r>
        <w:rPr>
          <w:bCs/>
        </w:rPr>
        <w:t xml:space="preserve"> </w:t>
      </w:r>
      <w:r w:rsidRPr="00AB2874">
        <w:rPr>
          <w:bCs/>
        </w:rPr>
        <w:t>% предоставени текущи и капиталови трансфери за чужбина и 0</w:t>
      </w:r>
      <w:r>
        <w:rPr>
          <w:bCs/>
        </w:rPr>
        <w:t>,</w:t>
      </w:r>
      <w:r w:rsidRPr="00AB2874">
        <w:rPr>
          <w:bCs/>
        </w:rPr>
        <w:t>005</w:t>
      </w:r>
      <w:r>
        <w:rPr>
          <w:bCs/>
        </w:rPr>
        <w:t xml:space="preserve"> </w:t>
      </w:r>
      <w:r w:rsidRPr="00AB2874">
        <w:rPr>
          <w:bCs/>
        </w:rPr>
        <w:t>% - издръжка.</w:t>
      </w:r>
    </w:p>
    <w:p w:rsidR="005C4F9E" w:rsidRPr="00351E83" w:rsidRDefault="005C4F9E" w:rsidP="005C4F9E">
      <w:pPr>
        <w:pStyle w:val="BodyTextIndent"/>
        <w:tabs>
          <w:tab w:val="left" w:pos="450"/>
        </w:tabs>
        <w:ind w:left="0" w:firstLine="686"/>
        <w:jc w:val="both"/>
        <w:rPr>
          <w:bCs/>
          <w:color w:val="0070C0"/>
        </w:rPr>
      </w:pPr>
      <w:r w:rsidRPr="00AB2874">
        <w:rPr>
          <w:bCs/>
        </w:rPr>
        <w:t>Трансферите (нето), временните безлихвени заеми (нето) и временна възмездна финансова помощ за разглеждания период са на стойност 1</w:t>
      </w:r>
      <w:r>
        <w:rPr>
          <w:bCs/>
        </w:rPr>
        <w:t> </w:t>
      </w:r>
      <w:r w:rsidRPr="00AB2874">
        <w:rPr>
          <w:bCs/>
        </w:rPr>
        <w:t>641</w:t>
      </w:r>
      <w:r>
        <w:rPr>
          <w:bCs/>
        </w:rPr>
        <w:t>,</w:t>
      </w:r>
      <w:r w:rsidRPr="00AB2874">
        <w:rPr>
          <w:bCs/>
          <w:lang w:val="ru-RU"/>
        </w:rPr>
        <w:t>7</w:t>
      </w:r>
      <w:r w:rsidRPr="00AB2874">
        <w:rPr>
          <w:bCs/>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 г., НФМ 2014–2021 г. и БШПС,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5C4F9E" w:rsidRPr="00351E83" w:rsidRDefault="005C4F9E" w:rsidP="005C4F9E">
      <w:pPr>
        <w:pStyle w:val="BodyTextIndent"/>
        <w:ind w:left="0" w:firstLine="686"/>
        <w:jc w:val="both"/>
        <w:rPr>
          <w:bCs/>
          <w:color w:val="0070C0"/>
        </w:rPr>
      </w:pPr>
      <w:r w:rsidRPr="00351E83">
        <w:rPr>
          <w:bCs/>
          <w:color w:val="0070C0"/>
        </w:rPr>
        <w:t xml:space="preserve"> </w:t>
      </w:r>
      <w:r w:rsidRPr="00AB2874">
        <w:rPr>
          <w:bCs/>
        </w:rPr>
        <w:t>Във връзка с изпълнение на ОП - програмен период 2014 – 2020 г., ЕИП и НФМ 2014–2021 г. и ПТСВГ 2014 – 2020 г. по сметките на НФ са получени трансфери от централния бюджет на стойност 312</w:t>
      </w:r>
      <w:r>
        <w:rPr>
          <w:bCs/>
        </w:rPr>
        <w:t>,</w:t>
      </w:r>
      <w:r w:rsidRPr="00AB2874">
        <w:rPr>
          <w:bCs/>
        </w:rPr>
        <w:t>5 млн. лева.</w:t>
      </w:r>
    </w:p>
    <w:p w:rsidR="005C4F9E" w:rsidRPr="00351E83" w:rsidRDefault="005C4F9E" w:rsidP="005C4F9E">
      <w:pPr>
        <w:pStyle w:val="BodyTextIndent"/>
        <w:ind w:left="0" w:firstLine="720"/>
        <w:jc w:val="both"/>
        <w:rPr>
          <w:bCs/>
          <w:color w:val="0070C0"/>
        </w:rPr>
      </w:pPr>
      <w:r w:rsidRPr="00AB2874">
        <w:rPr>
          <w:bCs/>
        </w:rPr>
        <w:t>Общата сума от други приходи (корективи за касови постъпления), постъпили по сметките на НФ, са в размер на 1</w:t>
      </w:r>
      <w:r w:rsidR="00F46A8E">
        <w:rPr>
          <w:bCs/>
        </w:rPr>
        <w:t>,</w:t>
      </w:r>
      <w:r w:rsidRPr="00AB2874">
        <w:rPr>
          <w:bCs/>
          <w:lang w:val="ru-RU"/>
        </w:rPr>
        <w:t>3</w:t>
      </w:r>
      <w:r w:rsidRPr="00AB2874">
        <w:rPr>
          <w:bCs/>
        </w:rPr>
        <w:t xml:space="preserve"> млн. лева.</w:t>
      </w:r>
    </w:p>
    <w:p w:rsidR="005C4F9E" w:rsidRPr="00351E83" w:rsidRDefault="005C4F9E" w:rsidP="005C4F9E">
      <w:pPr>
        <w:pStyle w:val="BodyTextIndent"/>
        <w:ind w:left="0" w:firstLine="720"/>
        <w:jc w:val="both"/>
        <w:rPr>
          <w:bCs/>
          <w:color w:val="0070C0"/>
        </w:rPr>
      </w:pPr>
      <w:r w:rsidRPr="00506A2B">
        <w:rPr>
          <w:bCs/>
        </w:rPr>
        <w:t xml:space="preserve">Наличностите по сметката за средства от ЕС на НФ към 31.12.2020 г. възлизат на </w:t>
      </w:r>
      <w:r w:rsidR="00F46A8E">
        <w:rPr>
          <w:bCs/>
        </w:rPr>
        <w:t>3 003,8</w:t>
      </w:r>
      <w:r w:rsidRPr="00506A2B">
        <w:rPr>
          <w:bCs/>
        </w:rPr>
        <w:t xml:space="preserve"> млн. лв. (в отчета на НФ са включени и наличностите на Фонда мениджър на финансови инструменти в България (Фонд на фондовете), които са на стойност 179</w:t>
      </w:r>
      <w:r w:rsidR="00F46A8E">
        <w:rPr>
          <w:bCs/>
        </w:rPr>
        <w:t>,</w:t>
      </w:r>
      <w:r w:rsidRPr="00506A2B">
        <w:rPr>
          <w:bCs/>
        </w:rPr>
        <w:t>3 млн. лв.), като в БНБ наличните средства са в размер на 3</w:t>
      </w:r>
      <w:r w:rsidR="00F46A8E">
        <w:rPr>
          <w:bCs/>
        </w:rPr>
        <w:t> </w:t>
      </w:r>
      <w:r w:rsidRPr="00506A2B">
        <w:rPr>
          <w:bCs/>
        </w:rPr>
        <w:t>003</w:t>
      </w:r>
      <w:r w:rsidR="00F46A8E">
        <w:rPr>
          <w:bCs/>
        </w:rPr>
        <w:t>,</w:t>
      </w:r>
      <w:r w:rsidRPr="00506A2B">
        <w:rPr>
          <w:bCs/>
        </w:rPr>
        <w:t>7 млн. лв., а в търговските банки (УниКредит Булбанк АД и Банка ДСК ЕАД) са в размер на 0</w:t>
      </w:r>
      <w:r w:rsidR="00F46A8E">
        <w:rPr>
          <w:bCs/>
        </w:rPr>
        <w:t>,</w:t>
      </w:r>
      <w:r w:rsidRPr="00506A2B">
        <w:rPr>
          <w:bCs/>
        </w:rPr>
        <w:t>09 млн. лева.</w:t>
      </w:r>
    </w:p>
    <w:p w:rsidR="005C4F9E" w:rsidRPr="00F95BDA" w:rsidRDefault="005C4F9E" w:rsidP="005C4F9E">
      <w:pPr>
        <w:pStyle w:val="BodyTextIndent"/>
        <w:spacing w:before="120"/>
        <w:ind w:left="0" w:firstLine="969"/>
        <w:jc w:val="both"/>
        <w:rPr>
          <w:b/>
          <w:bCs/>
        </w:rPr>
      </w:pPr>
      <w:r w:rsidRPr="00F95BDA">
        <w:rPr>
          <w:b/>
          <w:bCs/>
        </w:rPr>
        <w:t>Структурни и Кохезионен фондове (СКФ) 2007 – 2013 г.</w:t>
      </w:r>
    </w:p>
    <w:p w:rsidR="005C4F9E" w:rsidRDefault="005C4F9E" w:rsidP="00F46A8E">
      <w:pPr>
        <w:pStyle w:val="BodyTextIndent"/>
        <w:ind w:left="0" w:firstLine="720"/>
        <w:jc w:val="both"/>
        <w:rPr>
          <w:bCs/>
        </w:rPr>
      </w:pPr>
      <w:r w:rsidRPr="00BA7881">
        <w:rPr>
          <w:bCs/>
        </w:rPr>
        <w:t xml:space="preserve">Възстановените </w:t>
      </w:r>
      <w:r>
        <w:rPr>
          <w:bCs/>
        </w:rPr>
        <w:t xml:space="preserve">средства </w:t>
      </w:r>
      <w:r w:rsidRPr="00BA7881">
        <w:rPr>
          <w:bCs/>
        </w:rPr>
        <w:t xml:space="preserve">към </w:t>
      </w:r>
      <w:r>
        <w:rPr>
          <w:bCs/>
        </w:rPr>
        <w:t xml:space="preserve">ЕК </w:t>
      </w:r>
      <w:r w:rsidRPr="00BA7881">
        <w:rPr>
          <w:bCs/>
        </w:rPr>
        <w:t xml:space="preserve">за периода са на стойност </w:t>
      </w:r>
      <w:r>
        <w:rPr>
          <w:bCs/>
        </w:rPr>
        <w:t>29</w:t>
      </w:r>
      <w:r w:rsidR="00F46A8E">
        <w:rPr>
          <w:bCs/>
        </w:rPr>
        <w:t>,</w:t>
      </w:r>
      <w:r w:rsidRPr="00BA7881">
        <w:rPr>
          <w:bCs/>
        </w:rPr>
        <w:t>0 млн. лева,</w:t>
      </w:r>
    </w:p>
    <w:p w:rsidR="005C4F9E" w:rsidRPr="00F95BDA" w:rsidRDefault="005C4F9E" w:rsidP="00F46A8E">
      <w:pPr>
        <w:pStyle w:val="BodyTextIndent"/>
        <w:ind w:left="0" w:firstLine="720"/>
        <w:jc w:val="both"/>
        <w:rPr>
          <w:bCs/>
        </w:rPr>
      </w:pPr>
      <w:r w:rsidRPr="00F95BDA">
        <w:rPr>
          <w:bCs/>
        </w:rPr>
        <w:t>През отчетния период са постъпили (нето) възстановени суми от бенефициенти по сметките на Национален фонд на стойност на 9</w:t>
      </w:r>
      <w:r w:rsidR="00F46A8E">
        <w:rPr>
          <w:bCs/>
        </w:rPr>
        <w:t>,</w:t>
      </w:r>
      <w:r w:rsidRPr="00F95BDA">
        <w:rPr>
          <w:bCs/>
        </w:rPr>
        <w:t>7 млн. л</w:t>
      </w:r>
      <w:r w:rsidR="00F46A8E">
        <w:rPr>
          <w:bCs/>
        </w:rPr>
        <w:t>е</w:t>
      </w:r>
      <w:r w:rsidRPr="00F95BDA">
        <w:rPr>
          <w:bCs/>
        </w:rPr>
        <w:t>в</w:t>
      </w:r>
      <w:r w:rsidR="00F46A8E">
        <w:rPr>
          <w:bCs/>
        </w:rPr>
        <w:t>а</w:t>
      </w:r>
      <w:r w:rsidRPr="00F95BDA">
        <w:rPr>
          <w:bCs/>
        </w:rPr>
        <w:t>.</w:t>
      </w:r>
    </w:p>
    <w:p w:rsidR="005C4F9E" w:rsidRPr="00FB29B0" w:rsidRDefault="005C4F9E" w:rsidP="00F46A8E">
      <w:pPr>
        <w:pStyle w:val="BodyTextIndent"/>
        <w:ind w:left="0" w:firstLine="720"/>
        <w:jc w:val="both"/>
        <w:rPr>
          <w:bCs/>
        </w:rPr>
      </w:pPr>
      <w:r w:rsidRPr="00F95BDA">
        <w:rPr>
          <w:bCs/>
        </w:rPr>
        <w:lastRenderedPageBreak/>
        <w:t>През отчетния период е възстановено авансово финансиране, предоставено по реда на ДДС6/</w:t>
      </w:r>
      <w:r w:rsidRPr="00FB29B0">
        <w:rPr>
          <w:bCs/>
        </w:rPr>
        <w:t>2011 г. на бюджетни организации на стойност на 1</w:t>
      </w:r>
      <w:r w:rsidR="00F46A8E">
        <w:rPr>
          <w:bCs/>
        </w:rPr>
        <w:t>,</w:t>
      </w:r>
      <w:r w:rsidRPr="00FB29B0">
        <w:rPr>
          <w:bCs/>
        </w:rPr>
        <w:t>2 млн. л</w:t>
      </w:r>
      <w:r w:rsidR="00F46A8E">
        <w:rPr>
          <w:bCs/>
        </w:rPr>
        <w:t>е</w:t>
      </w:r>
      <w:r w:rsidRPr="00FB29B0">
        <w:rPr>
          <w:bCs/>
        </w:rPr>
        <w:t>в</w:t>
      </w:r>
      <w:r w:rsidR="00F46A8E">
        <w:rPr>
          <w:bCs/>
        </w:rPr>
        <w:t>а</w:t>
      </w:r>
      <w:r w:rsidRPr="00FB29B0">
        <w:rPr>
          <w:bCs/>
        </w:rPr>
        <w:t xml:space="preserve">. </w:t>
      </w:r>
    </w:p>
    <w:p w:rsidR="005C4F9E" w:rsidRPr="00FB29B0" w:rsidRDefault="005C4F9E" w:rsidP="005C4F9E">
      <w:pPr>
        <w:pStyle w:val="BodyTextIndent"/>
        <w:spacing w:before="120"/>
        <w:ind w:left="0" w:firstLine="969"/>
        <w:jc w:val="both"/>
        <w:rPr>
          <w:b/>
          <w:bCs/>
        </w:rPr>
      </w:pPr>
      <w:r w:rsidRPr="00FB29B0">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rsidR="005C4F9E" w:rsidRPr="00FB29B0" w:rsidRDefault="005C4F9E" w:rsidP="00F46A8E">
      <w:pPr>
        <w:pStyle w:val="BodyTextIndent"/>
        <w:ind w:left="0" w:firstLine="708"/>
        <w:jc w:val="both"/>
        <w:rPr>
          <w:bCs/>
        </w:rPr>
      </w:pPr>
      <w:r w:rsidRPr="00FB29B0">
        <w:rPr>
          <w:bCs/>
        </w:rPr>
        <w:t>Общо получените средства (нето) от ЕК за периода са в размер на 1</w:t>
      </w:r>
      <w:r w:rsidR="00F46A8E">
        <w:rPr>
          <w:bCs/>
        </w:rPr>
        <w:t> </w:t>
      </w:r>
      <w:r w:rsidRPr="00FB29B0">
        <w:rPr>
          <w:bCs/>
        </w:rPr>
        <w:t>921</w:t>
      </w:r>
      <w:r w:rsidR="00F46A8E">
        <w:rPr>
          <w:bCs/>
        </w:rPr>
        <w:t>,</w:t>
      </w:r>
      <w:r w:rsidRPr="00FB29B0">
        <w:rPr>
          <w:bCs/>
        </w:rPr>
        <w:t>3 млн. лв., включващи възстановени средства от ЕК, както и авансите (бруто) за 2020 г. и са разпределени както следва:</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„Иновации и конкурентоспособност” – 222</w:t>
      </w:r>
      <w:r w:rsidR="00F46A8E" w:rsidRPr="00F46A8E">
        <w:rPr>
          <w:bCs/>
          <w:color w:val="000000" w:themeColor="text1"/>
        </w:rPr>
        <w:t>,</w:t>
      </w:r>
      <w:r w:rsidRPr="00F46A8E">
        <w:rPr>
          <w:bCs/>
          <w:color w:val="000000" w:themeColor="text1"/>
        </w:rPr>
        <w:t xml:space="preserve">9 млн. лв.;  </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„Добро управление” – 79</w:t>
      </w:r>
      <w:r w:rsidR="00F46A8E" w:rsidRPr="00F46A8E">
        <w:rPr>
          <w:bCs/>
          <w:color w:val="000000" w:themeColor="text1"/>
        </w:rPr>
        <w:t>,</w:t>
      </w:r>
      <w:r w:rsidRPr="00F46A8E">
        <w:rPr>
          <w:bCs/>
          <w:color w:val="000000" w:themeColor="text1"/>
        </w:rPr>
        <w:t>7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„Транспорт и транспортна инфраструктура” – 366</w:t>
      </w:r>
      <w:r w:rsidR="00F46A8E" w:rsidRPr="00F46A8E">
        <w:rPr>
          <w:bCs/>
          <w:color w:val="000000" w:themeColor="text1"/>
        </w:rPr>
        <w:t>,</w:t>
      </w:r>
      <w:r w:rsidRPr="00F46A8E">
        <w:rPr>
          <w:bCs/>
          <w:color w:val="000000" w:themeColor="text1"/>
        </w:rPr>
        <w:t>1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„Околна среда 2014 – 2020 г.“ – 408</w:t>
      </w:r>
      <w:r w:rsidR="00F46A8E" w:rsidRPr="00F46A8E">
        <w:rPr>
          <w:bCs/>
          <w:color w:val="000000" w:themeColor="text1"/>
        </w:rPr>
        <w:t>,</w:t>
      </w:r>
      <w:r w:rsidRPr="00F46A8E">
        <w:rPr>
          <w:bCs/>
          <w:color w:val="000000" w:themeColor="text1"/>
        </w:rPr>
        <w:t>9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„Развитие на човешките ресурси 2014 - 2020 г.” – 299</w:t>
      </w:r>
      <w:r w:rsidR="00F46A8E" w:rsidRPr="00F46A8E">
        <w:rPr>
          <w:bCs/>
          <w:color w:val="000000" w:themeColor="text1"/>
        </w:rPr>
        <w:t>,</w:t>
      </w:r>
      <w:r w:rsidRPr="00F46A8E">
        <w:rPr>
          <w:bCs/>
          <w:color w:val="000000" w:themeColor="text1"/>
        </w:rPr>
        <w:t>7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Инициативата за младежка заетост – 20</w:t>
      </w:r>
      <w:r w:rsidR="00F46A8E" w:rsidRPr="00F46A8E">
        <w:rPr>
          <w:bCs/>
          <w:color w:val="000000" w:themeColor="text1"/>
        </w:rPr>
        <w:t>,</w:t>
      </w:r>
      <w:r w:rsidRPr="00F46A8E">
        <w:rPr>
          <w:bCs/>
          <w:color w:val="000000" w:themeColor="text1"/>
        </w:rPr>
        <w:t>0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„Региони в растеж“ – 306</w:t>
      </w:r>
      <w:r w:rsidR="00F46A8E" w:rsidRPr="00F46A8E">
        <w:rPr>
          <w:bCs/>
          <w:color w:val="000000" w:themeColor="text1"/>
        </w:rPr>
        <w:t>,</w:t>
      </w:r>
      <w:r w:rsidRPr="00F46A8E">
        <w:rPr>
          <w:bCs/>
          <w:color w:val="000000" w:themeColor="text1"/>
        </w:rPr>
        <w:t>1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за храни и/или основно материално подпомагане от Фонда за европейско подпомагане на най-нуждаещите се лица в България за периода 2014 – 2020 г. – 49</w:t>
      </w:r>
      <w:r w:rsidR="00F46A8E" w:rsidRPr="00F46A8E">
        <w:rPr>
          <w:bCs/>
          <w:color w:val="000000" w:themeColor="text1"/>
        </w:rPr>
        <w:t>,</w:t>
      </w:r>
      <w:r w:rsidRPr="00F46A8E">
        <w:rPr>
          <w:bCs/>
          <w:color w:val="000000" w:themeColor="text1"/>
        </w:rPr>
        <w:t>1 млн. лв. и</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„Наука и образование за интелигентен растеж” – 168</w:t>
      </w:r>
      <w:r w:rsidR="00F46A8E" w:rsidRPr="00F46A8E">
        <w:rPr>
          <w:bCs/>
          <w:color w:val="000000" w:themeColor="text1"/>
        </w:rPr>
        <w:t>,</w:t>
      </w:r>
      <w:r w:rsidRPr="00F46A8E">
        <w:rPr>
          <w:bCs/>
          <w:color w:val="000000" w:themeColor="text1"/>
        </w:rPr>
        <w:t>8 млн. л</w:t>
      </w:r>
      <w:r w:rsidR="00F46A8E" w:rsidRPr="00F46A8E">
        <w:rPr>
          <w:bCs/>
          <w:color w:val="000000" w:themeColor="text1"/>
        </w:rPr>
        <w:t>е</w:t>
      </w:r>
      <w:r w:rsidRPr="00F46A8E">
        <w:rPr>
          <w:bCs/>
          <w:color w:val="000000" w:themeColor="text1"/>
        </w:rPr>
        <w:t>в</w:t>
      </w:r>
      <w:r w:rsidR="00F46A8E" w:rsidRPr="00F46A8E">
        <w:rPr>
          <w:bCs/>
          <w:color w:val="000000" w:themeColor="text1"/>
        </w:rPr>
        <w:t>а</w:t>
      </w:r>
      <w:r w:rsidRPr="00F46A8E">
        <w:rPr>
          <w:bCs/>
          <w:color w:val="000000" w:themeColor="text1"/>
        </w:rPr>
        <w:t>.</w:t>
      </w:r>
    </w:p>
    <w:p w:rsidR="005C4F9E" w:rsidRPr="00F46A8E" w:rsidRDefault="005C4F9E" w:rsidP="005C4F9E">
      <w:pPr>
        <w:pStyle w:val="BodyTextIndent"/>
        <w:ind w:left="0" w:firstLine="969"/>
        <w:jc w:val="both"/>
        <w:rPr>
          <w:bCs/>
          <w:color w:val="000000" w:themeColor="text1"/>
        </w:rPr>
      </w:pPr>
    </w:p>
    <w:p w:rsidR="005C4F9E" w:rsidRPr="00351E83" w:rsidRDefault="005C4F9E" w:rsidP="005C4F9E">
      <w:pPr>
        <w:pStyle w:val="BodyTextIndent"/>
        <w:ind w:left="0" w:firstLine="969"/>
        <w:jc w:val="both"/>
        <w:rPr>
          <w:bCs/>
          <w:color w:val="0070C0"/>
        </w:rPr>
      </w:pPr>
      <w:r w:rsidRPr="00351E83">
        <w:rPr>
          <w:bCs/>
          <w:color w:val="0070C0"/>
        </w:rPr>
        <w:t xml:space="preserve">  </w:t>
      </w:r>
      <w:r w:rsidRPr="00777CE4">
        <w:rPr>
          <w:bCs/>
        </w:rPr>
        <w:t>Направените разходи (нето) по Оперативни програми и трансферите (нето) към бюджетни организации и операции с активи към края на годината са на стойност 2</w:t>
      </w:r>
      <w:r w:rsidR="00F46A8E">
        <w:rPr>
          <w:bCs/>
        </w:rPr>
        <w:t> </w:t>
      </w:r>
      <w:r w:rsidRPr="00777CE4">
        <w:rPr>
          <w:bCs/>
        </w:rPr>
        <w:t>106</w:t>
      </w:r>
      <w:r w:rsidR="00F46A8E">
        <w:rPr>
          <w:bCs/>
        </w:rPr>
        <w:t>,</w:t>
      </w:r>
      <w:r w:rsidRPr="00777CE4">
        <w:rPr>
          <w:bCs/>
        </w:rPr>
        <w:t>1 млн.</w:t>
      </w:r>
      <w:r w:rsidR="00F46A8E">
        <w:rPr>
          <w:bCs/>
        </w:rPr>
        <w:t> </w:t>
      </w:r>
      <w:r w:rsidRPr="00777CE4">
        <w:rPr>
          <w:bCs/>
        </w:rPr>
        <w:t>лв., като разпределението по Оперативни програми е следното:</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„Развитие на човешките ресурси 2014 - 2020 г.” – 381</w:t>
      </w:r>
      <w:r w:rsidR="00F46A8E" w:rsidRPr="00F46A8E">
        <w:rPr>
          <w:bCs/>
          <w:color w:val="000000" w:themeColor="text1"/>
        </w:rPr>
        <w:t>,</w:t>
      </w:r>
      <w:r w:rsidRPr="00F46A8E">
        <w:rPr>
          <w:bCs/>
          <w:color w:val="000000" w:themeColor="text1"/>
        </w:rPr>
        <w:t>8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Инициативата за младежка заетост – 33</w:t>
      </w:r>
      <w:r w:rsidR="00F46A8E" w:rsidRPr="00F46A8E">
        <w:rPr>
          <w:bCs/>
          <w:color w:val="000000" w:themeColor="text1"/>
        </w:rPr>
        <w:t>,</w:t>
      </w:r>
      <w:r w:rsidRPr="00F46A8E">
        <w:rPr>
          <w:bCs/>
          <w:color w:val="000000" w:themeColor="text1"/>
        </w:rPr>
        <w:t>4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за храни и/или основно материално подпомагане от Фонда за европейско подпомагане на най-нуждаещите се лица в България за периода 2014 – 2020 г. – 35</w:t>
      </w:r>
      <w:r w:rsidR="00F46A8E" w:rsidRPr="00F46A8E">
        <w:rPr>
          <w:bCs/>
          <w:color w:val="000000" w:themeColor="text1"/>
        </w:rPr>
        <w:t>,</w:t>
      </w:r>
      <w:r w:rsidRPr="00F46A8E">
        <w:rPr>
          <w:bCs/>
          <w:color w:val="000000" w:themeColor="text1"/>
        </w:rPr>
        <w:t>8 млн. лева;</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„Иновации и конкурентоспособност” – 395</w:t>
      </w:r>
      <w:r w:rsidR="00F46A8E" w:rsidRPr="00F46A8E">
        <w:rPr>
          <w:bCs/>
          <w:color w:val="000000" w:themeColor="text1"/>
        </w:rPr>
        <w:t>,</w:t>
      </w:r>
      <w:r w:rsidRPr="00F46A8E">
        <w:rPr>
          <w:bCs/>
          <w:color w:val="000000" w:themeColor="text1"/>
        </w:rPr>
        <w:t>5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„Добро управление” – 73</w:t>
      </w:r>
      <w:r w:rsidR="00F46A8E" w:rsidRPr="00F46A8E">
        <w:rPr>
          <w:bCs/>
          <w:color w:val="000000" w:themeColor="text1"/>
        </w:rPr>
        <w:t>,</w:t>
      </w:r>
      <w:r w:rsidRPr="00F46A8E">
        <w:rPr>
          <w:bCs/>
          <w:color w:val="000000" w:themeColor="text1"/>
        </w:rPr>
        <w:t>2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„Региони в растеж“ – 321</w:t>
      </w:r>
      <w:r w:rsidR="00F46A8E" w:rsidRPr="00F46A8E">
        <w:rPr>
          <w:bCs/>
          <w:color w:val="000000" w:themeColor="text1"/>
        </w:rPr>
        <w:t>,</w:t>
      </w:r>
      <w:r w:rsidRPr="00F46A8E">
        <w:rPr>
          <w:bCs/>
          <w:color w:val="000000" w:themeColor="text1"/>
        </w:rPr>
        <w:t>3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„Транспорт и транспортна инфраструктура” – 304</w:t>
      </w:r>
      <w:r w:rsidR="00F46A8E" w:rsidRPr="00F46A8E">
        <w:rPr>
          <w:bCs/>
          <w:color w:val="000000" w:themeColor="text1"/>
        </w:rPr>
        <w:t>,</w:t>
      </w:r>
      <w:r w:rsidRPr="00F46A8E">
        <w:rPr>
          <w:bCs/>
          <w:color w:val="000000" w:themeColor="text1"/>
        </w:rPr>
        <w:t>9 млн. лв.;</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„Наука и образование за интелигентен растеж” – 207</w:t>
      </w:r>
      <w:r w:rsidR="00F46A8E" w:rsidRPr="00F46A8E">
        <w:rPr>
          <w:bCs/>
          <w:color w:val="000000" w:themeColor="text1"/>
        </w:rPr>
        <w:t>,</w:t>
      </w:r>
      <w:r w:rsidRPr="00F46A8E">
        <w:rPr>
          <w:bCs/>
          <w:color w:val="000000" w:themeColor="text1"/>
        </w:rPr>
        <w:t>2 млн. лв. и</w:t>
      </w:r>
    </w:p>
    <w:p w:rsidR="005C4F9E" w:rsidRPr="00F46A8E" w:rsidRDefault="005C4F9E" w:rsidP="005C4F9E">
      <w:pPr>
        <w:pStyle w:val="BodyTextIndent"/>
        <w:numPr>
          <w:ilvl w:val="0"/>
          <w:numId w:val="12"/>
        </w:numPr>
        <w:tabs>
          <w:tab w:val="clear" w:pos="1101"/>
          <w:tab w:val="num" w:pos="786"/>
        </w:tabs>
        <w:spacing w:after="0"/>
        <w:ind w:left="0" w:firstLine="969"/>
        <w:jc w:val="both"/>
        <w:rPr>
          <w:bCs/>
          <w:color w:val="000000" w:themeColor="text1"/>
        </w:rPr>
      </w:pPr>
      <w:r w:rsidRPr="00F46A8E">
        <w:rPr>
          <w:bCs/>
          <w:color w:val="000000" w:themeColor="text1"/>
        </w:rPr>
        <w:t>ОП „Околна среда 2014 – 2020 г.“ – 353</w:t>
      </w:r>
      <w:r w:rsidR="00F46A8E" w:rsidRPr="00F46A8E">
        <w:rPr>
          <w:bCs/>
          <w:color w:val="000000" w:themeColor="text1"/>
        </w:rPr>
        <w:t>,</w:t>
      </w:r>
      <w:r w:rsidRPr="00F46A8E">
        <w:rPr>
          <w:bCs/>
          <w:color w:val="000000" w:themeColor="text1"/>
        </w:rPr>
        <w:t>0 млн. лв.</w:t>
      </w:r>
    </w:p>
    <w:p w:rsidR="005C4F9E" w:rsidRPr="00351E83" w:rsidRDefault="005C4F9E" w:rsidP="005C4F9E">
      <w:pPr>
        <w:pStyle w:val="BodyTextIndent"/>
        <w:ind w:left="0" w:firstLine="969"/>
        <w:jc w:val="both"/>
        <w:rPr>
          <w:bCs/>
          <w:color w:val="0070C0"/>
        </w:rPr>
      </w:pPr>
    </w:p>
    <w:p w:rsidR="005C4F9E" w:rsidRPr="003A63E3" w:rsidRDefault="005C4F9E" w:rsidP="005C4F9E">
      <w:pPr>
        <w:pStyle w:val="BodyTextIndent"/>
        <w:ind w:left="0" w:firstLine="969"/>
        <w:jc w:val="both"/>
        <w:rPr>
          <w:bCs/>
        </w:rPr>
      </w:pPr>
      <w:r w:rsidRPr="003A63E3">
        <w:rPr>
          <w:bCs/>
        </w:rPr>
        <w:t xml:space="preserve">Предоставеното авансово финансиране по реда на ДДС 6/ 2011 г. към бюджетни организации за </w:t>
      </w:r>
      <w:r w:rsidR="000914C7">
        <w:rPr>
          <w:bCs/>
        </w:rPr>
        <w:t>годината</w:t>
      </w:r>
      <w:r w:rsidRPr="003A63E3">
        <w:rPr>
          <w:bCs/>
        </w:rPr>
        <w:t xml:space="preserve"> е на стойност 292</w:t>
      </w:r>
      <w:r w:rsidR="000914C7">
        <w:rPr>
          <w:bCs/>
        </w:rPr>
        <w:t>,</w:t>
      </w:r>
      <w:r w:rsidRPr="003A63E3">
        <w:rPr>
          <w:bCs/>
        </w:rPr>
        <w:t>1 млн. лева, а възстановените средства – 94</w:t>
      </w:r>
      <w:r w:rsidR="000914C7">
        <w:rPr>
          <w:bCs/>
        </w:rPr>
        <w:t>,</w:t>
      </w:r>
      <w:r w:rsidRPr="003A63E3">
        <w:rPr>
          <w:bCs/>
        </w:rPr>
        <w:t>9 млн.</w:t>
      </w:r>
      <w:r w:rsidR="000914C7">
        <w:rPr>
          <w:bCs/>
        </w:rPr>
        <w:t> </w:t>
      </w:r>
      <w:r w:rsidRPr="003A63E3">
        <w:rPr>
          <w:bCs/>
        </w:rPr>
        <w:t>лева.</w:t>
      </w:r>
    </w:p>
    <w:p w:rsidR="005C4F9E" w:rsidRPr="00351E83" w:rsidRDefault="005C4F9E" w:rsidP="005C4F9E">
      <w:pPr>
        <w:pStyle w:val="BodyTextIndent"/>
        <w:ind w:left="0" w:firstLine="969"/>
        <w:jc w:val="both"/>
        <w:rPr>
          <w:bCs/>
          <w:color w:val="0070C0"/>
        </w:rPr>
      </w:pPr>
      <w:r w:rsidRPr="003A63E3">
        <w:rPr>
          <w:bCs/>
        </w:rPr>
        <w:t xml:space="preserve">В сумата на предоставеното авансово финансиране по реда на ДДС6/2011 г. е включена и </w:t>
      </w:r>
      <w:r>
        <w:rPr>
          <w:bCs/>
        </w:rPr>
        <w:t>предоставена</w:t>
      </w:r>
      <w:r w:rsidRPr="003A63E3">
        <w:rPr>
          <w:bCs/>
        </w:rPr>
        <w:t xml:space="preserve"> възмездна финансова помощ</w:t>
      </w:r>
      <w:r>
        <w:rPr>
          <w:bCs/>
        </w:rPr>
        <w:t xml:space="preserve"> (нето)</w:t>
      </w:r>
      <w:r w:rsidRPr="003A63E3">
        <w:rPr>
          <w:bCs/>
        </w:rPr>
        <w:t xml:space="preserve"> в размер на 7</w:t>
      </w:r>
      <w:r w:rsidR="000914C7">
        <w:rPr>
          <w:bCs/>
        </w:rPr>
        <w:t>,</w:t>
      </w:r>
      <w:r w:rsidRPr="003A63E3">
        <w:rPr>
          <w:bCs/>
        </w:rPr>
        <w:t>3 млн. лева на ОП „Транспорт и транспортна инфраструктура”.</w:t>
      </w:r>
    </w:p>
    <w:p w:rsidR="005C4F9E" w:rsidRPr="00A650CB" w:rsidRDefault="005C4F9E" w:rsidP="005C4F9E">
      <w:pPr>
        <w:pStyle w:val="BodyTextIndent"/>
        <w:ind w:left="0" w:firstLine="969"/>
        <w:jc w:val="both"/>
        <w:rPr>
          <w:bCs/>
        </w:rPr>
      </w:pPr>
      <w:r w:rsidRPr="00A650CB">
        <w:rPr>
          <w:bCs/>
        </w:rPr>
        <w:t xml:space="preserve">След разрешение от ЕК част от средствата по оперативни програми бяха насочени за борба с разпространението на корона вируса и преодоляване на последиците от него. Съвместно с УО по отделните оперативни програми бяха идентифицирани потенциалните ресурси, програми и мерки, които бяха мобилизирани за непосредствен отговор на задълбочаващата се криза. Въз основа на информацията за вътрешното разпределение на ресурса по програми и необходимия допълнителен бюджет за финансиране на конкретни мерки, бяха определени трансфери на средства от и към определени оперативни програми, позволяващи финансиране на необходими предвид ситуацията мерки. </w:t>
      </w:r>
    </w:p>
    <w:p w:rsidR="005C4F9E" w:rsidRPr="00A650CB" w:rsidRDefault="005C4F9E" w:rsidP="005C4F9E">
      <w:pPr>
        <w:pStyle w:val="BodyTextIndent"/>
        <w:ind w:left="0" w:firstLine="969"/>
        <w:jc w:val="both"/>
      </w:pPr>
      <w:r w:rsidRPr="00A650CB">
        <w:rPr>
          <w:bCs/>
        </w:rPr>
        <w:t>Финансовият пакет към края на 2020 г. в размер на над 2</w:t>
      </w:r>
      <w:r w:rsidR="000914C7">
        <w:rPr>
          <w:bCs/>
        </w:rPr>
        <w:t>,</w:t>
      </w:r>
      <w:r w:rsidRPr="00A650CB">
        <w:rPr>
          <w:bCs/>
        </w:rPr>
        <w:t xml:space="preserve">3 млрд. лева, с който се финансират мерки от социално-икономически характер за подкрепа на непосредствено </w:t>
      </w:r>
      <w:r w:rsidRPr="00A650CB">
        <w:rPr>
          <w:bCs/>
        </w:rPr>
        <w:lastRenderedPageBreak/>
        <w:t>засегнатите от кризата лица и предприятия. За източници служат вътрешен ресурс от недоговорени и спестени от текущи операции средства (ОП „Региони в растеж“), както и прехвърляне на средства към оперативни програми „Развитие на човешките ресурси“ и „Иновации и конкурентоспособност“. Прехвърлянето на средства между оперативните програми и насочването им към специфични мерки за минимизиране на отрицателните последици от епидемичното разпространение на COVD-19 стартира с Решение на Министерския съвет № 256 от 14.04.2020 г., като последва и изменение и на самите програми.</w:t>
      </w:r>
      <w:r w:rsidRPr="00A650CB">
        <w:t xml:space="preserve"> </w:t>
      </w:r>
    </w:p>
    <w:p w:rsidR="005C4F9E" w:rsidRPr="007340F5" w:rsidRDefault="005C4F9E" w:rsidP="007340F5">
      <w:pPr>
        <w:pStyle w:val="BodyTextIndent"/>
        <w:ind w:left="0" w:firstLine="969"/>
        <w:jc w:val="both"/>
        <w:rPr>
          <w:color w:val="0070C0"/>
        </w:rPr>
      </w:pPr>
      <w:r w:rsidRPr="00A650CB">
        <w:t>В допълнение на мерките, с Решение на МС № 573 от 14.08.2020 г., изменено с № 847 от 23.11.2020 г. се одобри индикативно финансово разпределение по оперативни програми 2014 – 2020 г. на средствата за България от Европейския съюз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(REACT-EU).</w:t>
      </w:r>
      <w:r w:rsidR="007340F5">
        <w:rPr>
          <w:color w:val="0070C0"/>
        </w:rPr>
        <w:t xml:space="preserve"> </w:t>
      </w:r>
      <w:r w:rsidRPr="0093109B">
        <w:rPr>
          <w:bCs/>
        </w:rPr>
        <w:t>Част от мерките за минимизиране на отрицателните последици от епидемичното разпространение на COVD-19 вече са в процес на реализация.</w:t>
      </w:r>
    </w:p>
    <w:p w:rsidR="005C4F9E" w:rsidRPr="00384885" w:rsidRDefault="005C4F9E" w:rsidP="005C4F9E">
      <w:pPr>
        <w:pStyle w:val="BodyTextIndent"/>
        <w:ind w:left="0" w:firstLine="969"/>
        <w:jc w:val="both"/>
        <w:rPr>
          <w:bCs/>
        </w:rPr>
      </w:pPr>
      <w:r w:rsidRPr="00384885">
        <w:rPr>
          <w:bCs/>
        </w:rPr>
        <w:t>Спрямо заложените разходи и трансфери в план-смет</w:t>
      </w:r>
      <w:r w:rsidR="007340F5">
        <w:rPr>
          <w:bCs/>
        </w:rPr>
        <w:t>ката на НФ изпълнението за 2020 </w:t>
      </w:r>
      <w:r w:rsidRPr="00384885">
        <w:rPr>
          <w:bCs/>
        </w:rPr>
        <w:t>г. е над 94</w:t>
      </w:r>
      <w:r w:rsidR="000914C7">
        <w:rPr>
          <w:bCs/>
        </w:rPr>
        <w:t xml:space="preserve"> процента</w:t>
      </w:r>
      <w:r w:rsidRPr="00384885">
        <w:rPr>
          <w:bCs/>
        </w:rPr>
        <w:t>.</w:t>
      </w:r>
    </w:p>
    <w:p w:rsidR="005C4F9E" w:rsidRPr="00A77FE9" w:rsidRDefault="005C4F9E" w:rsidP="005C4F9E">
      <w:pPr>
        <w:pStyle w:val="BodyTextIndent"/>
        <w:spacing w:before="120"/>
        <w:ind w:left="0" w:firstLine="969"/>
        <w:jc w:val="both"/>
        <w:rPr>
          <w:b/>
          <w:bCs/>
        </w:rPr>
      </w:pPr>
      <w:r w:rsidRPr="00A77FE9">
        <w:rPr>
          <w:b/>
          <w:bCs/>
        </w:rPr>
        <w:t>Програма ФАР и Преходен финансов инструмент</w:t>
      </w:r>
    </w:p>
    <w:p w:rsidR="005C4F9E" w:rsidRPr="00351E83" w:rsidRDefault="005C4F9E" w:rsidP="005C4F9E">
      <w:pPr>
        <w:pStyle w:val="BodyTextIndent"/>
        <w:ind w:left="0" w:firstLine="969"/>
        <w:jc w:val="both"/>
        <w:rPr>
          <w:bCs/>
          <w:color w:val="0070C0"/>
        </w:rPr>
      </w:pPr>
      <w:r w:rsidRPr="00A77FE9">
        <w:rPr>
          <w:bCs/>
        </w:rPr>
        <w:t>През отчетния период са възстановени суми от бенефициенти по сметките на Национален фонд на стойност 0</w:t>
      </w:r>
      <w:r w:rsidR="00F47117">
        <w:rPr>
          <w:bCs/>
        </w:rPr>
        <w:t>,</w:t>
      </w:r>
      <w:r w:rsidRPr="00A77FE9">
        <w:rPr>
          <w:bCs/>
        </w:rPr>
        <w:t>02 млн. л</w:t>
      </w:r>
      <w:r w:rsidR="00F47117">
        <w:rPr>
          <w:bCs/>
        </w:rPr>
        <w:t>е</w:t>
      </w:r>
      <w:r w:rsidRPr="00A77FE9">
        <w:rPr>
          <w:bCs/>
        </w:rPr>
        <w:t>в</w:t>
      </w:r>
      <w:r w:rsidR="00F47117">
        <w:rPr>
          <w:bCs/>
        </w:rPr>
        <w:t>а</w:t>
      </w:r>
      <w:r w:rsidRPr="00A77FE9">
        <w:rPr>
          <w:bCs/>
        </w:rPr>
        <w:t>.</w:t>
      </w:r>
    </w:p>
    <w:p w:rsidR="005C4F9E" w:rsidRPr="006E1D7E" w:rsidRDefault="005C4F9E" w:rsidP="005C4F9E">
      <w:pPr>
        <w:pStyle w:val="BodyTextIndent"/>
        <w:spacing w:before="120"/>
        <w:ind w:left="0" w:firstLine="969"/>
        <w:jc w:val="both"/>
        <w:rPr>
          <w:b/>
          <w:bCs/>
        </w:rPr>
      </w:pPr>
      <w:r w:rsidRPr="006E1D7E">
        <w:rPr>
          <w:b/>
          <w:bCs/>
        </w:rPr>
        <w:t xml:space="preserve">Програма САПАРД </w:t>
      </w:r>
    </w:p>
    <w:p w:rsidR="005C4F9E" w:rsidRPr="006E1D7E" w:rsidRDefault="005C4F9E" w:rsidP="005C4F9E">
      <w:pPr>
        <w:pStyle w:val="BodyTextIndent"/>
        <w:ind w:left="0" w:firstLine="969"/>
        <w:jc w:val="both"/>
        <w:rPr>
          <w:bCs/>
        </w:rPr>
      </w:pPr>
      <w:r w:rsidRPr="006E1D7E">
        <w:rPr>
          <w:bCs/>
        </w:rPr>
        <w:t>През периода са извършени възстановявания от бенефициенти по дългове на стойност 0</w:t>
      </w:r>
      <w:r w:rsidR="00F47117">
        <w:rPr>
          <w:bCs/>
        </w:rPr>
        <w:t>,</w:t>
      </w:r>
      <w:r w:rsidRPr="006E1D7E">
        <w:rPr>
          <w:bCs/>
        </w:rPr>
        <w:t>1 млн. л</w:t>
      </w:r>
      <w:r w:rsidR="00F47117">
        <w:rPr>
          <w:bCs/>
        </w:rPr>
        <w:t>е</w:t>
      </w:r>
      <w:r w:rsidRPr="006E1D7E">
        <w:rPr>
          <w:bCs/>
        </w:rPr>
        <w:t>в</w:t>
      </w:r>
      <w:r w:rsidR="00F47117">
        <w:rPr>
          <w:bCs/>
        </w:rPr>
        <w:t>а</w:t>
      </w:r>
      <w:r w:rsidRPr="006E1D7E">
        <w:rPr>
          <w:bCs/>
        </w:rPr>
        <w:t>.</w:t>
      </w:r>
    </w:p>
    <w:p w:rsidR="005C4F9E" w:rsidRPr="008836A8" w:rsidRDefault="005C4F9E" w:rsidP="005C4F9E">
      <w:pPr>
        <w:pStyle w:val="BodyTextIndent"/>
        <w:spacing w:before="120"/>
        <w:ind w:left="0" w:firstLine="969"/>
        <w:jc w:val="both"/>
        <w:rPr>
          <w:b/>
          <w:bCs/>
        </w:rPr>
      </w:pPr>
      <w:r w:rsidRPr="008836A8">
        <w:rPr>
          <w:b/>
          <w:bCs/>
        </w:rPr>
        <w:t>Двустранни програми за трансгранично сътрудничество по външните граници на Европейския съюз 2007 – 2013 г. и 2014 – 2020 г.</w:t>
      </w:r>
    </w:p>
    <w:p w:rsidR="005C4F9E" w:rsidRPr="008836A8" w:rsidRDefault="005C4F9E" w:rsidP="005C4F9E">
      <w:pPr>
        <w:pStyle w:val="BodyTextIndent"/>
        <w:ind w:left="0" w:firstLine="969"/>
        <w:jc w:val="both"/>
        <w:rPr>
          <w:bCs/>
        </w:rPr>
      </w:pPr>
      <w:r w:rsidRPr="008836A8">
        <w:rPr>
          <w:bCs/>
        </w:rPr>
        <w:t>Получените средства към 31.12.2020 г. са на стойност 17</w:t>
      </w:r>
      <w:r w:rsidR="00F47117">
        <w:rPr>
          <w:bCs/>
        </w:rPr>
        <w:t>,</w:t>
      </w:r>
      <w:r w:rsidRPr="008836A8">
        <w:rPr>
          <w:bCs/>
        </w:rPr>
        <w:t>1 млн. лв., представляващи възстановени разходи от ЕК 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rsidR="005C4F9E" w:rsidRPr="00351E83" w:rsidRDefault="005C4F9E" w:rsidP="005C4F9E">
      <w:pPr>
        <w:pStyle w:val="BodyTextIndent"/>
        <w:ind w:left="0" w:firstLine="969"/>
        <w:jc w:val="both"/>
        <w:rPr>
          <w:b/>
          <w:bCs/>
          <w:color w:val="0070C0"/>
        </w:rPr>
      </w:pPr>
      <w:r w:rsidRPr="008836A8">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19</w:t>
      </w:r>
      <w:r w:rsidR="00F47117">
        <w:rPr>
          <w:bCs/>
        </w:rPr>
        <w:t>,</w:t>
      </w:r>
      <w:r w:rsidRPr="008836A8">
        <w:rPr>
          <w:bCs/>
          <w:lang w:val="ru-RU"/>
        </w:rPr>
        <w:t>9</w:t>
      </w:r>
      <w:r w:rsidRPr="008836A8">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w:t>
      </w:r>
      <w:r w:rsidRPr="00351E83">
        <w:rPr>
          <w:bCs/>
          <w:color w:val="0070C0"/>
        </w:rPr>
        <w:t xml:space="preserve"> </w:t>
      </w:r>
    </w:p>
    <w:p w:rsidR="005C4F9E" w:rsidRPr="009B7654" w:rsidRDefault="005C4F9E" w:rsidP="005C4F9E">
      <w:pPr>
        <w:pStyle w:val="BodyTextIndent"/>
        <w:spacing w:before="120"/>
        <w:ind w:left="0" w:firstLine="969"/>
        <w:jc w:val="both"/>
        <w:rPr>
          <w:b/>
          <w:bCs/>
        </w:rPr>
      </w:pPr>
      <w:r w:rsidRPr="009B7654">
        <w:rPr>
          <w:b/>
          <w:bCs/>
        </w:rPr>
        <w:t>Финансов механизъм на Европейското икономическо пространство и Норвежки финансов механизъм за периода 2009-2014 г. и 2014-2021 г.</w:t>
      </w:r>
    </w:p>
    <w:p w:rsidR="005C4F9E" w:rsidRPr="009B7654" w:rsidRDefault="005C4F9E" w:rsidP="005C4F9E">
      <w:pPr>
        <w:pStyle w:val="BodyTextIndent"/>
        <w:ind w:left="0" w:firstLine="969"/>
        <w:jc w:val="both"/>
        <w:rPr>
          <w:bCs/>
        </w:rPr>
      </w:pPr>
      <w:r w:rsidRPr="009B7654">
        <w:rPr>
          <w:bCs/>
        </w:rPr>
        <w:t>Възстановените към Офиса от НФ средства общо по ЕИП и НФМ за периода са на стойност 0</w:t>
      </w:r>
      <w:r w:rsidR="00F47117">
        <w:rPr>
          <w:bCs/>
        </w:rPr>
        <w:t>,</w:t>
      </w:r>
      <w:r w:rsidRPr="009B7654">
        <w:rPr>
          <w:bCs/>
        </w:rPr>
        <w:t>3 млн. лева, а получените са в размер на 22</w:t>
      </w:r>
      <w:r w:rsidR="00F47117">
        <w:rPr>
          <w:bCs/>
        </w:rPr>
        <w:t>,</w:t>
      </w:r>
      <w:r w:rsidRPr="009B7654">
        <w:rPr>
          <w:bCs/>
        </w:rPr>
        <w:t>1 млн. лева.</w:t>
      </w:r>
    </w:p>
    <w:p w:rsidR="005C4F9E" w:rsidRPr="00351E83" w:rsidRDefault="005C4F9E" w:rsidP="005C4F9E">
      <w:pPr>
        <w:pStyle w:val="BodyTextIndent"/>
        <w:ind w:left="0" w:firstLine="969"/>
        <w:jc w:val="both"/>
        <w:rPr>
          <w:bCs/>
          <w:color w:val="0070C0"/>
        </w:rPr>
      </w:pPr>
      <w:r w:rsidRPr="009B7654">
        <w:rPr>
          <w:bCs/>
        </w:rPr>
        <w:t>Сумата на разходите и трансферите (нето) към 31.12.2020 г. с натрупване са на обща стойност 2</w:t>
      </w:r>
      <w:r>
        <w:rPr>
          <w:bCs/>
        </w:rPr>
        <w:t>3</w:t>
      </w:r>
      <w:r w:rsidR="00F47117">
        <w:rPr>
          <w:bCs/>
        </w:rPr>
        <w:t>,</w:t>
      </w:r>
      <w:r w:rsidRPr="009B7654">
        <w:rPr>
          <w:bCs/>
        </w:rPr>
        <w:t>8 млн. лева.</w:t>
      </w:r>
    </w:p>
    <w:p w:rsidR="005C4F9E" w:rsidRPr="00AB4221" w:rsidRDefault="005C4F9E" w:rsidP="005C4F9E">
      <w:pPr>
        <w:pStyle w:val="BodyTextIndent"/>
        <w:spacing w:before="120"/>
        <w:ind w:left="0" w:firstLine="969"/>
        <w:jc w:val="both"/>
        <w:rPr>
          <w:b/>
          <w:bCs/>
        </w:rPr>
      </w:pPr>
      <w:r w:rsidRPr="00AB4221">
        <w:rPr>
          <w:b/>
          <w:bCs/>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5C4F9E" w:rsidRPr="00AB4221" w:rsidRDefault="005C4F9E" w:rsidP="005C4F9E">
      <w:pPr>
        <w:pStyle w:val="BodyTextIndent"/>
        <w:ind w:left="0" w:firstLine="969"/>
        <w:jc w:val="both"/>
        <w:rPr>
          <w:bCs/>
        </w:rPr>
      </w:pPr>
      <w:r w:rsidRPr="00AB4221">
        <w:rPr>
          <w:bCs/>
        </w:rPr>
        <w:t>Получените средства по програмата за периода са в размер на 30</w:t>
      </w:r>
      <w:r w:rsidR="00F47117">
        <w:rPr>
          <w:bCs/>
        </w:rPr>
        <w:t>,</w:t>
      </w:r>
      <w:r w:rsidRPr="00AB4221">
        <w:rPr>
          <w:bCs/>
        </w:rPr>
        <w:t>3 млн. лева.</w:t>
      </w:r>
    </w:p>
    <w:p w:rsidR="005C4F9E" w:rsidRPr="00AB4221" w:rsidRDefault="005C4F9E" w:rsidP="005C4F9E">
      <w:pPr>
        <w:pStyle w:val="BodyTextIndent"/>
        <w:ind w:left="0" w:firstLine="969"/>
        <w:jc w:val="both"/>
        <w:rPr>
          <w:bCs/>
        </w:rPr>
      </w:pPr>
      <w:r w:rsidRPr="00AB4221">
        <w:rPr>
          <w:bCs/>
        </w:rPr>
        <w:t xml:space="preserve">Извършените изходящи трансфери към бенефициенти-бюджетни организации </w:t>
      </w:r>
      <w:r w:rsidR="00F47117">
        <w:rPr>
          <w:bCs/>
        </w:rPr>
        <w:t>з</w:t>
      </w:r>
      <w:r w:rsidRPr="00AB4221">
        <w:rPr>
          <w:bCs/>
        </w:rPr>
        <w:t>а годината са в размер на 32</w:t>
      </w:r>
      <w:r w:rsidR="00F47117">
        <w:rPr>
          <w:bCs/>
        </w:rPr>
        <w:t>,</w:t>
      </w:r>
      <w:r w:rsidRPr="00AB4221">
        <w:rPr>
          <w:bCs/>
        </w:rPr>
        <w:t>9 млн. лева.</w:t>
      </w:r>
    </w:p>
    <w:p w:rsidR="00251963" w:rsidRPr="00B81921" w:rsidRDefault="00251963" w:rsidP="00F0069C">
      <w:pPr>
        <w:pStyle w:val="Heading1"/>
        <w:numPr>
          <w:ilvl w:val="0"/>
          <w:numId w:val="10"/>
        </w:numPr>
        <w:spacing w:before="480"/>
        <w:ind w:left="533" w:right="-108" w:hanging="391"/>
        <w:jc w:val="both"/>
        <w:rPr>
          <w:color w:val="000000" w:themeColor="text1"/>
          <w:sz w:val="24"/>
        </w:rPr>
      </w:pPr>
      <w:r w:rsidRPr="00B81921">
        <w:rPr>
          <w:color w:val="000000" w:themeColor="text1"/>
          <w:sz w:val="24"/>
        </w:rPr>
        <w:lastRenderedPageBreak/>
        <w:t>Бюджети на социално и здравно-осигурителните фондове и бюджети по чл. 13, ал. 2 и ал. 3 на Закона за публичните финанси</w:t>
      </w:r>
    </w:p>
    <w:p w:rsidR="00251963" w:rsidRPr="00B81921" w:rsidRDefault="00251963" w:rsidP="00394407">
      <w:pPr>
        <w:pStyle w:val="Heading1"/>
        <w:numPr>
          <w:ilvl w:val="1"/>
          <w:numId w:val="10"/>
        </w:numPr>
        <w:spacing w:before="240"/>
        <w:ind w:left="788" w:right="-108" w:hanging="431"/>
        <w:jc w:val="both"/>
        <w:rPr>
          <w:color w:val="000000" w:themeColor="text1"/>
          <w:sz w:val="24"/>
        </w:rPr>
      </w:pPr>
      <w:r w:rsidRPr="00B81921">
        <w:rPr>
          <w:color w:val="000000" w:themeColor="text1"/>
          <w:sz w:val="24"/>
        </w:rPr>
        <w:t>Социално и здравно-осигурителни фондове</w:t>
      </w:r>
    </w:p>
    <w:p w:rsidR="00A25119" w:rsidRPr="00A25119" w:rsidRDefault="00A25119" w:rsidP="00A25119">
      <w:pPr>
        <w:numPr>
          <w:ilvl w:val="1"/>
          <w:numId w:val="6"/>
        </w:numPr>
        <w:spacing w:before="240" w:line="276" w:lineRule="auto"/>
        <w:ind w:left="992" w:hanging="357"/>
        <w:jc w:val="both"/>
        <w:rPr>
          <w:b/>
          <w:bCs/>
        </w:rPr>
      </w:pPr>
      <w:r w:rsidRPr="00A25119">
        <w:rPr>
          <w:b/>
        </w:rPr>
        <w:t>Държавно обществено осигуряване</w:t>
      </w:r>
    </w:p>
    <w:p w:rsidR="00A25119" w:rsidRPr="004B1466" w:rsidRDefault="00A25119" w:rsidP="00A25119">
      <w:pPr>
        <w:ind w:firstLine="567"/>
        <w:jc w:val="both"/>
        <w:rPr>
          <w:color w:val="0070C0"/>
        </w:rPr>
      </w:pPr>
      <w:r w:rsidRPr="00257BF8">
        <w:t xml:space="preserve">Общата сума на </w:t>
      </w:r>
      <w:r w:rsidRPr="00257BF8">
        <w:rPr>
          <w:b/>
        </w:rPr>
        <w:t>приходите, помощите и даренията</w:t>
      </w:r>
      <w:r w:rsidRPr="00257BF8">
        <w:t xml:space="preserve"> по бюджета на Държавното обществено осигуряване (ДОО) към 31.12.2020 г. възлиза на 8 072,1 млн. лв.</w:t>
      </w:r>
      <w:r w:rsidRPr="00257BF8">
        <w:rPr>
          <w:bCs/>
        </w:rPr>
        <w:t>, което представлява 104,7 % от заложените в актуализирания бюджет на ДОО за 20</w:t>
      </w:r>
      <w:r w:rsidRPr="005F542B">
        <w:rPr>
          <w:bCs/>
        </w:rPr>
        <w:t>20</w:t>
      </w:r>
      <w:r w:rsidRPr="00257BF8">
        <w:rPr>
          <w:bCs/>
        </w:rPr>
        <w:t xml:space="preserve"> г. </w:t>
      </w:r>
      <w:r w:rsidRPr="0015656F">
        <w:rPr>
          <w:bCs/>
        </w:rPr>
        <w:t>7 </w:t>
      </w:r>
      <w:r w:rsidRPr="005F542B">
        <w:rPr>
          <w:bCs/>
        </w:rPr>
        <w:t>713</w:t>
      </w:r>
      <w:r w:rsidRPr="0015656F">
        <w:rPr>
          <w:bCs/>
        </w:rPr>
        <w:t>,2 млн.</w:t>
      </w:r>
      <w:r w:rsidRPr="0015656F">
        <w:rPr>
          <w:bCs/>
          <w:lang w:val="en-US"/>
        </w:rPr>
        <w:t> </w:t>
      </w:r>
      <w:r w:rsidRPr="0015656F">
        <w:rPr>
          <w:bCs/>
        </w:rPr>
        <w:t>лв.</w:t>
      </w:r>
      <w:r w:rsidRPr="0015656F">
        <w:t xml:space="preserve"> </w:t>
      </w:r>
      <w:r w:rsidRPr="0015656F">
        <w:rPr>
          <w:bCs/>
        </w:rPr>
        <w:t>Най-голям е делът на приходите от осигурителни вноски, които за отчетния период са в размер на 7 882,8 млн. лв. и представляват 97,7 % от общите приходи.</w:t>
      </w:r>
      <w:r w:rsidRPr="004B1466">
        <w:rPr>
          <w:bCs/>
          <w:color w:val="0070C0"/>
        </w:rPr>
        <w:t xml:space="preserve"> </w:t>
      </w:r>
    </w:p>
    <w:p w:rsidR="00A25119" w:rsidRPr="003029B7" w:rsidRDefault="00A25119" w:rsidP="00A25119">
      <w:pPr>
        <w:ind w:firstLine="709"/>
        <w:jc w:val="both"/>
        <w:rPr>
          <w:rFonts w:eastAsia="Calibri"/>
        </w:rPr>
      </w:pPr>
      <w:r w:rsidRPr="003029B7">
        <w:t>Съпоставени с 2019 г., приходите по бюджета на ДОО нарастват с 332,9 млн. лв. (4,3</w:t>
      </w:r>
      <w:r w:rsidR="00F04499">
        <w:t> </w:t>
      </w:r>
      <w:r w:rsidRPr="003029B7">
        <w:t xml:space="preserve">%). </w:t>
      </w:r>
      <w:r w:rsidRPr="003029B7">
        <w:rPr>
          <w:bCs/>
        </w:rPr>
        <w:t>Върху състоянието на приходите през 20</w:t>
      </w:r>
      <w:r w:rsidRPr="005F542B">
        <w:rPr>
          <w:bCs/>
        </w:rPr>
        <w:t>20</w:t>
      </w:r>
      <w:r w:rsidRPr="003029B7">
        <w:rPr>
          <w:bCs/>
        </w:rPr>
        <w:t xml:space="preserve"> г. влияние оказват следните административни мерки: з</w:t>
      </w:r>
      <w:r w:rsidRPr="003029B7">
        <w:t>апазване равнищата на минималните осигурителни доходи по основните икономически дейности и квалификационни групи професии от 201</w:t>
      </w:r>
      <w:r w:rsidRPr="005F542B">
        <w:t>9</w:t>
      </w:r>
      <w:r w:rsidRPr="003029B7">
        <w:t xml:space="preserve"> г., с изключение на позициите, които са под новия размер на минималната работна заплата за 20</w:t>
      </w:r>
      <w:r w:rsidRPr="005F542B">
        <w:t>20</w:t>
      </w:r>
      <w:r w:rsidRPr="003029B7">
        <w:t> г. (</w:t>
      </w:r>
      <w:r w:rsidRPr="005F542B">
        <w:t>610</w:t>
      </w:r>
      <w:r w:rsidRPr="003029B7">
        <w:t xml:space="preserve"> лв.) и съответно те бяха приравнени на нея, с което се постигна средно нарастване на минималните осигурителни доходи през 20</w:t>
      </w:r>
      <w:r w:rsidRPr="005F542B">
        <w:t xml:space="preserve">20 </w:t>
      </w:r>
      <w:r w:rsidRPr="003029B7">
        <w:t xml:space="preserve">г. с около </w:t>
      </w:r>
      <w:r w:rsidRPr="005F542B">
        <w:t>5</w:t>
      </w:r>
      <w:r w:rsidRPr="003029B7">
        <w:t>,</w:t>
      </w:r>
      <w:r w:rsidRPr="005F542B">
        <w:t>5</w:t>
      </w:r>
      <w:r w:rsidRPr="003029B7">
        <w:t xml:space="preserve"> на сто спрямо 201</w:t>
      </w:r>
      <w:r w:rsidRPr="005F542B">
        <w:t>9</w:t>
      </w:r>
      <w:r w:rsidRPr="003029B7">
        <w:t xml:space="preserve"> година; увеличение от </w:t>
      </w:r>
      <w:r w:rsidR="00FC28ED">
        <w:t>0</w:t>
      </w:r>
      <w:r w:rsidRPr="003029B7">
        <w:t>1.</w:t>
      </w:r>
      <w:r w:rsidR="00FC28ED">
        <w:t>0</w:t>
      </w:r>
      <w:r w:rsidRPr="003029B7">
        <w:t>1.2020 г. с 10 % на разходите за персонал в бюджетната сфера;</w:t>
      </w:r>
      <w:r w:rsidR="0025458F">
        <w:t xml:space="preserve"> </w:t>
      </w:r>
      <w:r w:rsidR="0025458F" w:rsidRPr="0025458F">
        <w:t>увеличение от 01.07.2020 г. на минималния месечен осигурителен доход за работещите в секторите „Хотелиерство“ и „Ресторантьорство“;</w:t>
      </w:r>
      <w:r w:rsidRPr="003029B7">
        <w:t xml:space="preserve"> увеличение от </w:t>
      </w:r>
      <w:r w:rsidR="00FC28ED">
        <w:t>0</w:t>
      </w:r>
      <w:r w:rsidRPr="003029B7">
        <w:t>1.</w:t>
      </w:r>
      <w:r w:rsidR="0025458F">
        <w:t>0</w:t>
      </w:r>
      <w:r w:rsidRPr="003029B7">
        <w:t>8.2020 г. с 30 % на заплатите на служители, ангажирани в борбата с пандемията и администрации с ниски възнаграждения</w:t>
      </w:r>
      <w:r w:rsidR="002A22D6">
        <w:t>,</w:t>
      </w:r>
      <w:r w:rsidRPr="003029B7">
        <w:t xml:space="preserve"> и поредната стъпка от увеличението на възнагражденията в сектор „Образование“. </w:t>
      </w:r>
    </w:p>
    <w:p w:rsidR="00A25119" w:rsidRPr="000F7739" w:rsidRDefault="00A25119" w:rsidP="00A25119">
      <w:pPr>
        <w:ind w:firstLine="567"/>
        <w:jc w:val="both"/>
        <w:rPr>
          <w:bCs/>
        </w:rPr>
      </w:pPr>
      <w:r w:rsidRPr="000F7739">
        <w:rPr>
          <w:bCs/>
        </w:rPr>
        <w:t xml:space="preserve">Отчетените неданъчни приходи през 2020 г. по бюджета на ДОО възлизат на 189,4 млн. лв., в т.ч. 163,1 млн. лв. постъпили средства по чл. 4б, чл. 4в и чл. 69б от Кодекса за социално осигуряване </w:t>
      </w:r>
      <w:r w:rsidRPr="005F542B">
        <w:rPr>
          <w:bCs/>
        </w:rPr>
        <w:t>(</w:t>
      </w:r>
      <w:r w:rsidRPr="000F7739">
        <w:rPr>
          <w:bCs/>
        </w:rPr>
        <w:t>КСО</w:t>
      </w:r>
      <w:r w:rsidRPr="000F7739">
        <w:t xml:space="preserve">) </w:t>
      </w:r>
      <w:r w:rsidRPr="000F7739">
        <w:rPr>
          <w:bCs/>
        </w:rPr>
        <w:t>(п</w:t>
      </w:r>
      <w:r w:rsidRPr="000F7739">
        <w:t>рехвърлени</w:t>
      </w:r>
      <w:r w:rsidR="00D44DB9">
        <w:t>/</w:t>
      </w:r>
      <w:r w:rsidRPr="000F7739">
        <w:t>възстановени акумулирани средства от осигурителни вноски).</w:t>
      </w:r>
      <w:r w:rsidRPr="000F7739">
        <w:rPr>
          <w:bCs/>
        </w:rPr>
        <w:t xml:space="preserve"> </w:t>
      </w:r>
    </w:p>
    <w:p w:rsidR="00A25119" w:rsidRDefault="00A25119" w:rsidP="00A25119">
      <w:pPr>
        <w:tabs>
          <w:tab w:val="num" w:pos="1499"/>
          <w:tab w:val="num" w:pos="2148"/>
        </w:tabs>
        <w:ind w:firstLine="567"/>
        <w:jc w:val="both"/>
        <w:rPr>
          <w:bCs/>
        </w:rPr>
      </w:pPr>
      <w:r w:rsidRPr="002F6C88">
        <w:rPr>
          <w:bCs/>
        </w:rPr>
        <w:t xml:space="preserve">Размерът на извършените </w:t>
      </w:r>
      <w:r w:rsidRPr="002F6C88">
        <w:rPr>
          <w:b/>
          <w:bCs/>
        </w:rPr>
        <w:t xml:space="preserve">разходи </w:t>
      </w:r>
      <w:r w:rsidRPr="002F6C88">
        <w:rPr>
          <w:bCs/>
        </w:rPr>
        <w:t>през 2020 г. по бюджета на ДОО е 14 285,7 млн</w:t>
      </w:r>
      <w:r w:rsidRPr="00A82E45">
        <w:rPr>
          <w:bCs/>
        </w:rPr>
        <w:t>. лв., което представлява 106,2 % от предвидените средства по актуализирания бюджет за 20</w:t>
      </w:r>
      <w:r w:rsidRPr="005F542B">
        <w:rPr>
          <w:bCs/>
        </w:rPr>
        <w:t>20</w:t>
      </w:r>
      <w:r w:rsidRPr="00A82E45">
        <w:rPr>
          <w:bCs/>
        </w:rPr>
        <w:t xml:space="preserve"> г. Спрямо предходната година, общо разходите по бюджета на ДОО са с 2 629,2 млн. лв. (22,6 %) повече. От структурна гледна точка с най-голям относителен дял в общите разходи са </w:t>
      </w:r>
      <w:r w:rsidRPr="00FE4559">
        <w:rPr>
          <w:bCs/>
        </w:rPr>
        <w:t>разходите за пенсии, обезщетения и помощи, изплащани на основание Кодекса за социално осигуряване</w:t>
      </w:r>
      <w:r w:rsidR="00E85784">
        <w:rPr>
          <w:bCs/>
        </w:rPr>
        <w:t xml:space="preserve">, както и разходите по </w:t>
      </w:r>
      <w:r w:rsidR="00E85784" w:rsidRPr="00E85784">
        <w:rPr>
          <w:bCs/>
        </w:rPr>
        <w:t xml:space="preserve">мярката </w:t>
      </w:r>
      <w:r w:rsidR="00663863">
        <w:rPr>
          <w:bCs/>
        </w:rPr>
        <w:t>„</w:t>
      </w:r>
      <w:r w:rsidR="00E85784" w:rsidRPr="00E85784">
        <w:t>60/40“</w:t>
      </w:r>
      <w:r w:rsidR="00FF0386">
        <w:t xml:space="preserve"> </w:t>
      </w:r>
      <w:r w:rsidR="00E85784" w:rsidRPr="00E85784">
        <w:t>и нейните изменения</w:t>
      </w:r>
      <w:r w:rsidR="00E85784">
        <w:rPr>
          <w:bCs/>
        </w:rPr>
        <w:t xml:space="preserve"> </w:t>
      </w:r>
      <w:r w:rsidRPr="00FE4559">
        <w:rPr>
          <w:bCs/>
        </w:rPr>
        <w:t xml:space="preserve"> – общо 1</w:t>
      </w:r>
      <w:r w:rsidR="00E85784">
        <w:rPr>
          <w:bCs/>
        </w:rPr>
        <w:t>4</w:t>
      </w:r>
      <w:r w:rsidRPr="00FE4559">
        <w:rPr>
          <w:bCs/>
        </w:rPr>
        <w:t xml:space="preserve"> </w:t>
      </w:r>
      <w:r w:rsidR="00E85784">
        <w:rPr>
          <w:bCs/>
        </w:rPr>
        <w:t>150</w:t>
      </w:r>
      <w:r w:rsidRPr="00FE4559">
        <w:rPr>
          <w:bCs/>
        </w:rPr>
        <w:t>,</w:t>
      </w:r>
      <w:r w:rsidR="00E85784">
        <w:rPr>
          <w:bCs/>
        </w:rPr>
        <w:t>6</w:t>
      </w:r>
      <w:r w:rsidRPr="00FE4559">
        <w:rPr>
          <w:bCs/>
        </w:rPr>
        <w:t xml:space="preserve"> млн. лв. или 9</w:t>
      </w:r>
      <w:r w:rsidR="00E85784">
        <w:rPr>
          <w:bCs/>
        </w:rPr>
        <w:t>9</w:t>
      </w:r>
      <w:r w:rsidRPr="00FE4559">
        <w:rPr>
          <w:bCs/>
        </w:rPr>
        <w:t xml:space="preserve">,1 % от общия размер на разходите за отчетния период. Отчетените разходи за </w:t>
      </w:r>
      <w:r w:rsidRPr="00FE4559">
        <w:rPr>
          <w:b/>
          <w:bCs/>
        </w:rPr>
        <w:t>пенсии</w:t>
      </w:r>
      <w:r w:rsidRPr="00FE4559">
        <w:rPr>
          <w:bCs/>
        </w:rPr>
        <w:t xml:space="preserve"> по бюджета на ДОО към 31.12.2020 г. възлизат на 11 137,3 млн. лв., което е с 1 276,8 млн. лв. повече спрямо 2019 г. </w:t>
      </w:r>
      <w:r>
        <w:rPr>
          <w:bCs/>
        </w:rPr>
        <w:t xml:space="preserve">Основните причини за това са: изплатените добавки </w:t>
      </w:r>
      <w:r w:rsidRPr="00ED0646">
        <w:rPr>
          <w:bCs/>
        </w:rPr>
        <w:t>по 40 лв.</w:t>
      </w:r>
      <w:r>
        <w:rPr>
          <w:bCs/>
        </w:rPr>
        <w:t xml:space="preserve"> към пенсиите за април 2020 г. </w:t>
      </w:r>
      <w:r w:rsidRPr="005F7CCC">
        <w:rPr>
          <w:bCs/>
        </w:rPr>
        <w:t>на пенсионери</w:t>
      </w:r>
      <w:r>
        <w:rPr>
          <w:bCs/>
        </w:rPr>
        <w:t>те</w:t>
      </w:r>
      <w:r w:rsidRPr="00ED0646">
        <w:rPr>
          <w:bCs/>
        </w:rPr>
        <w:t>,</w:t>
      </w:r>
      <w:r w:rsidRPr="005F7CCC">
        <w:rPr>
          <w:bCs/>
        </w:rPr>
        <w:t xml:space="preserve"> на които пенсията или сборът от пенсиите заедно с добавките и компенсациите към тях е в размер до 363,00 лв. вкл.</w:t>
      </w:r>
      <w:r>
        <w:rPr>
          <w:bCs/>
        </w:rPr>
        <w:t>- общо ок</w:t>
      </w:r>
      <w:r w:rsidR="00F930B6">
        <w:rPr>
          <w:bCs/>
        </w:rPr>
        <w:t>оло</w:t>
      </w:r>
      <w:r>
        <w:rPr>
          <w:bCs/>
        </w:rPr>
        <w:t xml:space="preserve"> 50 млн. лв., и </w:t>
      </w:r>
      <w:r w:rsidRPr="005F7CCC">
        <w:rPr>
          <w:bCs/>
        </w:rPr>
        <w:t xml:space="preserve"> </w:t>
      </w:r>
      <w:r>
        <w:rPr>
          <w:bCs/>
        </w:rPr>
        <w:t>изплащането по 50 лв. на всеки пенсионер, като ч</w:t>
      </w:r>
      <w:r w:rsidRPr="00ED0646">
        <w:rPr>
          <w:bCs/>
        </w:rPr>
        <w:t xml:space="preserve">аст от </w:t>
      </w:r>
      <w:r>
        <w:rPr>
          <w:bCs/>
        </w:rPr>
        <w:t>социално-икономическите мерки</w:t>
      </w:r>
      <w:r w:rsidRPr="00ED0646">
        <w:rPr>
          <w:bCs/>
        </w:rPr>
        <w:t>, договорени в Коалиционния съве</w:t>
      </w:r>
      <w:r>
        <w:rPr>
          <w:bCs/>
        </w:rPr>
        <w:t xml:space="preserve">т и одобрени от </w:t>
      </w:r>
      <w:r w:rsidR="00B81921">
        <w:rPr>
          <w:bCs/>
        </w:rPr>
        <w:t>правителство</w:t>
      </w:r>
      <w:r>
        <w:rPr>
          <w:bCs/>
        </w:rPr>
        <w:t>,</w:t>
      </w:r>
      <w:r w:rsidRPr="00ED0646">
        <w:rPr>
          <w:bCs/>
        </w:rPr>
        <w:t xml:space="preserve"> в отговор на епидемичната криза</w:t>
      </w:r>
      <w:r>
        <w:rPr>
          <w:bCs/>
        </w:rPr>
        <w:t xml:space="preserve"> – общият размер на тези добавки, изплатени в месеците август </w:t>
      </w:r>
      <w:r w:rsidRPr="005F542B">
        <w:rPr>
          <w:bCs/>
        </w:rPr>
        <w:t>-</w:t>
      </w:r>
      <w:r>
        <w:rPr>
          <w:bCs/>
        </w:rPr>
        <w:t xml:space="preserve"> </w:t>
      </w:r>
      <w:r w:rsidRPr="00396075">
        <w:rPr>
          <w:bCs/>
        </w:rPr>
        <w:t>декември 2020 г.</w:t>
      </w:r>
      <w:r>
        <w:rPr>
          <w:bCs/>
        </w:rPr>
        <w:t xml:space="preserve"> е общо около</w:t>
      </w:r>
      <w:r w:rsidRPr="005F542B">
        <w:rPr>
          <w:bCs/>
        </w:rPr>
        <w:t xml:space="preserve"> </w:t>
      </w:r>
      <w:r>
        <w:rPr>
          <w:bCs/>
        </w:rPr>
        <w:t>530 млн. лева.</w:t>
      </w:r>
    </w:p>
    <w:p w:rsidR="00A25119" w:rsidRPr="004B1466" w:rsidRDefault="00A25119" w:rsidP="00A25119">
      <w:pPr>
        <w:tabs>
          <w:tab w:val="num" w:pos="1499"/>
          <w:tab w:val="num" w:pos="2148"/>
        </w:tabs>
        <w:ind w:firstLine="567"/>
        <w:jc w:val="both"/>
        <w:rPr>
          <w:color w:val="0070C0"/>
        </w:rPr>
      </w:pPr>
      <w:r w:rsidRPr="00FE4559">
        <w:t xml:space="preserve">Отчетените разходи за </w:t>
      </w:r>
      <w:r w:rsidRPr="00FE4559">
        <w:rPr>
          <w:b/>
        </w:rPr>
        <w:t>краткосрочни обезщетения и помощи по КСО</w:t>
      </w:r>
      <w:r w:rsidRPr="00FE4559">
        <w:t xml:space="preserve"> са в размер на 2</w:t>
      </w:r>
      <w:r w:rsidR="008B3305">
        <w:t> </w:t>
      </w:r>
      <w:r w:rsidRPr="00FE4559">
        <w:t xml:space="preserve">015,2 млн. лева. Спрямо </w:t>
      </w:r>
      <w:r w:rsidR="008B3305">
        <w:t>предходната</w:t>
      </w:r>
      <w:r w:rsidRPr="00FE4559">
        <w:t xml:space="preserve"> година изплатените обезщетения по КСО са с 340,6</w:t>
      </w:r>
      <w:r w:rsidR="008B3305">
        <w:t> </w:t>
      </w:r>
      <w:r w:rsidRPr="00FE4559">
        <w:t>млн. лв. (20,3 %) повече.</w:t>
      </w:r>
    </w:p>
    <w:p w:rsidR="00925EDD" w:rsidRPr="00A25119" w:rsidRDefault="00925EDD" w:rsidP="00C4077C">
      <w:pPr>
        <w:numPr>
          <w:ilvl w:val="1"/>
          <w:numId w:val="28"/>
        </w:numPr>
        <w:tabs>
          <w:tab w:val="num" w:pos="709"/>
          <w:tab w:val="left" w:pos="851"/>
          <w:tab w:val="left" w:pos="1134"/>
        </w:tabs>
        <w:spacing w:before="240" w:line="276" w:lineRule="auto"/>
        <w:ind w:left="709" w:hanging="357"/>
        <w:jc w:val="both"/>
        <w:rPr>
          <w:b/>
          <w:bCs/>
        </w:rPr>
      </w:pPr>
      <w:r w:rsidRPr="00A25119">
        <w:rPr>
          <w:b/>
          <w:bCs/>
        </w:rPr>
        <w:t>Национална здравноосигурителна каса</w:t>
      </w:r>
    </w:p>
    <w:p w:rsidR="00A25119" w:rsidRPr="004B1466" w:rsidRDefault="00A25119" w:rsidP="00A25119">
      <w:pPr>
        <w:ind w:firstLine="567"/>
        <w:jc w:val="both"/>
        <w:rPr>
          <w:color w:val="0070C0"/>
        </w:rPr>
      </w:pPr>
      <w:r w:rsidRPr="00100148">
        <w:t xml:space="preserve">Общият размер на събраните </w:t>
      </w:r>
      <w:r w:rsidRPr="00100148">
        <w:rPr>
          <w:b/>
        </w:rPr>
        <w:t>приходи</w:t>
      </w:r>
      <w:r w:rsidRPr="00100148">
        <w:t xml:space="preserve"> по бюджета на НЗОК през 2020 г. възлиза на 3 071,2 млн. лв., което представлява 98,2 % от предвидените със Закона за бюджета на НЗОК (ЗБНЗОК) за 2020 г. – 3 127,7 млн. лева. Постъпленията от здравноосигурителни вноски са в размер на 3 051,9 млн. лв., което е 98,2 % изпълнение </w:t>
      </w:r>
      <w:r w:rsidRPr="00E53B68">
        <w:t xml:space="preserve">на утвърдените със ЗБНЗОК за 2020 г. средства в размер на 3 107,1 млн. лева. Събраните неданъчни приходи през 2020 г. са 19,2 млн. лв. или 93,4 % от заложените в ЗБНЗОК за 2020 г., като основната част от тях са приходи от глоби, санкции и наказателни лихви. </w:t>
      </w:r>
    </w:p>
    <w:p w:rsidR="00A25119" w:rsidRPr="008B328B" w:rsidRDefault="00A25119" w:rsidP="00A25119">
      <w:pPr>
        <w:ind w:firstLine="567"/>
        <w:jc w:val="both"/>
      </w:pPr>
      <w:r w:rsidRPr="008B328B">
        <w:lastRenderedPageBreak/>
        <w:t>Полученият трансфер от МЗ за</w:t>
      </w:r>
      <w:r w:rsidRPr="008B328B">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 за отчетния период</w:t>
      </w:r>
      <w:r w:rsidRPr="005F542B">
        <w:rPr>
          <w:szCs w:val="20"/>
        </w:rPr>
        <w:t xml:space="preserve"> </w:t>
      </w:r>
      <w:r w:rsidRPr="008B328B">
        <w:rPr>
          <w:szCs w:val="20"/>
          <w:lang w:val="en-US"/>
        </w:rPr>
        <w:t>e</w:t>
      </w:r>
      <w:r w:rsidRPr="008B328B">
        <w:rPr>
          <w:szCs w:val="20"/>
        </w:rPr>
        <w:t xml:space="preserve"> в размер на 83,4</w:t>
      </w:r>
      <w:r w:rsidRPr="008B328B">
        <w:t xml:space="preserve"> млн. лева. </w:t>
      </w:r>
    </w:p>
    <w:p w:rsidR="00A25119" w:rsidRPr="007E25AC" w:rsidRDefault="00A25119" w:rsidP="00A25119">
      <w:pPr>
        <w:ind w:firstLine="567"/>
        <w:jc w:val="both"/>
      </w:pPr>
      <w:r w:rsidRPr="0024377B">
        <w:t>Трансферите за здравно осигуряване от централния бюджет са 1 578,8 млн. лв., в т.ч. в изпълнение на Постановление № 362 на Министерския съвет от 10.12.2020 г. за одобряване</w:t>
      </w:r>
      <w:r w:rsidRPr="0037665A">
        <w:t xml:space="preserve"> на допълнителен трансфер по бюджета на Националната здравноосигурителна каса за 2020 г. и при спазване на изискванията на разпоредбата на чл.48, ал.4 от Закона за публичните финанси</w:t>
      </w:r>
      <w:r>
        <w:t xml:space="preserve"> е предоставен </w:t>
      </w:r>
      <w:r w:rsidRPr="0037665A">
        <w:t xml:space="preserve">допълнителен трансфер от централния бюджет за покриване на неизпълнението на приходите в размер на 43,4 </w:t>
      </w:r>
      <w:r w:rsidRPr="007E25AC">
        <w:t>млн. лева.</w:t>
      </w:r>
    </w:p>
    <w:p w:rsidR="00A25119" w:rsidRPr="004B1466" w:rsidRDefault="00A25119" w:rsidP="00A25119">
      <w:pPr>
        <w:ind w:firstLine="567"/>
        <w:jc w:val="both"/>
        <w:rPr>
          <w:color w:val="0070C0"/>
        </w:rPr>
      </w:pPr>
      <w:r w:rsidRPr="007E25AC">
        <w:t xml:space="preserve">Отчетените </w:t>
      </w:r>
      <w:r w:rsidRPr="007E25AC">
        <w:rPr>
          <w:b/>
        </w:rPr>
        <w:t>разходи</w:t>
      </w:r>
      <w:r w:rsidRPr="007E25AC">
        <w:t xml:space="preserve"> към 3</w:t>
      </w:r>
      <w:r w:rsidRPr="005F542B">
        <w:t>1</w:t>
      </w:r>
      <w:r w:rsidRPr="007E25AC">
        <w:t>.</w:t>
      </w:r>
      <w:r w:rsidRPr="005F542B">
        <w:t>12</w:t>
      </w:r>
      <w:r w:rsidRPr="007E25AC">
        <w:t xml:space="preserve">.2020 г. са в размер на </w:t>
      </w:r>
      <w:r w:rsidRPr="005F542B">
        <w:t>4</w:t>
      </w:r>
      <w:r w:rsidRPr="007E25AC">
        <w:t> </w:t>
      </w:r>
      <w:r w:rsidRPr="005F542B">
        <w:t>626</w:t>
      </w:r>
      <w:r w:rsidRPr="007E25AC">
        <w:t>,</w:t>
      </w:r>
      <w:r w:rsidRPr="005F542B">
        <w:t>1</w:t>
      </w:r>
      <w:r w:rsidRPr="007E25AC">
        <w:t xml:space="preserve"> млн. лв. и представляват </w:t>
      </w:r>
      <w:r w:rsidRPr="005F542B">
        <w:t>97</w:t>
      </w:r>
      <w:r w:rsidRPr="007E25AC">
        <w:t>,</w:t>
      </w:r>
      <w:r w:rsidRPr="005F542B">
        <w:t>6</w:t>
      </w:r>
      <w:r w:rsidRPr="007E25AC">
        <w:t> % от предвидените в ЗБНЗОК за 2020 г. 4 739,2 млн. лева. Най-голям относителен дял (9</w:t>
      </w:r>
      <w:r w:rsidRPr="005F542B">
        <w:t>6</w:t>
      </w:r>
      <w:r w:rsidRPr="007E25AC">
        <w:t>,</w:t>
      </w:r>
      <w:r w:rsidRPr="005F542B">
        <w:t>8</w:t>
      </w:r>
      <w:r w:rsidRPr="007E25AC">
        <w:t xml:space="preserve"> %) заемат здравноосигурителните плащания, които възлизат на </w:t>
      </w:r>
      <w:r w:rsidRPr="005F542B">
        <w:t>4 478</w:t>
      </w:r>
      <w:r w:rsidRPr="007E25AC">
        <w:t>,</w:t>
      </w:r>
      <w:r w:rsidRPr="005F542B">
        <w:t>9</w:t>
      </w:r>
      <w:r w:rsidRPr="007E25AC">
        <w:t xml:space="preserve"> млн. лева. В отделните направления на здравноосигурителни плащания изпълнението на бюджета за 2020 г. е следното:</w:t>
      </w:r>
    </w:p>
    <w:p w:rsidR="00A25119" w:rsidRPr="008C0C8F" w:rsidRDefault="00A25119" w:rsidP="00A25119">
      <w:pPr>
        <w:numPr>
          <w:ilvl w:val="0"/>
          <w:numId w:val="29"/>
        </w:numPr>
        <w:tabs>
          <w:tab w:val="num" w:pos="0"/>
          <w:tab w:val="left" w:pos="720"/>
          <w:tab w:val="left" w:pos="1134"/>
        </w:tabs>
        <w:spacing w:before="120" w:line="276" w:lineRule="auto"/>
        <w:ind w:hanging="6169"/>
        <w:jc w:val="both"/>
        <w:rPr>
          <w:bCs/>
        </w:rPr>
      </w:pPr>
      <w:r w:rsidRPr="008C0C8F">
        <w:rPr>
          <w:b/>
          <w:i/>
        </w:rPr>
        <w:t>първична извънболнична медицинска помощ</w:t>
      </w:r>
      <w:r w:rsidRPr="008C0C8F">
        <w:rPr>
          <w:i/>
        </w:rPr>
        <w:t xml:space="preserve"> –</w:t>
      </w:r>
      <w:r w:rsidRPr="008C0C8F">
        <w:t xml:space="preserve"> </w:t>
      </w:r>
      <w:r w:rsidRPr="005F542B">
        <w:t>277</w:t>
      </w:r>
      <w:r w:rsidRPr="008C0C8F">
        <w:t>,</w:t>
      </w:r>
      <w:r w:rsidRPr="005F542B">
        <w:t>6</w:t>
      </w:r>
      <w:r w:rsidRPr="008C0C8F">
        <w:t xml:space="preserve"> млн. лева;</w:t>
      </w:r>
      <w:r w:rsidRPr="008C0C8F">
        <w:rPr>
          <w:bCs/>
        </w:rPr>
        <w:t xml:space="preserve"> </w:t>
      </w:r>
    </w:p>
    <w:p w:rsidR="00A25119" w:rsidRPr="008C0C8F" w:rsidRDefault="00A25119" w:rsidP="00A25119">
      <w:pPr>
        <w:numPr>
          <w:ilvl w:val="0"/>
          <w:numId w:val="29"/>
        </w:numPr>
        <w:tabs>
          <w:tab w:val="num" w:pos="0"/>
          <w:tab w:val="left" w:pos="720"/>
          <w:tab w:val="left" w:pos="1134"/>
        </w:tabs>
        <w:spacing w:line="276" w:lineRule="auto"/>
        <w:ind w:hanging="6169"/>
        <w:jc w:val="both"/>
        <w:rPr>
          <w:i/>
        </w:rPr>
      </w:pPr>
      <w:r w:rsidRPr="008C0C8F">
        <w:rPr>
          <w:b/>
          <w:i/>
        </w:rPr>
        <w:t xml:space="preserve">специализирана извънболнична медицинска помощ </w:t>
      </w:r>
      <w:r w:rsidRPr="008C0C8F">
        <w:t xml:space="preserve"> – </w:t>
      </w:r>
      <w:r w:rsidRPr="005F542B">
        <w:t>277</w:t>
      </w:r>
      <w:r w:rsidRPr="008C0C8F">
        <w:t>,0 млн. лева;</w:t>
      </w:r>
    </w:p>
    <w:p w:rsidR="00A25119" w:rsidRPr="008C0C8F" w:rsidRDefault="00A25119" w:rsidP="00A25119">
      <w:pPr>
        <w:numPr>
          <w:ilvl w:val="0"/>
          <w:numId w:val="29"/>
        </w:numPr>
        <w:tabs>
          <w:tab w:val="num" w:pos="0"/>
          <w:tab w:val="left" w:pos="720"/>
          <w:tab w:val="left" w:pos="1134"/>
        </w:tabs>
        <w:spacing w:line="276" w:lineRule="auto"/>
        <w:ind w:hanging="6169"/>
        <w:jc w:val="both"/>
        <w:rPr>
          <w:b/>
        </w:rPr>
      </w:pPr>
      <w:r w:rsidRPr="008C0C8F">
        <w:rPr>
          <w:b/>
          <w:i/>
        </w:rPr>
        <w:t xml:space="preserve">дентална помощ – </w:t>
      </w:r>
      <w:r w:rsidRPr="008C0C8F">
        <w:rPr>
          <w:lang w:val="en-US"/>
        </w:rPr>
        <w:t>211</w:t>
      </w:r>
      <w:r w:rsidRPr="008C0C8F">
        <w:t>,</w:t>
      </w:r>
      <w:r w:rsidRPr="008C0C8F">
        <w:rPr>
          <w:lang w:val="en-US"/>
        </w:rPr>
        <w:t>0</w:t>
      </w:r>
      <w:r w:rsidRPr="008C0C8F">
        <w:t xml:space="preserve"> млн. лева;</w:t>
      </w:r>
    </w:p>
    <w:p w:rsidR="00A25119" w:rsidRPr="008C0C8F" w:rsidRDefault="00A25119" w:rsidP="00A25119">
      <w:pPr>
        <w:numPr>
          <w:ilvl w:val="0"/>
          <w:numId w:val="29"/>
        </w:numPr>
        <w:tabs>
          <w:tab w:val="num" w:pos="0"/>
          <w:tab w:val="left" w:pos="720"/>
          <w:tab w:val="left" w:pos="1134"/>
        </w:tabs>
        <w:spacing w:line="276" w:lineRule="auto"/>
        <w:ind w:hanging="6169"/>
        <w:jc w:val="both"/>
        <w:rPr>
          <w:b/>
          <w:i/>
        </w:rPr>
      </w:pPr>
      <w:r w:rsidRPr="008C0C8F">
        <w:rPr>
          <w:b/>
          <w:i/>
        </w:rPr>
        <w:t xml:space="preserve">медико-диагностична дейност – </w:t>
      </w:r>
      <w:r w:rsidRPr="005F542B">
        <w:t>107</w:t>
      </w:r>
      <w:r w:rsidRPr="008C0C8F">
        <w:t>,</w:t>
      </w:r>
      <w:r w:rsidRPr="005F542B">
        <w:t>7</w:t>
      </w:r>
      <w:r w:rsidRPr="008C0C8F">
        <w:t xml:space="preserve"> млн. лева;</w:t>
      </w:r>
      <w:r w:rsidRPr="008C0C8F">
        <w:rPr>
          <w:b/>
          <w:i/>
        </w:rPr>
        <w:t xml:space="preserve"> </w:t>
      </w:r>
    </w:p>
    <w:p w:rsidR="00A25119" w:rsidRPr="008C0C8F" w:rsidRDefault="00A25119" w:rsidP="00A25119">
      <w:pPr>
        <w:numPr>
          <w:ilvl w:val="0"/>
          <w:numId w:val="29"/>
        </w:numPr>
        <w:tabs>
          <w:tab w:val="num" w:pos="0"/>
          <w:tab w:val="left" w:pos="1134"/>
        </w:tabs>
        <w:spacing w:line="276" w:lineRule="auto"/>
        <w:ind w:left="1134" w:hanging="425"/>
        <w:jc w:val="both"/>
      </w:pPr>
      <w:r w:rsidRPr="008C0C8F">
        <w:rPr>
          <w:b/>
          <w:i/>
        </w:rPr>
        <w:t xml:space="preserve">лекарствени продукти, медицински изделия и диетични храни за домашно лечение на територията на страната </w:t>
      </w:r>
      <w:r w:rsidRPr="005F542B">
        <w:rPr>
          <w:b/>
          <w:i/>
        </w:rPr>
        <w:t xml:space="preserve"> - </w:t>
      </w:r>
      <w:r w:rsidRPr="005F542B">
        <w:t>779</w:t>
      </w:r>
      <w:r w:rsidRPr="008C0C8F">
        <w:t>,0 млн. лв.</w:t>
      </w:r>
    </w:p>
    <w:p w:rsidR="00A25119" w:rsidRPr="008C0C8F" w:rsidRDefault="00A25119" w:rsidP="00A25119">
      <w:pPr>
        <w:numPr>
          <w:ilvl w:val="0"/>
          <w:numId w:val="29"/>
        </w:numPr>
        <w:tabs>
          <w:tab w:val="num" w:pos="0"/>
          <w:tab w:val="left" w:pos="1134"/>
          <w:tab w:val="num" w:pos="6096"/>
        </w:tabs>
        <w:spacing w:line="276" w:lineRule="auto"/>
        <w:ind w:left="1134" w:hanging="425"/>
        <w:jc w:val="both"/>
      </w:pPr>
      <w:r w:rsidRPr="005F542B">
        <w:rPr>
          <w:b/>
          <w:i/>
        </w:rPr>
        <w:t xml:space="preserve"> </w:t>
      </w:r>
      <w:r w:rsidRPr="008C0C8F">
        <w:rPr>
          <w:b/>
          <w:i/>
        </w:rPr>
        <w:t xml:space="preserve">лекарствени продукти за лечение на злокачествени заболявания в условията на болнична медицинска помощ </w:t>
      </w:r>
      <w:r w:rsidRPr="008C0C8F">
        <w:t xml:space="preserve"> – </w:t>
      </w:r>
      <w:r w:rsidRPr="005F542B">
        <w:t>4</w:t>
      </w:r>
      <w:r w:rsidRPr="008C0C8F">
        <w:t>67,</w:t>
      </w:r>
      <w:r w:rsidRPr="005F542B">
        <w:t>2</w:t>
      </w:r>
      <w:r w:rsidRPr="008C0C8F">
        <w:t xml:space="preserve"> млн. лева;</w:t>
      </w:r>
    </w:p>
    <w:p w:rsidR="00A25119" w:rsidRPr="008C0C8F" w:rsidRDefault="00A25119" w:rsidP="00A25119">
      <w:pPr>
        <w:numPr>
          <w:ilvl w:val="0"/>
          <w:numId w:val="29"/>
        </w:numPr>
        <w:tabs>
          <w:tab w:val="num" w:pos="0"/>
          <w:tab w:val="left" w:pos="720"/>
          <w:tab w:val="num" w:pos="1134"/>
        </w:tabs>
        <w:spacing w:line="276" w:lineRule="auto"/>
        <w:ind w:left="1134" w:hanging="425"/>
        <w:jc w:val="both"/>
      </w:pPr>
      <w:r w:rsidRPr="008C0C8F">
        <w:rPr>
          <w:b/>
          <w:i/>
        </w:rPr>
        <w:t>медицински изделия, прилагани в болничната  помощ –</w:t>
      </w:r>
      <w:r w:rsidRPr="008C0C8F">
        <w:t xml:space="preserve"> </w:t>
      </w:r>
      <w:r w:rsidRPr="005F542B">
        <w:t>87</w:t>
      </w:r>
      <w:r w:rsidRPr="008C0C8F">
        <w:t>,</w:t>
      </w:r>
      <w:r w:rsidRPr="005F542B">
        <w:t>7</w:t>
      </w:r>
      <w:r w:rsidRPr="008C0C8F">
        <w:t xml:space="preserve"> млн. лева;</w:t>
      </w:r>
    </w:p>
    <w:p w:rsidR="00A25119" w:rsidRPr="008C0C8F" w:rsidRDefault="00A25119" w:rsidP="00A25119">
      <w:pPr>
        <w:numPr>
          <w:ilvl w:val="0"/>
          <w:numId w:val="29"/>
        </w:numPr>
        <w:tabs>
          <w:tab w:val="num" w:pos="0"/>
          <w:tab w:val="left" w:pos="720"/>
          <w:tab w:val="left" w:pos="1134"/>
        </w:tabs>
        <w:spacing w:line="276" w:lineRule="auto"/>
        <w:ind w:hanging="6169"/>
        <w:jc w:val="both"/>
      </w:pPr>
      <w:r w:rsidRPr="008C0C8F">
        <w:rPr>
          <w:b/>
          <w:i/>
        </w:rPr>
        <w:t>болнична медицинска помощ –</w:t>
      </w:r>
      <w:r w:rsidRPr="008C0C8F">
        <w:t xml:space="preserve"> </w:t>
      </w:r>
      <w:r w:rsidRPr="005F542B">
        <w:t>2</w:t>
      </w:r>
      <w:r w:rsidRPr="008C0C8F">
        <w:t xml:space="preserve"> </w:t>
      </w:r>
      <w:r w:rsidRPr="005F542B">
        <w:t>162</w:t>
      </w:r>
      <w:r w:rsidRPr="008C0C8F">
        <w:t>,</w:t>
      </w:r>
      <w:r w:rsidRPr="005F542B">
        <w:t>0</w:t>
      </w:r>
      <w:r w:rsidRPr="008C0C8F">
        <w:t xml:space="preserve"> млн. лева.</w:t>
      </w:r>
      <w:r w:rsidRPr="008C0C8F">
        <w:tab/>
        <w:t xml:space="preserve"> </w:t>
      </w:r>
    </w:p>
    <w:p w:rsidR="00A25119" w:rsidRPr="00037379" w:rsidRDefault="00A25119" w:rsidP="00A25119">
      <w:pPr>
        <w:numPr>
          <w:ilvl w:val="0"/>
          <w:numId w:val="29"/>
        </w:numPr>
        <w:tabs>
          <w:tab w:val="num" w:pos="0"/>
          <w:tab w:val="left" w:pos="720"/>
          <w:tab w:val="left" w:pos="1134"/>
        </w:tabs>
        <w:spacing w:line="276" w:lineRule="auto"/>
        <w:ind w:hanging="6169"/>
        <w:jc w:val="both"/>
      </w:pPr>
      <w:r w:rsidRPr="00037379">
        <w:rPr>
          <w:b/>
          <w:i/>
        </w:rPr>
        <w:t xml:space="preserve">други здравноосигурителни плащания – </w:t>
      </w:r>
      <w:r w:rsidRPr="005F542B">
        <w:t>109</w:t>
      </w:r>
      <w:r w:rsidRPr="00037379">
        <w:t>,</w:t>
      </w:r>
      <w:r w:rsidRPr="005F542B">
        <w:t>7</w:t>
      </w:r>
      <w:r w:rsidRPr="00037379">
        <w:t xml:space="preserve"> млн. лева.</w:t>
      </w:r>
    </w:p>
    <w:p w:rsidR="00A25119" w:rsidRPr="00491CFF" w:rsidRDefault="00A25119" w:rsidP="00A25119">
      <w:pPr>
        <w:spacing w:before="120"/>
        <w:ind w:firstLine="567"/>
        <w:jc w:val="both"/>
      </w:pPr>
      <w:r w:rsidRPr="00037379">
        <w:t xml:space="preserve">Като здравноосигурителни плащания следва да се третират и преведените </w:t>
      </w:r>
      <w:r w:rsidRPr="005F542B">
        <w:t>106</w:t>
      </w:r>
      <w:r w:rsidRPr="00037379">
        <w:t>,</w:t>
      </w:r>
      <w:r w:rsidRPr="005F542B">
        <w:t>9</w:t>
      </w:r>
      <w:r w:rsidRPr="00037379">
        <w:t xml:space="preserve">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w:t>
      </w:r>
      <w:r w:rsidRPr="00491CFF">
        <w:t xml:space="preserve">здравноосигурителни плащания възлизат на </w:t>
      </w:r>
      <w:r w:rsidRPr="005F542B">
        <w:t>4</w:t>
      </w:r>
      <w:r w:rsidRPr="00491CFF">
        <w:t> </w:t>
      </w:r>
      <w:r w:rsidRPr="005F542B">
        <w:t>585</w:t>
      </w:r>
      <w:r w:rsidRPr="00491CFF">
        <w:t>,</w:t>
      </w:r>
      <w:r w:rsidRPr="005F542B">
        <w:t>8</w:t>
      </w:r>
      <w:r w:rsidRPr="00491CFF">
        <w:t xml:space="preserve"> млн. лв.</w:t>
      </w:r>
    </w:p>
    <w:p w:rsidR="00A25119" w:rsidRPr="00491CFF" w:rsidRDefault="00A25119" w:rsidP="00257E60">
      <w:pPr>
        <w:ind w:firstLine="567"/>
        <w:jc w:val="both"/>
      </w:pPr>
      <w:r w:rsidRPr="00491CFF">
        <w:t xml:space="preserve">За периода са отчетени плащания в размер на </w:t>
      </w:r>
      <w:r w:rsidRPr="005F542B">
        <w:t>83</w:t>
      </w:r>
      <w:r w:rsidRPr="00491CFF">
        <w:t>,</w:t>
      </w:r>
      <w:r w:rsidRPr="005F542B">
        <w:t>1</w:t>
      </w:r>
      <w:r w:rsidRPr="00491CFF">
        <w:t xml:space="preserve"> млн. лв. от предоставения трансфер  от Министерството на здравеопазването за дейности за здравнонеосигурени лица, лекарствени продукти и за потребителска такса.</w:t>
      </w:r>
    </w:p>
    <w:p w:rsidR="00A25119" w:rsidRDefault="00A25119" w:rsidP="00257E60">
      <w:pPr>
        <w:tabs>
          <w:tab w:val="left" w:pos="851"/>
          <w:tab w:val="left" w:pos="1134"/>
          <w:tab w:val="num" w:pos="1440"/>
        </w:tabs>
        <w:ind w:firstLine="567"/>
        <w:jc w:val="both"/>
      </w:pPr>
      <w:r w:rsidRPr="008627A0">
        <w:t>По бюджета на НЗОК за 2020 година са утвърдени 5</w:t>
      </w:r>
      <w:r w:rsidRPr="005F542B">
        <w:t>9</w:t>
      </w:r>
      <w:r w:rsidRPr="008627A0">
        <w:t>,</w:t>
      </w:r>
      <w:r w:rsidRPr="005F542B">
        <w:t>5</w:t>
      </w:r>
      <w:r w:rsidRPr="008627A0">
        <w:t xml:space="preserve"> млн. лв. за административни разходи на институцията (вкл. 1,8 млн. лв. одобрен с ПМС №247/03.09.2020 г. допълнителен трансфер по бюджета на НЗОК за 2020 г. за увеличаване възнагражденията на служителите на НЗОК, които са натоварени с дейности по овладяване на пандемията и последствията от COVID-19</w:t>
      </w:r>
      <w:r w:rsidRPr="005F542B">
        <w:t>)</w:t>
      </w:r>
      <w:r w:rsidRPr="008627A0">
        <w:t xml:space="preserve"> , които включват разходите за персонал, текуща издръжка и плащане на данъци, такси и др. За годината са отчетени 59,5 млн. лв., което представлява 100,0 % от годишния разчет. Усвоените средства за административни разходи заемат 1,3 на сто в структурата на общите разходи за отчетния период.</w:t>
      </w:r>
    </w:p>
    <w:p w:rsidR="00FB326E" w:rsidRDefault="00FB326E" w:rsidP="00257E60">
      <w:pPr>
        <w:tabs>
          <w:tab w:val="left" w:pos="851"/>
          <w:tab w:val="left" w:pos="1134"/>
          <w:tab w:val="num" w:pos="1440"/>
        </w:tabs>
        <w:ind w:firstLine="567"/>
        <w:jc w:val="both"/>
      </w:pPr>
    </w:p>
    <w:p w:rsidR="00FB326E" w:rsidRPr="004B1466" w:rsidRDefault="00FB326E" w:rsidP="00257E60">
      <w:pPr>
        <w:tabs>
          <w:tab w:val="left" w:pos="851"/>
          <w:tab w:val="left" w:pos="1134"/>
          <w:tab w:val="num" w:pos="1440"/>
        </w:tabs>
        <w:ind w:firstLine="567"/>
        <w:jc w:val="both"/>
        <w:rPr>
          <w:b/>
          <w:bCs/>
          <w:color w:val="0070C0"/>
        </w:rPr>
      </w:pPr>
    </w:p>
    <w:p w:rsidR="00CF6248" w:rsidRPr="004B1466" w:rsidRDefault="00CF6248" w:rsidP="00CF6248">
      <w:pPr>
        <w:tabs>
          <w:tab w:val="num" w:pos="1499"/>
          <w:tab w:val="num" w:pos="2148"/>
        </w:tabs>
        <w:spacing w:after="120"/>
        <w:ind w:firstLine="567"/>
        <w:jc w:val="both"/>
        <w:rPr>
          <w:color w:val="0070C0"/>
          <w:sz w:val="8"/>
        </w:rPr>
      </w:pPr>
    </w:p>
    <w:p w:rsidR="0004480A" w:rsidRPr="001F6FF5" w:rsidRDefault="0004480A" w:rsidP="0004480A">
      <w:pPr>
        <w:pStyle w:val="Heading1"/>
        <w:numPr>
          <w:ilvl w:val="1"/>
          <w:numId w:val="31"/>
        </w:numPr>
        <w:spacing w:before="240"/>
        <w:ind w:right="-108"/>
        <w:jc w:val="both"/>
        <w:rPr>
          <w:sz w:val="24"/>
        </w:rPr>
      </w:pPr>
      <w:r w:rsidRPr="001F6FF5">
        <w:rPr>
          <w:sz w:val="24"/>
        </w:rPr>
        <w:lastRenderedPageBreak/>
        <w:t>Общински бюджети</w:t>
      </w:r>
    </w:p>
    <w:p w:rsidR="0004480A" w:rsidRPr="001F6FF5" w:rsidRDefault="0004480A" w:rsidP="0004480A">
      <w:pPr>
        <w:numPr>
          <w:ilvl w:val="0"/>
          <w:numId w:val="8"/>
        </w:numPr>
        <w:tabs>
          <w:tab w:val="num" w:pos="540"/>
        </w:tabs>
        <w:spacing w:before="240" w:line="276" w:lineRule="auto"/>
        <w:ind w:left="714" w:hanging="147"/>
        <w:jc w:val="both"/>
        <w:rPr>
          <w:b/>
        </w:rPr>
      </w:pPr>
      <w:r w:rsidRPr="001F6FF5">
        <w:rPr>
          <w:b/>
        </w:rPr>
        <w:t>Приходи</w:t>
      </w:r>
    </w:p>
    <w:p w:rsidR="0004480A" w:rsidRPr="00724A07" w:rsidRDefault="0004480A" w:rsidP="0004480A">
      <w:pPr>
        <w:ind w:firstLine="567"/>
        <w:jc w:val="both"/>
      </w:pPr>
      <w:r w:rsidRPr="001F6FF5">
        <w:t>Собствените приходи по бюджетите на общините към 31.12.2020</w:t>
      </w:r>
      <w:r>
        <w:t xml:space="preserve"> г. са в размер на </w:t>
      </w:r>
      <w:r w:rsidRPr="00D14271">
        <w:t>2</w:t>
      </w:r>
      <w:r w:rsidR="00CE3D3C">
        <w:t> </w:t>
      </w:r>
      <w:r w:rsidRPr="00D14271">
        <w:t>371,3</w:t>
      </w:r>
      <w:r w:rsidRPr="00D14271">
        <w:rPr>
          <w:bCs/>
        </w:rPr>
        <w:t> м</w:t>
      </w:r>
      <w:r w:rsidRPr="00D14271">
        <w:t xml:space="preserve">лн. лв., което представлява 93,4 % от разчетените към ЗДБРБ за 2020 г. постъпления в размер на </w:t>
      </w:r>
      <w:r w:rsidRPr="00D14271">
        <w:rPr>
          <w:bCs/>
        </w:rPr>
        <w:t>2 540,1</w:t>
      </w:r>
      <w:r w:rsidRPr="00D14271">
        <w:t xml:space="preserve"> млн. лв. и с 40,3 млн. лв. по-малко спрямо събраните </w:t>
      </w:r>
      <w:r w:rsidR="002F1E94">
        <w:t>през</w:t>
      </w:r>
      <w:r w:rsidRPr="00D14271">
        <w:t xml:space="preserve"> 2019 г., вследствие на негативните последици от пандемията с </w:t>
      </w:r>
      <w:r w:rsidRPr="00D14271">
        <w:rPr>
          <w:lang w:val="en-US"/>
        </w:rPr>
        <w:t>COVID</w:t>
      </w:r>
      <w:r w:rsidRPr="005F542B">
        <w:t>-19,</w:t>
      </w:r>
      <w:r w:rsidRPr="00D14271">
        <w:t xml:space="preserve"> обявеното извънредно положение на територията на Република България от 13 март 2020 г</w:t>
      </w:r>
      <w:r w:rsidRPr="005F542B">
        <w:t xml:space="preserve">., </w:t>
      </w:r>
      <w:r w:rsidRPr="00D14271">
        <w:t>и въведената след него извънредна епидемиологична обстановка</w:t>
      </w:r>
      <w:r w:rsidRPr="004B1466">
        <w:rPr>
          <w:color w:val="0070C0"/>
        </w:rPr>
        <w:t xml:space="preserve">. </w:t>
      </w:r>
      <w:r w:rsidRPr="00D14271">
        <w:rPr>
          <w:i/>
        </w:rPr>
        <w:t>Данъчните приходи</w:t>
      </w:r>
      <w:r w:rsidRPr="00D14271">
        <w:t xml:space="preserve"> по общинските бюджети са в размер на 1</w:t>
      </w:r>
      <w:r w:rsidR="009D511B">
        <w:t> </w:t>
      </w:r>
      <w:r w:rsidRPr="00D14271">
        <w:t xml:space="preserve">069,8 млн. лв. или 98,4 % от годишните разчети към ЗДБРБ за 2020 г. и с 2,8 % повече спрямо тези за предходната година. </w:t>
      </w:r>
      <w:r w:rsidRPr="00D14271">
        <w:rPr>
          <w:bCs/>
        </w:rPr>
        <w:t xml:space="preserve">От </w:t>
      </w:r>
      <w:r w:rsidRPr="00D14271">
        <w:rPr>
          <w:bCs/>
          <w:i/>
        </w:rPr>
        <w:t>имуществени данъци по Закона за местните данъци и такси</w:t>
      </w:r>
      <w:r w:rsidRPr="00D14271">
        <w:rPr>
          <w:bCs/>
        </w:rPr>
        <w:t xml:space="preserve"> в местните бюджети към 31</w:t>
      </w:r>
      <w:r w:rsidR="00DA767B" w:rsidRPr="001033E1">
        <w:rPr>
          <w:bCs/>
        </w:rPr>
        <w:t xml:space="preserve"> </w:t>
      </w:r>
      <w:r w:rsidRPr="00D14271">
        <w:rPr>
          <w:bCs/>
        </w:rPr>
        <w:t>декем</w:t>
      </w:r>
      <w:r w:rsidR="00DA767B">
        <w:rPr>
          <w:bCs/>
        </w:rPr>
        <w:t>ври 2020 г. са постъпили общо 1</w:t>
      </w:r>
      <w:r w:rsidR="00DA767B" w:rsidRPr="001033E1">
        <w:rPr>
          <w:bCs/>
        </w:rPr>
        <w:t xml:space="preserve"> </w:t>
      </w:r>
      <w:r w:rsidRPr="00D14271">
        <w:rPr>
          <w:bCs/>
        </w:rPr>
        <w:t>054,9 млн.</w:t>
      </w:r>
      <w:r w:rsidRPr="00D14271">
        <w:t xml:space="preserve"> </w:t>
      </w:r>
      <w:r w:rsidRPr="00D14271">
        <w:rPr>
          <w:bCs/>
        </w:rPr>
        <w:t>лв., което представлява 98,8 % от годишния разчет. С най-значителен дял в приходите от имуществени данъци са данъкът върху превозните средства – 34,8 %, следват данъкът върху недвижимите имоти – 32,2 %, данъкът върху придобиване на имущество по дарения и възмезден начин – 31,9</w:t>
      </w:r>
      <w:r w:rsidRPr="00D14271">
        <w:rPr>
          <w:bCs/>
          <w:lang w:val="en-US"/>
        </w:rPr>
        <w:t> </w:t>
      </w:r>
      <w:r w:rsidRPr="00D14271">
        <w:rPr>
          <w:bCs/>
        </w:rPr>
        <w:t>% и туристически данък – 1,1 %.</w:t>
      </w:r>
      <w:r w:rsidRPr="00D14271">
        <w:t xml:space="preserve"> През отчетния период по бюджетите на общините са постъпили 14,9 млн. лв. от </w:t>
      </w:r>
      <w:r w:rsidRPr="00D14271">
        <w:rPr>
          <w:i/>
        </w:rPr>
        <w:t>патентен данък и данък върху таксиметров превоз на пътници</w:t>
      </w:r>
      <w:r w:rsidRPr="00D14271">
        <w:t xml:space="preserve"> (77,0 % от годишния разчет) и 0,04 млн. лв. </w:t>
      </w:r>
      <w:r w:rsidRPr="00724A07">
        <w:t xml:space="preserve">приходи от други данъци. </w:t>
      </w:r>
    </w:p>
    <w:p w:rsidR="0004480A" w:rsidRPr="004B1466" w:rsidRDefault="0004480A" w:rsidP="0004480A">
      <w:pPr>
        <w:ind w:firstLine="567"/>
        <w:jc w:val="both"/>
        <w:rPr>
          <w:color w:val="0070C0"/>
        </w:rPr>
      </w:pPr>
      <w:r w:rsidRPr="00724A07">
        <w:t xml:space="preserve">Общият размер на </w:t>
      </w:r>
      <w:r w:rsidRPr="00724A07">
        <w:rPr>
          <w:i/>
        </w:rPr>
        <w:t>неданъчните приходи</w:t>
      </w:r>
      <w:r w:rsidRPr="00724A07">
        <w:t xml:space="preserve"> по местните бюджети </w:t>
      </w:r>
      <w:r w:rsidR="00466E61">
        <w:t>за</w:t>
      </w:r>
      <w:r w:rsidRPr="00724A07">
        <w:t xml:space="preserve"> 2020 г. е 1 279,6 млн. лв. или 89,8 % от разчетите към ЗДБРБ за 2020 г. Най-голям относителен дял заемат приходите о</w:t>
      </w:r>
      <w:r w:rsidRPr="00532917">
        <w:t>т общински такси, които възлизат на 820,4 млн. лв. (93,8 % от разчетените за годината), следват приходите и доходите от собственост – 262,8 млн. лв. (82,5 % от разчетените за 2020</w:t>
      </w:r>
      <w:r w:rsidR="00037867">
        <w:t> </w:t>
      </w:r>
      <w:r w:rsidRPr="00532917">
        <w:t>г.), постъпленията от продажба на нефинансови активи – 87,8 млн. лв. (58,7 % от разчета за 2020 г.), постъпленията от глоби, санкции и наказателни лихви – 68,4 млн. лв. (82,7 % от планираните) и приходите от концесии 47,3 млн. лв. (99,0 % от разчета за 2020 година).</w:t>
      </w:r>
    </w:p>
    <w:p w:rsidR="0004480A" w:rsidRPr="00E8297F" w:rsidRDefault="0004480A" w:rsidP="0004480A">
      <w:pPr>
        <w:ind w:firstLine="567"/>
        <w:jc w:val="both"/>
      </w:pPr>
      <w:r w:rsidRPr="00532917">
        <w:t xml:space="preserve">През отчетния период по общинските бюджети са постъпили 21,9 млн. лв. приходи от </w:t>
      </w:r>
      <w:r w:rsidRPr="00E8297F">
        <w:rPr>
          <w:i/>
        </w:rPr>
        <w:t>помощи и дарения</w:t>
      </w:r>
      <w:r w:rsidRPr="00E8297F">
        <w:t>, което е 77,6 % от разчетените за годината 28,2 млн. лева.</w:t>
      </w:r>
    </w:p>
    <w:p w:rsidR="0004480A" w:rsidRPr="00DC5CD9" w:rsidRDefault="0004480A" w:rsidP="0004480A">
      <w:pPr>
        <w:ind w:firstLine="567"/>
        <w:jc w:val="both"/>
      </w:pPr>
      <w:r w:rsidRPr="00E8297F">
        <w:t>Неизпълнението на приходите по бюджетите на общините към 31.12.2020 г. спрямо  разчетените към ЗДБРБ за 2020 г. постъпления се дължи най-вече на неочакваната извънредна ситуация, произтичаща от пандемията от CО</w:t>
      </w:r>
      <w:r w:rsidRPr="00E8297F">
        <w:rPr>
          <w:lang w:val="en-US"/>
        </w:rPr>
        <w:t>VID</w:t>
      </w:r>
      <w:r w:rsidRPr="00E8297F">
        <w:t xml:space="preserve">-19. Наложените физически ограничения се отразиха негативно върху търговската активност, имотния пазар и хотелиерския бизнес в резултат на спиране на дейността, забавени доставки, забавена активност на купувачи, продавачи и инвеститори, нереализиране на нощувки в местата за настаняване, непосещаване на детските заведения – градини и ясли, което пък от своя страна доведе до значителен спад в неданъчните приходи по общинските бюджети, свързани именно със стопанската активност. Но следва да се отбележи, че изпълнението на данъчните приходи бележи увеличение, като към края на 2020 г. данъчните постъпления </w:t>
      </w:r>
      <w:r w:rsidR="009D3C6F" w:rsidRPr="00E8297F">
        <w:t>са с 28,9 млн. лв. повече</w:t>
      </w:r>
      <w:r w:rsidRPr="00E8297F">
        <w:t xml:space="preserve"> </w:t>
      </w:r>
      <w:r w:rsidR="009D3C6F" w:rsidRPr="00E8297F">
        <w:t xml:space="preserve">от </w:t>
      </w:r>
      <w:r w:rsidRPr="00E8297F">
        <w:t xml:space="preserve">събраните през предходната 2019 г. </w:t>
      </w:r>
    </w:p>
    <w:p w:rsidR="0004480A" w:rsidRPr="00532917" w:rsidRDefault="0004480A" w:rsidP="00351159">
      <w:pPr>
        <w:numPr>
          <w:ilvl w:val="0"/>
          <w:numId w:val="8"/>
        </w:numPr>
        <w:tabs>
          <w:tab w:val="num" w:pos="540"/>
        </w:tabs>
        <w:spacing w:before="240" w:line="276" w:lineRule="auto"/>
        <w:ind w:left="714" w:hanging="147"/>
        <w:jc w:val="both"/>
        <w:rPr>
          <w:b/>
        </w:rPr>
      </w:pPr>
      <w:r w:rsidRPr="00351159">
        <w:rPr>
          <w:b/>
        </w:rPr>
        <w:t xml:space="preserve"> </w:t>
      </w:r>
      <w:r w:rsidRPr="00532917">
        <w:rPr>
          <w:b/>
        </w:rPr>
        <w:t>Разходи</w:t>
      </w:r>
    </w:p>
    <w:p w:rsidR="0004480A" w:rsidRPr="00925CA5" w:rsidRDefault="0004480A" w:rsidP="0004480A">
      <w:pPr>
        <w:ind w:firstLine="567"/>
        <w:jc w:val="both"/>
      </w:pPr>
      <w:r w:rsidRPr="009C57B8">
        <w:t>Към 31.12.2020 г. общините са отчели общо разходи в размер на 7</w:t>
      </w:r>
      <w:r w:rsidRPr="009C57B8">
        <w:rPr>
          <w:lang w:val="en-US"/>
        </w:rPr>
        <w:t> </w:t>
      </w:r>
      <w:r w:rsidRPr="009C57B8">
        <w:t>304,3 млн. лв., които представляват 108,6 % спрямо разчетите по ЗДБРБ за 2020 година.</w:t>
      </w:r>
      <w:r w:rsidR="00B5742D">
        <w:t xml:space="preserve"> Сравнени с предходната 2019 г. разходите са с 283,8 млн. лв. повече </w:t>
      </w:r>
      <w:r w:rsidR="00B5742D" w:rsidRPr="001033E1">
        <w:t>(4</w:t>
      </w:r>
      <w:r w:rsidR="00B5742D">
        <w:t>,0 %</w:t>
      </w:r>
      <w:r w:rsidR="00B5742D" w:rsidRPr="001033E1">
        <w:t>)</w:t>
      </w:r>
      <w:r w:rsidR="00925CA5">
        <w:t xml:space="preserve">. </w:t>
      </w:r>
    </w:p>
    <w:p w:rsidR="0004480A" w:rsidRPr="004B1466" w:rsidRDefault="0004480A" w:rsidP="0004480A">
      <w:pPr>
        <w:ind w:firstLine="567"/>
        <w:jc w:val="both"/>
        <w:rPr>
          <w:color w:val="0070C0"/>
        </w:rPr>
      </w:pPr>
      <w:r w:rsidRPr="009C57B8">
        <w:rPr>
          <w:i/>
        </w:rPr>
        <w:t>Нелихвените разходи</w:t>
      </w:r>
      <w:r w:rsidRPr="009C57B8">
        <w:t xml:space="preserve"> възлизат на 7 267,2 млн. лв. или 108,6 % спрямо годишния разчет.</w:t>
      </w:r>
      <w:r w:rsidRPr="004B1466">
        <w:rPr>
          <w:color w:val="0070C0"/>
        </w:rPr>
        <w:t xml:space="preserve"> </w:t>
      </w:r>
      <w:r w:rsidRPr="009C57B8">
        <w:t>Разходите за персонал (</w:t>
      </w:r>
      <w:r w:rsidRPr="009C57B8">
        <w:rPr>
          <w:bCs/>
        </w:rPr>
        <w:t>заплати и възнаграждения, други възнаграждения и плащания за персонала и осигурителни вноски)</w:t>
      </w:r>
      <w:r w:rsidRPr="009C57B8">
        <w:t xml:space="preserve"> са в размер на 4 142,2 млн. лв. или 109,5 % спрямо </w:t>
      </w:r>
      <w:r w:rsidRPr="009162A8">
        <w:t>планираните за 2020 г.</w:t>
      </w:r>
      <w:r w:rsidR="00925CA5" w:rsidRPr="009162A8">
        <w:t xml:space="preserve"> и с </w:t>
      </w:r>
      <w:r w:rsidR="00704D72" w:rsidRPr="009162A8">
        <w:t>534,8 млн. лв.</w:t>
      </w:r>
      <w:r w:rsidR="00925CA5" w:rsidRPr="009162A8">
        <w:t xml:space="preserve"> </w:t>
      </w:r>
      <w:r w:rsidR="00925CA5" w:rsidRPr="001033E1">
        <w:t>(14</w:t>
      </w:r>
      <w:r w:rsidR="00925CA5" w:rsidRPr="009162A8">
        <w:t>,8 %</w:t>
      </w:r>
      <w:r w:rsidR="00925CA5" w:rsidRPr="001033E1">
        <w:t>)</w:t>
      </w:r>
      <w:r w:rsidR="00704D72" w:rsidRPr="009162A8">
        <w:t xml:space="preserve"> повече спрямо предходната година. </w:t>
      </w:r>
      <w:r w:rsidRPr="009162A8">
        <w:t>Отчетеното превишение спрямо разчет</w:t>
      </w:r>
      <w:r w:rsidR="003B6124" w:rsidRPr="009162A8">
        <w:t>ите</w:t>
      </w:r>
      <w:r w:rsidRPr="009162A8">
        <w:t xml:space="preserve"> по закон</w:t>
      </w:r>
      <w:r w:rsidR="003B6124" w:rsidRPr="009162A8">
        <w:t>,</w:t>
      </w:r>
      <w:r w:rsidRPr="009162A8">
        <w:t xml:space="preserve"> </w:t>
      </w:r>
      <w:r w:rsidR="003B6124" w:rsidRPr="009162A8">
        <w:t xml:space="preserve">при разходите за персонал, </w:t>
      </w:r>
      <w:r w:rsidRPr="009162A8">
        <w:t xml:space="preserve">се дължи предимно на отчитаните от общините средства за други възнаграждения и плащания за персонала, предоставени от МТСП по програмите за временна заетост и за финансиране на социалните услуги личен асистент, социален асистент, домашен помощник и за асистенти по Закона за личната помощ. </w:t>
      </w:r>
      <w:r w:rsidR="00246A01" w:rsidRPr="009162A8">
        <w:t>Ръстът на разходите за персонал спрямо предходната година е</w:t>
      </w:r>
      <w:r w:rsidR="00AF708D" w:rsidRPr="009162A8">
        <w:t xml:space="preserve"> в </w:t>
      </w:r>
      <w:r w:rsidR="00246A01" w:rsidRPr="009162A8">
        <w:t xml:space="preserve">резултат основно на провежданата политика на нарастване на доходите, както и мерките, прилагани във връзка със смекчаване на икономическите последствия от пандемията. </w:t>
      </w:r>
      <w:r w:rsidR="00005EF8" w:rsidRPr="009162A8">
        <w:t>Трябва да се отбележи, че в сравнение с 2019 г.</w:t>
      </w:r>
      <w:r w:rsidR="00246A01" w:rsidRPr="009162A8">
        <w:t xml:space="preserve"> се отчита намаление на разходите за издръжка – с</w:t>
      </w:r>
      <w:r w:rsidR="00246A01" w:rsidRPr="00246A01">
        <w:t xml:space="preserve"> </w:t>
      </w:r>
      <w:r w:rsidR="007A482C">
        <w:t>60,7</w:t>
      </w:r>
      <w:r w:rsidR="00005EF8">
        <w:t> </w:t>
      </w:r>
      <w:r w:rsidR="00246A01" w:rsidRPr="00246A01">
        <w:t>млн.</w:t>
      </w:r>
      <w:r w:rsidR="007A482C">
        <w:t xml:space="preserve"> </w:t>
      </w:r>
      <w:r w:rsidR="00246A01" w:rsidRPr="00246A01">
        <w:t xml:space="preserve">лв., както и на </w:t>
      </w:r>
      <w:r w:rsidR="00246A01" w:rsidRPr="00246A01">
        <w:lastRenderedPageBreak/>
        <w:t xml:space="preserve">капиталовите разходи – с 216,3 млн.лв., което до голяма степен е свързано с необходимостта от известно преструктутриране на разходите </w:t>
      </w:r>
      <w:r w:rsidR="00005EF8">
        <w:t>в</w:t>
      </w:r>
      <w:r w:rsidR="00246A01" w:rsidRPr="00246A01">
        <w:t xml:space="preserve">следствие от извънредната ситуация, предизвикана от кризата </w:t>
      </w:r>
      <w:r w:rsidR="00246A01" w:rsidRPr="00327337">
        <w:t xml:space="preserve">с </w:t>
      </w:r>
      <w:r w:rsidR="00327337" w:rsidRPr="00327337">
        <w:t>CО</w:t>
      </w:r>
      <w:r w:rsidR="00327337" w:rsidRPr="00327337">
        <w:rPr>
          <w:lang w:val="en-US"/>
        </w:rPr>
        <w:t>VID</w:t>
      </w:r>
      <w:r w:rsidR="00327337" w:rsidRPr="00327337">
        <w:t>-19</w:t>
      </w:r>
      <w:r w:rsidR="00246A01" w:rsidRPr="00327337">
        <w:t>.</w:t>
      </w:r>
      <w:r w:rsidR="00005EF8" w:rsidRPr="00327337">
        <w:t xml:space="preserve"> </w:t>
      </w:r>
      <w:r w:rsidRPr="00327337">
        <w:t>Разходите</w:t>
      </w:r>
      <w:r w:rsidRPr="009C57B8">
        <w:t xml:space="preserve"> за издръжка </w:t>
      </w:r>
      <w:r w:rsidRPr="009C57B8">
        <w:rPr>
          <w:bCs/>
        </w:rPr>
        <w:t>(вкл. разходи за членски внос и участие в нетърговски организации и дейности, платени данъци, такси и административни санкции)</w:t>
      </w:r>
      <w:r w:rsidRPr="009C57B8">
        <w:t xml:space="preserve"> са в размер на</w:t>
      </w:r>
      <w:r w:rsidRPr="009C57B8">
        <w:rPr>
          <w:lang w:val="en-US"/>
        </w:rPr>
        <w:t> </w:t>
      </w:r>
      <w:r w:rsidRPr="009C57B8">
        <w:t xml:space="preserve">1 860,7 </w:t>
      </w:r>
      <w:r w:rsidRPr="00D7745D">
        <w:t>млн. лв., 109,8 % спрямо годишния разчет. Разходите за субсидии са в размер на 268,8 млн. лева (194,5 % спрямо годишния разчет).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 (отчитат се в местните дейности).</w:t>
      </w:r>
      <w:r w:rsidRPr="00D7745D">
        <w:rPr>
          <w:bCs/>
          <w:color w:val="0070C0"/>
        </w:rPr>
        <w:t xml:space="preserve"> </w:t>
      </w:r>
      <w:r w:rsidRPr="00BF3952">
        <w:rPr>
          <w:bCs/>
        </w:rPr>
        <w:t>Социалните разходи (</w:t>
      </w:r>
      <w:r w:rsidRPr="00BF3952">
        <w:t xml:space="preserve">текущи трансфери, обезщетения и помощи за домакинствата, </w:t>
      </w:r>
      <w:r w:rsidRPr="00BF3952">
        <w:rPr>
          <w:bCs/>
        </w:rPr>
        <w:t>вкл. разходите за стипендии)</w:t>
      </w:r>
      <w:r w:rsidRPr="00BF3952">
        <w:t xml:space="preserve"> са в размер на 174,0 млн. лв., което е 134,1 % от разчетите към ЗДБРБ за 2020 година.  </w:t>
      </w:r>
    </w:p>
    <w:p w:rsidR="0004480A" w:rsidRPr="004B4C07" w:rsidRDefault="0004480A" w:rsidP="0004480A">
      <w:pPr>
        <w:ind w:firstLine="567"/>
      </w:pPr>
      <w:r w:rsidRPr="00BF3952">
        <w:t xml:space="preserve">Капиталовите разходи са в размер </w:t>
      </w:r>
      <w:r w:rsidRPr="004B4C07">
        <w:t>на 821,5 млн. лв. или 86,8 % от разчетите към ЗДБРБ за 2020 година.</w:t>
      </w:r>
    </w:p>
    <w:p w:rsidR="0004480A" w:rsidRPr="004B1466" w:rsidRDefault="0004480A" w:rsidP="0004480A">
      <w:pPr>
        <w:ind w:firstLine="567"/>
        <w:jc w:val="both"/>
        <w:rPr>
          <w:color w:val="0070C0"/>
        </w:rPr>
      </w:pPr>
      <w:r w:rsidRPr="004B4C07">
        <w:rPr>
          <w:i/>
        </w:rPr>
        <w:t>Разходите за лихви</w:t>
      </w:r>
      <w:r w:rsidRPr="004B4C07">
        <w:t xml:space="preserve"> възлизат </w:t>
      </w:r>
      <w:r w:rsidRPr="005A7CE1">
        <w:t xml:space="preserve">на 37,1 млн. лв. и са 111,6 % спрямо разчета за 2020 г. </w:t>
      </w:r>
      <w:r w:rsidRPr="007A3C83">
        <w:t>Лихвените плащания по заеми от чужбина са в размер на 18,9 млн. лв., по облигационни заеми - 2,7 млн. лв., по други вътрешни заеми и задължения (банкови, заеми към „ФЛАГ“ ЕАД и към други лица по сключени договори за заем) са 11,7 млн. лв., по финансови лизинги и търговски кредити са 0,2 млн. лв., а платените други лихви (наказателни лихви и др.) са в размер на 3,7 млн. лева.</w:t>
      </w:r>
    </w:p>
    <w:p w:rsidR="0004480A" w:rsidRPr="007A3C83" w:rsidRDefault="0004480A" w:rsidP="0004480A">
      <w:pPr>
        <w:tabs>
          <w:tab w:val="center" w:pos="4153"/>
          <w:tab w:val="right" w:pos="8306"/>
        </w:tabs>
        <w:ind w:firstLine="567"/>
        <w:jc w:val="both"/>
      </w:pPr>
      <w:r w:rsidRPr="007A3C83">
        <w:t>Общият размер на отчетените разходи за дофинансиране на делегираните от държавата дейности с местни приходи е 194,</w:t>
      </w:r>
      <w:r w:rsidR="009175E0">
        <w:t>9</w:t>
      </w:r>
      <w:r w:rsidRPr="007A3C83">
        <w:t xml:space="preserve"> млн. лева.</w:t>
      </w:r>
    </w:p>
    <w:p w:rsidR="0004480A" w:rsidRPr="007A3C83" w:rsidRDefault="0004480A" w:rsidP="0004480A">
      <w:pPr>
        <w:numPr>
          <w:ilvl w:val="0"/>
          <w:numId w:val="8"/>
        </w:numPr>
        <w:tabs>
          <w:tab w:val="num" w:pos="540"/>
        </w:tabs>
        <w:spacing w:before="120" w:line="276" w:lineRule="auto"/>
        <w:ind w:left="714" w:hanging="147"/>
        <w:jc w:val="both"/>
        <w:rPr>
          <w:b/>
        </w:rPr>
      </w:pPr>
      <w:r w:rsidRPr="007A3C83">
        <w:rPr>
          <w:b/>
        </w:rPr>
        <w:t>Финансиране</w:t>
      </w:r>
    </w:p>
    <w:p w:rsidR="0004480A" w:rsidRPr="004B1466" w:rsidRDefault="0004480A" w:rsidP="0004480A">
      <w:pPr>
        <w:ind w:firstLine="567"/>
        <w:jc w:val="both"/>
        <w:rPr>
          <w:color w:val="0070C0"/>
        </w:rPr>
      </w:pPr>
      <w:r w:rsidRPr="007A3C83">
        <w:t xml:space="preserve">Към 31.12.2020 г. по общинските бюджети са </w:t>
      </w:r>
      <w:r w:rsidRPr="007A3C83">
        <w:rPr>
          <w:i/>
        </w:rPr>
        <w:t>получени</w:t>
      </w:r>
      <w:r w:rsidRPr="007A3C83">
        <w:t xml:space="preserve"> заемни средства от договори с чуждестранни кредитори в размер на 1,1 млн. лв. (получен от община Варна транш по договор от 2018 г. с ЕБВР). Изплатените </w:t>
      </w:r>
      <w:r w:rsidRPr="007A3C83">
        <w:rPr>
          <w:i/>
        </w:rPr>
        <w:t>погашения по заеми</w:t>
      </w:r>
      <w:r w:rsidRPr="007A3C83">
        <w:t xml:space="preserve"> от чужбина са в размер на 43,4 млн. лева. (от Столична община 36,1 млн. лв., от община Варна – 1,9 млн. лв., от Пловдив – 3,1 млн. лв., от община Бургас – 2,0 млн. лв. и от община Ловеч – 0,3 млн. лв.).</w:t>
      </w:r>
      <w:r>
        <w:t xml:space="preserve"> Заемите са предназначени за финансиране на големи инвестиционни обекти на територията на общините.</w:t>
      </w:r>
    </w:p>
    <w:p w:rsidR="0004480A" w:rsidRDefault="0004480A" w:rsidP="0004480A">
      <w:pPr>
        <w:ind w:firstLine="567"/>
        <w:jc w:val="both"/>
      </w:pPr>
      <w:r w:rsidRPr="007A3C83">
        <w:t xml:space="preserve">За отчетния период получените заемни средства от банки в страната са в размер на 75,4 млн. лв., а от други местни лица (ФЛАГ ЕАД, Фонд „Енергийна ефективност и възобновяеми източници“ и др.) общините са получили заеми в размер на 131,0 млн. лв. (в т.ч. 114,0 млн. лв. от ФЛАГ ЕАД) или общо получените заемни средства </w:t>
      </w:r>
      <w:r w:rsidRPr="00F23375">
        <w:t xml:space="preserve">са 206,4 млн. лв. Изплатените главници  по банкови заеми от страната са 50,2 млн. лв., а по заеми от други лица са 101,6 млн. лв. </w:t>
      </w:r>
      <w:r>
        <w:t>(в т.ч. 99,7 млн. лв. към</w:t>
      </w:r>
      <w:r w:rsidRPr="007A3C83">
        <w:t xml:space="preserve"> ФЛАГ ЕАД)</w:t>
      </w:r>
      <w:r w:rsidRPr="00F23375">
        <w:t xml:space="preserve"> или общо платените главници са в размер на 151,8 млн. лв.</w:t>
      </w:r>
    </w:p>
    <w:p w:rsidR="0004480A" w:rsidRPr="008911B4" w:rsidRDefault="0004480A" w:rsidP="0004480A">
      <w:pPr>
        <w:tabs>
          <w:tab w:val="center" w:pos="4153"/>
          <w:tab w:val="right" w:pos="8306"/>
        </w:tabs>
        <w:ind w:firstLine="567"/>
        <w:jc w:val="both"/>
      </w:pPr>
      <w:r>
        <w:t>През 2020 г. общините не са емитирали облигационни заеми, а отчетените от 8 общини п</w:t>
      </w:r>
      <w:r w:rsidRPr="008911B4">
        <w:t xml:space="preserve">огашения </w:t>
      </w:r>
      <w:r>
        <w:t>на</w:t>
      </w:r>
      <w:r w:rsidRPr="008911B4">
        <w:t xml:space="preserve"> общински ценни книжа </w:t>
      </w:r>
      <w:r>
        <w:t>са в размер на 12</w:t>
      </w:r>
      <w:r w:rsidRPr="008911B4">
        <w:t>,</w:t>
      </w:r>
      <w:r>
        <w:t>3</w:t>
      </w:r>
      <w:r w:rsidRPr="008911B4">
        <w:rPr>
          <w:b/>
        </w:rPr>
        <w:t> </w:t>
      </w:r>
      <w:r w:rsidRPr="008911B4">
        <w:t>млн. лв</w:t>
      </w:r>
      <w:r>
        <w:t>.</w:t>
      </w:r>
    </w:p>
    <w:p w:rsidR="0004480A" w:rsidRPr="00FD0344" w:rsidRDefault="0004480A" w:rsidP="0004480A">
      <w:pPr>
        <w:ind w:firstLine="567"/>
        <w:jc w:val="both"/>
      </w:pPr>
      <w:r w:rsidRPr="00FD0344">
        <w:t xml:space="preserve">Другото финансиране /нето/ по общинските бюджети към 31.12.2020 г. е  отрицателно - 38,6 млн. лв., 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За периода нетният размер на задълженията и погашенията по финансов лизинг и търговски кредити като форми на дълг е в размер на (-0,9) млн. лева. </w:t>
      </w:r>
    </w:p>
    <w:p w:rsidR="0004480A" w:rsidRPr="00FD0344" w:rsidRDefault="0004480A" w:rsidP="0004480A">
      <w:pPr>
        <w:ind w:firstLine="708"/>
        <w:jc w:val="both"/>
      </w:pPr>
      <w:r w:rsidRPr="00FD0344">
        <w:t>Нетният размер на събраните средства и извършени плащания от общините за сметка на други бюджети, сметки и фондове е в размер на 28,1 млн. лв.</w:t>
      </w:r>
    </w:p>
    <w:p w:rsidR="0004480A" w:rsidRPr="00542765" w:rsidRDefault="0004480A" w:rsidP="0004480A">
      <w:pPr>
        <w:ind w:firstLine="720"/>
        <w:jc w:val="both"/>
        <w:rPr>
          <w:lang w:eastAsia="bg-BG"/>
        </w:rPr>
      </w:pPr>
      <w:r w:rsidRPr="00542765">
        <w:rPr>
          <w:lang w:eastAsia="bg-BG"/>
        </w:rPr>
        <w:t xml:space="preserve">Към 31.12.2020 г. отчетеният от общините нетен размер на операциите по придобиване на дялове, акции и съучастия е в размер на (-2,1) млн. лв., а на предоставената възмездна финансова помощ (нето) от общините е (-1,6) млн. лв. </w:t>
      </w:r>
    </w:p>
    <w:p w:rsidR="0004480A" w:rsidRPr="00542765" w:rsidRDefault="0004480A" w:rsidP="0004480A">
      <w:pPr>
        <w:ind w:firstLine="720"/>
        <w:jc w:val="both"/>
        <w:rPr>
          <w:lang w:eastAsia="bg-BG"/>
        </w:rPr>
      </w:pPr>
      <w:r w:rsidRPr="00542765">
        <w:rPr>
          <w:lang w:eastAsia="bg-BG"/>
        </w:rPr>
        <w:t>Общините отчитат наличност (по банкови сметки и в каса) към края на 2020 г. в размер на 1 390,5 млн. лв., като 899,</w:t>
      </w:r>
      <w:r w:rsidR="000553DA">
        <w:rPr>
          <w:lang w:eastAsia="bg-BG"/>
        </w:rPr>
        <w:t>2</w:t>
      </w:r>
      <w:r>
        <w:rPr>
          <w:lang w:eastAsia="bg-BG"/>
        </w:rPr>
        <w:t xml:space="preserve"> млн. лв. (64</w:t>
      </w:r>
      <w:r w:rsidRPr="00542765">
        <w:rPr>
          <w:lang w:eastAsia="bg-BG"/>
        </w:rPr>
        <w:t xml:space="preserve">,7 %) са отчетени като </w:t>
      </w:r>
      <w:r w:rsidR="000553DA" w:rsidRPr="008911B4">
        <w:t xml:space="preserve">остатък в </w:t>
      </w:r>
      <w:r w:rsidR="000553DA">
        <w:t>местните</w:t>
      </w:r>
      <w:r w:rsidR="000553DA" w:rsidRPr="008911B4">
        <w:t xml:space="preserve"> дейности</w:t>
      </w:r>
      <w:r w:rsidRPr="00542765">
        <w:rPr>
          <w:lang w:eastAsia="bg-BG"/>
        </w:rPr>
        <w:t>.</w:t>
      </w:r>
    </w:p>
    <w:p w:rsidR="0004480A" w:rsidRPr="004B1466" w:rsidRDefault="0004480A" w:rsidP="0004480A">
      <w:pPr>
        <w:pStyle w:val="BodyText"/>
        <w:spacing w:after="120"/>
        <w:ind w:firstLine="567"/>
        <w:rPr>
          <w:color w:val="0070C0"/>
          <w:sz w:val="18"/>
          <w:szCs w:val="12"/>
        </w:rPr>
      </w:pPr>
    </w:p>
    <w:p w:rsidR="0004480A" w:rsidRPr="00542765" w:rsidRDefault="0004480A" w:rsidP="0004480A">
      <w:pPr>
        <w:pStyle w:val="Heading1"/>
        <w:spacing w:after="120"/>
        <w:ind w:left="568" w:right="-108"/>
        <w:jc w:val="both"/>
        <w:rPr>
          <w:sz w:val="24"/>
        </w:rPr>
      </w:pPr>
      <w:r w:rsidRPr="00542765">
        <w:rPr>
          <w:sz w:val="24"/>
        </w:rPr>
        <w:lastRenderedPageBreak/>
        <w:t>4.3 Бюджети на Българската национална телевизия (БНТ), Българското национално радио (БНР) и Българската телеграфна агенция (БТА)</w:t>
      </w:r>
    </w:p>
    <w:p w:rsidR="0004480A" w:rsidRDefault="0004480A" w:rsidP="0004480A">
      <w:pPr>
        <w:ind w:firstLine="567"/>
        <w:jc w:val="both"/>
        <w:rPr>
          <w:szCs w:val="20"/>
        </w:rPr>
      </w:pPr>
      <w:r w:rsidRPr="004B1466">
        <w:rPr>
          <w:b/>
          <w:color w:val="0070C0"/>
        </w:rPr>
        <w:t xml:space="preserve"> </w:t>
      </w:r>
      <w:r w:rsidRPr="005B2E6A">
        <w:rPr>
          <w:b/>
        </w:rPr>
        <w:t>Приходите на БНТ</w:t>
      </w:r>
      <w:r w:rsidRPr="005B2E6A">
        <w:t xml:space="preserve"> към 31.12.2020 г. са в размер на 5,5 млн. лв. при планирани за годината 7,5 млн. лв. или за отчетния период са постъпили 73,7 % от </w:t>
      </w:r>
      <w:r w:rsidR="000D3404" w:rsidRPr="00E36073">
        <w:rPr>
          <w:szCs w:val="20"/>
        </w:rPr>
        <w:t>заложените приходи в разчетите към ЗДБРБ за 2020 г.</w:t>
      </w:r>
      <w:r w:rsidRPr="005B2E6A">
        <w:t xml:space="preserve"> </w:t>
      </w:r>
      <w:r w:rsidRPr="005B2E6A">
        <w:rPr>
          <w:szCs w:val="20"/>
        </w:rPr>
        <w:t xml:space="preserve">По-ниският процент изпълнение на приходите се дължи </w:t>
      </w:r>
      <w:r w:rsidRPr="00E36073">
        <w:rPr>
          <w:szCs w:val="20"/>
        </w:rPr>
        <w:t>на отчетени по-ниски постъпления от рекламна дейност, спонсорство и продажба на телевизионно време в резултат на въведеното извънредно положение в страната и предприетите мерки за предотвратяване</w:t>
      </w:r>
      <w:r w:rsidRPr="00E36073">
        <w:rPr>
          <w:b/>
          <w:szCs w:val="20"/>
        </w:rPr>
        <w:t xml:space="preserve"> </w:t>
      </w:r>
      <w:r w:rsidRPr="00E36073">
        <w:rPr>
          <w:szCs w:val="20"/>
        </w:rPr>
        <w:t xml:space="preserve">на разпространението на COVID-19. Негативно влияние върху изпълнението на приходите оказва и отлагането на големи международни прояви - Олимпийски игри в Токио 2020 г., Европейско първенство по футбол 2020 г., песенния конкурс Евровизия 2020 г. и др. </w:t>
      </w:r>
    </w:p>
    <w:p w:rsidR="0004480A" w:rsidRPr="005B2E6A" w:rsidRDefault="0004480A" w:rsidP="00753D05">
      <w:pPr>
        <w:ind w:firstLine="567"/>
        <w:jc w:val="both"/>
        <w:rPr>
          <w:szCs w:val="20"/>
        </w:rPr>
      </w:pPr>
      <w:r w:rsidRPr="005B2E6A">
        <w:rPr>
          <w:szCs w:val="20"/>
        </w:rPr>
        <w:t>Отчетените неданъчни приходи са постъпления от продажби на услуги, стоки и продукция (реклама, спонсорство, технически услуги, почивно дело, продажба на програми) и</w:t>
      </w:r>
      <w:r w:rsidRPr="005B2E6A">
        <w:rPr>
          <w:b/>
          <w:szCs w:val="20"/>
        </w:rPr>
        <w:t xml:space="preserve"> </w:t>
      </w:r>
      <w:r w:rsidRPr="005B2E6A">
        <w:rPr>
          <w:szCs w:val="20"/>
        </w:rPr>
        <w:t xml:space="preserve">наеми на имущество. </w:t>
      </w:r>
    </w:p>
    <w:p w:rsidR="0004480A" w:rsidRPr="004B1466" w:rsidRDefault="0004480A" w:rsidP="00753D05">
      <w:pPr>
        <w:ind w:firstLine="708"/>
        <w:jc w:val="both"/>
        <w:rPr>
          <w:color w:val="0070C0"/>
          <w:szCs w:val="20"/>
        </w:rPr>
      </w:pPr>
      <w:r w:rsidRPr="005B2E6A">
        <w:t xml:space="preserve">Отчетените </w:t>
      </w:r>
      <w:r w:rsidRPr="005B2E6A">
        <w:rPr>
          <w:b/>
        </w:rPr>
        <w:t>разходи</w:t>
      </w:r>
      <w:r w:rsidRPr="005B2E6A">
        <w:t xml:space="preserve"> </w:t>
      </w:r>
      <w:r w:rsidRPr="005B2E6A">
        <w:rPr>
          <w:b/>
        </w:rPr>
        <w:t>на БНТ</w:t>
      </w:r>
      <w:r w:rsidRPr="005B2E6A">
        <w:t xml:space="preserve"> към 31.12.2020 г. са в размер на 72,6 млн. лв. или 91,9 % от </w:t>
      </w:r>
      <w:r w:rsidR="00696AD8" w:rsidRPr="00696AD8">
        <w:t>предвидените разходи в разчетите към ЗДБРБ за 2020 г.</w:t>
      </w:r>
      <w:r w:rsidRPr="005B2E6A">
        <w:t xml:space="preserve"> </w:t>
      </w:r>
      <w:r w:rsidRPr="005B2E6A">
        <w:rPr>
          <w:szCs w:val="20"/>
        </w:rPr>
        <w:t>За периода са отчетени 56,8 млн. лв. текущи разходи и 15,8 млн. лв. капиталови разходи. По бюджета на БНТ, в частта на финансирането</w:t>
      </w:r>
      <w:r w:rsidR="00C259A4">
        <w:rPr>
          <w:szCs w:val="20"/>
        </w:rPr>
        <w:t>,</w:t>
      </w:r>
      <w:r w:rsidRPr="005B2E6A">
        <w:rPr>
          <w:szCs w:val="20"/>
        </w:rPr>
        <w:t xml:space="preserve"> са отчетени задължения по търговски кредит в размер на 2,4 млн. лв. (задължения за отстъпени права за излъчване на чужди програми) и погашения по търговски кредит в размер на 6,1 млн. лв. (погашения на задължения по договори от предходната година за такси за разпространение на програмите – 2,9 млн. лв. и за отстъпени права за излъчване на чужди програми и придобиване на транспортни средства – 3,2 млн. лв.).</w:t>
      </w:r>
    </w:p>
    <w:p w:rsidR="0004480A" w:rsidRPr="004B1466" w:rsidRDefault="0004480A" w:rsidP="000D6C34">
      <w:pPr>
        <w:ind w:firstLine="567"/>
        <w:jc w:val="both"/>
        <w:rPr>
          <w:color w:val="0070C0"/>
        </w:rPr>
      </w:pPr>
      <w:r w:rsidRPr="004B1466">
        <w:rPr>
          <w:color w:val="0070C0"/>
          <w:szCs w:val="20"/>
        </w:rPr>
        <w:t xml:space="preserve">  </w:t>
      </w:r>
      <w:r w:rsidRPr="005B2E6A">
        <w:rPr>
          <w:szCs w:val="20"/>
        </w:rPr>
        <w:t xml:space="preserve">В разпределението на разходите по бюджета на обществената медия е включен преходния остатък за 2019 г. (съгл. чл. 70, ал. 6 от Закона за радиото и телевизията) в размер на 0,7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04480A" w:rsidRPr="004B1466" w:rsidRDefault="0004480A" w:rsidP="000D6C34">
      <w:pPr>
        <w:ind w:firstLine="567"/>
        <w:jc w:val="both"/>
        <w:rPr>
          <w:color w:val="0070C0"/>
          <w:szCs w:val="20"/>
        </w:rPr>
      </w:pPr>
      <w:r w:rsidRPr="005B2E6A">
        <w:t xml:space="preserve">Общо утвърдените </w:t>
      </w:r>
      <w:r w:rsidRPr="005B2E6A">
        <w:rPr>
          <w:b/>
          <w:i/>
        </w:rPr>
        <w:t>бюджетни взаимоотношения на БНТ с централния бюджет</w:t>
      </w:r>
      <w:r w:rsidRPr="005B2E6A">
        <w:t xml:space="preserve"> за 2020 г. са в размер на </w:t>
      </w:r>
      <w:r w:rsidRPr="005B2E6A">
        <w:rPr>
          <w:szCs w:val="20"/>
        </w:rPr>
        <w:t xml:space="preserve">70,9 млн. лв., съгласно чл. 48, т. 2 от ЗДБРБ за 2020 г. За </w:t>
      </w:r>
      <w:r w:rsidR="00FC6CD3">
        <w:rPr>
          <w:szCs w:val="20"/>
        </w:rPr>
        <w:t>2020 г.</w:t>
      </w:r>
      <w:r w:rsidRPr="005B2E6A">
        <w:rPr>
          <w:szCs w:val="20"/>
        </w:rPr>
        <w:t xml:space="preserve"> е усвоена сума в размер на 70,9 млн. лв. или 100,0 % от размера на определените със ЗДБРБ за 2020 г. бюджетни взаимоотношения на БНТ с централния бюджет.</w:t>
      </w:r>
    </w:p>
    <w:p w:rsidR="0004480A" w:rsidRPr="00464A29" w:rsidRDefault="0004480A" w:rsidP="0004480A">
      <w:pPr>
        <w:spacing w:before="240"/>
        <w:ind w:firstLine="567"/>
        <w:jc w:val="both"/>
      </w:pPr>
      <w:r w:rsidRPr="005B2E6A">
        <w:rPr>
          <w:b/>
        </w:rPr>
        <w:t>Приходите по бюджета на БНР</w:t>
      </w:r>
      <w:r w:rsidRPr="005B2E6A">
        <w:t xml:space="preserve"> към 31.12. 2020 г. са в размер на 1,3 млн. лв., което представлява 63,5 % от </w:t>
      </w:r>
      <w:r w:rsidR="0002149A" w:rsidRPr="00034779">
        <w:rPr>
          <w:szCs w:val="20"/>
        </w:rPr>
        <w:t>заложените в</w:t>
      </w:r>
      <w:r w:rsidR="0002149A">
        <w:rPr>
          <w:szCs w:val="20"/>
        </w:rPr>
        <w:t xml:space="preserve"> разчетите към ЗДБРБ за 2020 г. - </w:t>
      </w:r>
      <w:r w:rsidRPr="005B2E6A">
        <w:t>2,1 млн. лв.</w:t>
      </w:r>
      <w:r w:rsidRPr="005B2E6A">
        <w:rPr>
          <w:szCs w:val="20"/>
        </w:rPr>
        <w:t xml:space="preserve"> По-ниският процент изпълнение на приходите се дължи на отчетени по-ниски постъпления от рекламна </w:t>
      </w:r>
      <w:r>
        <w:rPr>
          <w:szCs w:val="20"/>
        </w:rPr>
        <w:t xml:space="preserve">дейност, технически услуги, концертна дейност и др. в резултат на въведеното извънредно положение в страната и предприетите мерки за предотвратяването на </w:t>
      </w:r>
      <w:r>
        <w:rPr>
          <w:szCs w:val="20"/>
          <w:lang w:val="en-US"/>
        </w:rPr>
        <w:t>COVID</w:t>
      </w:r>
      <w:r w:rsidRPr="005F542B">
        <w:rPr>
          <w:szCs w:val="20"/>
        </w:rPr>
        <w:t>-19.</w:t>
      </w:r>
      <w:r w:rsidRPr="005B2E6A">
        <w:rPr>
          <w:szCs w:val="20"/>
        </w:rPr>
        <w:t xml:space="preserve"> Отчетените приходи са постъпления от продажби на услуги, стоки и </w:t>
      </w:r>
      <w:r w:rsidRPr="00464A29">
        <w:rPr>
          <w:szCs w:val="20"/>
        </w:rPr>
        <w:t xml:space="preserve">продукция (реклама, спонсорски съобщения, технически услуги, съвместни проекти, приходи от концертна дейност, </w:t>
      </w:r>
      <w:r w:rsidR="005729FC" w:rsidRPr="00034779">
        <w:rPr>
          <w:szCs w:val="20"/>
        </w:rPr>
        <w:t xml:space="preserve">издателска и </w:t>
      </w:r>
      <w:r w:rsidRPr="00464A29">
        <w:rPr>
          <w:szCs w:val="20"/>
        </w:rPr>
        <w:t>лицензионна дейност и др.), наеми на имущество и др.</w:t>
      </w:r>
    </w:p>
    <w:p w:rsidR="0004480A" w:rsidRPr="004B1466" w:rsidRDefault="0004480A" w:rsidP="0004480A">
      <w:pPr>
        <w:ind w:firstLine="567"/>
        <w:jc w:val="both"/>
        <w:rPr>
          <w:color w:val="0070C0"/>
          <w:szCs w:val="20"/>
        </w:rPr>
      </w:pPr>
      <w:r w:rsidRPr="00464A29">
        <w:rPr>
          <w:szCs w:val="20"/>
        </w:rPr>
        <w:t xml:space="preserve">Изпълнението на </w:t>
      </w:r>
      <w:r w:rsidRPr="00464A29">
        <w:rPr>
          <w:b/>
          <w:szCs w:val="20"/>
        </w:rPr>
        <w:t>разходите</w:t>
      </w:r>
      <w:r w:rsidRPr="00464A29">
        <w:rPr>
          <w:szCs w:val="20"/>
        </w:rPr>
        <w:t xml:space="preserve"> </w:t>
      </w:r>
      <w:r w:rsidRPr="00464A29">
        <w:rPr>
          <w:b/>
          <w:szCs w:val="20"/>
        </w:rPr>
        <w:t>по бюджета на</w:t>
      </w:r>
      <w:r w:rsidRPr="00464A29">
        <w:rPr>
          <w:szCs w:val="20"/>
        </w:rPr>
        <w:t xml:space="preserve"> </w:t>
      </w:r>
      <w:r w:rsidRPr="00464A29">
        <w:rPr>
          <w:b/>
          <w:szCs w:val="20"/>
        </w:rPr>
        <w:t xml:space="preserve">БНР </w:t>
      </w:r>
      <w:r w:rsidRPr="00464A29">
        <w:rPr>
          <w:szCs w:val="20"/>
        </w:rPr>
        <w:t xml:space="preserve">възлиза на </w:t>
      </w:r>
      <w:r w:rsidRPr="005F542B">
        <w:rPr>
          <w:szCs w:val="20"/>
        </w:rPr>
        <w:t>48</w:t>
      </w:r>
      <w:r w:rsidRPr="00464A29">
        <w:rPr>
          <w:szCs w:val="20"/>
        </w:rPr>
        <w:t>,</w:t>
      </w:r>
      <w:r w:rsidRPr="005F542B">
        <w:rPr>
          <w:szCs w:val="20"/>
        </w:rPr>
        <w:t>2</w:t>
      </w:r>
      <w:r w:rsidRPr="00464A29">
        <w:rPr>
          <w:szCs w:val="20"/>
        </w:rPr>
        <w:t xml:space="preserve"> млн. лв. или </w:t>
      </w:r>
      <w:r w:rsidRPr="005F542B">
        <w:rPr>
          <w:szCs w:val="20"/>
        </w:rPr>
        <w:t>96</w:t>
      </w:r>
      <w:r w:rsidRPr="00464A29">
        <w:rPr>
          <w:szCs w:val="20"/>
        </w:rPr>
        <w:t>,</w:t>
      </w:r>
      <w:r w:rsidRPr="005F542B">
        <w:rPr>
          <w:szCs w:val="20"/>
        </w:rPr>
        <w:t>9</w:t>
      </w:r>
      <w:r w:rsidRPr="00464A29">
        <w:rPr>
          <w:szCs w:val="20"/>
        </w:rPr>
        <w:t xml:space="preserve"> % </w:t>
      </w:r>
      <w:r w:rsidRPr="00464A29">
        <w:t xml:space="preserve">от годишния разчет по ЗДБРБ за 2020 г. </w:t>
      </w:r>
      <w:r w:rsidRPr="00464A29">
        <w:rPr>
          <w:szCs w:val="20"/>
        </w:rPr>
        <w:t xml:space="preserve">За периода са отчетени </w:t>
      </w:r>
      <w:r w:rsidRPr="005F542B">
        <w:rPr>
          <w:szCs w:val="20"/>
        </w:rPr>
        <w:t>46</w:t>
      </w:r>
      <w:r w:rsidRPr="00464A29">
        <w:rPr>
          <w:szCs w:val="20"/>
        </w:rPr>
        <w:t>,</w:t>
      </w:r>
      <w:r w:rsidRPr="005F542B">
        <w:rPr>
          <w:szCs w:val="20"/>
        </w:rPr>
        <w:t>9</w:t>
      </w:r>
      <w:r w:rsidRPr="00464A29">
        <w:rPr>
          <w:szCs w:val="20"/>
        </w:rPr>
        <w:t xml:space="preserve"> млн. лв. текущи разходи и 1,</w:t>
      </w:r>
      <w:r w:rsidRPr="005F542B">
        <w:rPr>
          <w:szCs w:val="20"/>
        </w:rPr>
        <w:t>3</w:t>
      </w:r>
      <w:r w:rsidRPr="00464A29">
        <w:rPr>
          <w:szCs w:val="20"/>
        </w:rPr>
        <w:t xml:space="preserve">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 остатък за 2019 г. (съгл. чл. 70, ал. 6 от Закона за радиото и телевизията) в размер на 0,3 млн. лева. </w:t>
      </w:r>
    </w:p>
    <w:p w:rsidR="0004480A" w:rsidRPr="00F177A1" w:rsidRDefault="0004480A" w:rsidP="0004480A">
      <w:pPr>
        <w:ind w:firstLine="567"/>
        <w:jc w:val="both"/>
        <w:rPr>
          <w:szCs w:val="20"/>
        </w:rPr>
      </w:pPr>
      <w:r w:rsidRPr="00F177A1">
        <w:t>Общо утвърдените</w:t>
      </w:r>
      <w:r w:rsidRPr="00F177A1">
        <w:rPr>
          <w:b/>
        </w:rPr>
        <w:t xml:space="preserve"> </w:t>
      </w:r>
      <w:r w:rsidRPr="00F177A1">
        <w:rPr>
          <w:b/>
          <w:i/>
          <w:szCs w:val="20"/>
        </w:rPr>
        <w:t>бюджетни взаимоотношения на БНР с централния бюджет</w:t>
      </w:r>
      <w:r w:rsidRPr="00F177A1">
        <w:rPr>
          <w:szCs w:val="20"/>
        </w:rPr>
        <w:t xml:space="preserve"> за 2020 г. са в размер на 47,0 млн. лв., съгласно чл. 48, т. 1 от ЗДБРБ за 2020 г.  За отчетния период е усвоена сума в размер на </w:t>
      </w:r>
      <w:r w:rsidRPr="005F542B">
        <w:rPr>
          <w:szCs w:val="20"/>
        </w:rPr>
        <w:t>47</w:t>
      </w:r>
      <w:r w:rsidRPr="00F177A1">
        <w:rPr>
          <w:szCs w:val="20"/>
        </w:rPr>
        <w:t>,</w:t>
      </w:r>
      <w:r w:rsidRPr="005F542B">
        <w:rPr>
          <w:szCs w:val="20"/>
        </w:rPr>
        <w:t>0</w:t>
      </w:r>
      <w:r w:rsidRPr="00F177A1">
        <w:rPr>
          <w:szCs w:val="20"/>
        </w:rPr>
        <w:t xml:space="preserve"> млн. лв. или </w:t>
      </w:r>
      <w:r w:rsidRPr="005F542B">
        <w:rPr>
          <w:szCs w:val="20"/>
        </w:rPr>
        <w:t>100</w:t>
      </w:r>
      <w:r w:rsidRPr="00F177A1">
        <w:rPr>
          <w:szCs w:val="20"/>
        </w:rPr>
        <w:t>,</w:t>
      </w:r>
      <w:r w:rsidRPr="005F542B">
        <w:rPr>
          <w:szCs w:val="20"/>
        </w:rPr>
        <w:t>0</w:t>
      </w:r>
      <w:r w:rsidRPr="00F177A1">
        <w:rPr>
          <w:szCs w:val="20"/>
        </w:rPr>
        <w:t xml:space="preserve"> % от размера на определените със ЗДБРБ за 2020 г. бюджетни взаимоотношения на БНР с централния бюджет.</w:t>
      </w:r>
    </w:p>
    <w:p w:rsidR="0004480A" w:rsidRPr="005F542B" w:rsidRDefault="0004480A" w:rsidP="001A3BD4">
      <w:pPr>
        <w:spacing w:before="240"/>
        <w:ind w:firstLine="646"/>
        <w:jc w:val="both"/>
      </w:pPr>
      <w:r w:rsidRPr="00892E83">
        <w:rPr>
          <w:b/>
          <w:szCs w:val="20"/>
        </w:rPr>
        <w:t xml:space="preserve">Приходите на БТА </w:t>
      </w:r>
      <w:r w:rsidRPr="00892E83">
        <w:rPr>
          <w:szCs w:val="20"/>
        </w:rPr>
        <w:t>към 3</w:t>
      </w:r>
      <w:r w:rsidRPr="005F542B">
        <w:rPr>
          <w:szCs w:val="20"/>
        </w:rPr>
        <w:t>1</w:t>
      </w:r>
      <w:r w:rsidRPr="00892E83">
        <w:rPr>
          <w:szCs w:val="20"/>
        </w:rPr>
        <w:t>.</w:t>
      </w:r>
      <w:r w:rsidRPr="005F542B">
        <w:rPr>
          <w:szCs w:val="20"/>
        </w:rPr>
        <w:t>12</w:t>
      </w:r>
      <w:r w:rsidRPr="00892E83">
        <w:rPr>
          <w:szCs w:val="20"/>
        </w:rPr>
        <w:t xml:space="preserve">.2020 г. са </w:t>
      </w:r>
      <w:r w:rsidRPr="005F542B">
        <w:rPr>
          <w:szCs w:val="20"/>
        </w:rPr>
        <w:t>1</w:t>
      </w:r>
      <w:r w:rsidRPr="00892E83">
        <w:rPr>
          <w:szCs w:val="20"/>
        </w:rPr>
        <w:t>,</w:t>
      </w:r>
      <w:r w:rsidRPr="005F542B">
        <w:rPr>
          <w:szCs w:val="20"/>
        </w:rPr>
        <w:t>1</w:t>
      </w:r>
      <w:r w:rsidRPr="00892E83">
        <w:rPr>
          <w:szCs w:val="20"/>
        </w:rPr>
        <w:t xml:space="preserve"> млн. лв. или </w:t>
      </w:r>
      <w:r w:rsidRPr="005F542B">
        <w:rPr>
          <w:szCs w:val="20"/>
        </w:rPr>
        <w:t>74</w:t>
      </w:r>
      <w:r w:rsidRPr="00892E83">
        <w:rPr>
          <w:szCs w:val="20"/>
        </w:rPr>
        <w:t>,2 % от предвидените за годината, като това са основно постъпления от продажба на информационни продукти и услуги.</w:t>
      </w:r>
      <w:r w:rsidRPr="00892E83">
        <w:t xml:space="preserve"> </w:t>
      </w:r>
    </w:p>
    <w:p w:rsidR="0004480A" w:rsidRDefault="0004480A" w:rsidP="002A24ED">
      <w:pPr>
        <w:ind w:firstLine="648"/>
        <w:jc w:val="both"/>
      </w:pPr>
      <w:r w:rsidRPr="003A4505">
        <w:lastRenderedPageBreak/>
        <w:t xml:space="preserve">Неизпълнението на приходите се дължи основно на фалита </w:t>
      </w:r>
      <w:r w:rsidR="00F719CF">
        <w:t xml:space="preserve">на </w:t>
      </w:r>
      <w:r w:rsidRPr="003A4505">
        <w:t xml:space="preserve">голям разпространител на печатни издания през 2020 г. и последвала </w:t>
      </w:r>
      <w:r w:rsidR="00090A33" w:rsidRPr="003A4505">
        <w:t>неплатежоспособност</w:t>
      </w:r>
      <w:r w:rsidRPr="003A4505">
        <w:t xml:space="preserve"> на голяма част от периодичния печат в страната. Следствие на пандемията от COVID-19 и обявеното извънредно положение голяма част от клиентите на БТА са спрели да покриват задълженията си или са прекратили абонаментите си. Със забраната за организиране на масови мероприятия са отменени всички пресконференции в пресклубовете на агенцията в страната.</w:t>
      </w:r>
    </w:p>
    <w:p w:rsidR="0004480A" w:rsidRPr="00892E83" w:rsidRDefault="0004480A" w:rsidP="002A24ED">
      <w:pPr>
        <w:ind w:firstLine="567"/>
        <w:jc w:val="both"/>
        <w:rPr>
          <w:szCs w:val="20"/>
        </w:rPr>
      </w:pPr>
      <w:r w:rsidRPr="00892E83">
        <w:rPr>
          <w:b/>
          <w:szCs w:val="20"/>
        </w:rPr>
        <w:t xml:space="preserve">Отчетените разходи на </w:t>
      </w:r>
      <w:r w:rsidRPr="00892E83">
        <w:rPr>
          <w:szCs w:val="20"/>
        </w:rPr>
        <w:t xml:space="preserve">БТА за </w:t>
      </w:r>
      <w:r w:rsidR="00CF69E8">
        <w:rPr>
          <w:szCs w:val="20"/>
        </w:rPr>
        <w:t xml:space="preserve">2020 г. </w:t>
      </w:r>
      <w:r w:rsidRPr="00892E83">
        <w:rPr>
          <w:szCs w:val="20"/>
        </w:rPr>
        <w:t xml:space="preserve">са </w:t>
      </w:r>
      <w:r w:rsidRPr="005F542B">
        <w:rPr>
          <w:szCs w:val="20"/>
        </w:rPr>
        <w:t>7</w:t>
      </w:r>
      <w:r w:rsidRPr="00892E83">
        <w:rPr>
          <w:szCs w:val="20"/>
        </w:rPr>
        <w:t xml:space="preserve">,2 млн. лв., което е </w:t>
      </w:r>
      <w:r w:rsidRPr="005F542B">
        <w:rPr>
          <w:szCs w:val="20"/>
        </w:rPr>
        <w:t>97</w:t>
      </w:r>
      <w:r w:rsidRPr="00892E83">
        <w:rPr>
          <w:szCs w:val="20"/>
        </w:rPr>
        <w:t>,</w:t>
      </w:r>
      <w:r w:rsidRPr="005F542B">
        <w:rPr>
          <w:szCs w:val="20"/>
        </w:rPr>
        <w:t>5</w:t>
      </w:r>
      <w:r w:rsidRPr="00892E83">
        <w:rPr>
          <w:szCs w:val="20"/>
        </w:rPr>
        <w:t xml:space="preserve"> % от годишния разчет</w:t>
      </w:r>
      <w:r w:rsidR="00BC46D1">
        <w:rPr>
          <w:szCs w:val="20"/>
        </w:rPr>
        <w:t>.</w:t>
      </w:r>
      <w:r w:rsidRPr="00892E83">
        <w:rPr>
          <w:szCs w:val="20"/>
        </w:rPr>
        <w:t xml:space="preserve"> </w:t>
      </w:r>
      <w:r w:rsidR="004E4531">
        <w:rPr>
          <w:szCs w:val="20"/>
        </w:rPr>
        <w:t>Изразходваните средства</w:t>
      </w:r>
      <w:r w:rsidR="004E4531" w:rsidRPr="004E4531">
        <w:rPr>
          <w:szCs w:val="20"/>
        </w:rPr>
        <w:t xml:space="preserve"> са свързани с основната дейност на агенцията, както и подсигуряване на допълнителни технически средства в помещенията, устройства за усилване на връзката и сигнала, с които да започне организирането на мероприятия онлайн, както и да бъде подсигурено качественото им пряко излъчване</w:t>
      </w:r>
    </w:p>
    <w:p w:rsidR="0004480A" w:rsidRPr="00892E83" w:rsidRDefault="0004480A" w:rsidP="0004480A">
      <w:pPr>
        <w:ind w:firstLine="567"/>
        <w:jc w:val="both"/>
        <w:rPr>
          <w:sz w:val="18"/>
        </w:rPr>
      </w:pPr>
      <w:r w:rsidRPr="00892E83">
        <w:rPr>
          <w:szCs w:val="20"/>
        </w:rPr>
        <w:t>Общо утвърдените</w:t>
      </w:r>
      <w:r w:rsidRPr="00892E83">
        <w:rPr>
          <w:b/>
          <w:i/>
        </w:rPr>
        <w:t xml:space="preserve"> бюджетни взаимоотношения на БТА с централния бюджет</w:t>
      </w:r>
      <w:r w:rsidRPr="00892E83">
        <w:rPr>
          <w:szCs w:val="20"/>
        </w:rPr>
        <w:t xml:space="preserve"> за 2020</w:t>
      </w:r>
      <w:r w:rsidR="006B6731">
        <w:rPr>
          <w:szCs w:val="20"/>
        </w:rPr>
        <w:t> </w:t>
      </w:r>
      <w:r w:rsidRPr="00892E83">
        <w:rPr>
          <w:szCs w:val="20"/>
        </w:rPr>
        <w:t>г. са в размер на 5,8 млн. лв. Отчетените трансфери са в размер</w:t>
      </w:r>
      <w:r w:rsidRPr="00892E83">
        <w:rPr>
          <w:b/>
          <w:szCs w:val="20"/>
        </w:rPr>
        <w:t xml:space="preserve"> </w:t>
      </w:r>
      <w:r w:rsidRPr="00892E83">
        <w:rPr>
          <w:szCs w:val="20"/>
        </w:rPr>
        <w:t xml:space="preserve">на </w:t>
      </w:r>
      <w:r w:rsidRPr="005F542B">
        <w:rPr>
          <w:szCs w:val="20"/>
        </w:rPr>
        <w:t>6</w:t>
      </w:r>
      <w:r w:rsidRPr="00892E83">
        <w:rPr>
          <w:szCs w:val="20"/>
        </w:rPr>
        <w:t>,</w:t>
      </w:r>
      <w:r w:rsidRPr="005F542B">
        <w:rPr>
          <w:szCs w:val="20"/>
        </w:rPr>
        <w:t>1</w:t>
      </w:r>
      <w:r w:rsidRPr="00892E83">
        <w:rPr>
          <w:szCs w:val="20"/>
        </w:rPr>
        <w:t xml:space="preserve"> млн. лв. или </w:t>
      </w:r>
      <w:r w:rsidRPr="005F542B">
        <w:rPr>
          <w:szCs w:val="20"/>
        </w:rPr>
        <w:t>105</w:t>
      </w:r>
      <w:r w:rsidRPr="00892E83">
        <w:rPr>
          <w:szCs w:val="20"/>
        </w:rPr>
        <w:t>,</w:t>
      </w:r>
      <w:r w:rsidRPr="005F542B">
        <w:rPr>
          <w:szCs w:val="20"/>
        </w:rPr>
        <w:t>1</w:t>
      </w:r>
      <w:r w:rsidRPr="00892E83">
        <w:rPr>
          <w:szCs w:val="20"/>
        </w:rPr>
        <w:t xml:space="preserve"> % спрямо средствата, определени за БТА със ЗДБРБ за 2020 година. </w:t>
      </w:r>
    </w:p>
    <w:p w:rsidR="0004480A" w:rsidRDefault="0004480A" w:rsidP="0004480A"/>
    <w:p w:rsidR="00053B0F" w:rsidRPr="004B1466" w:rsidRDefault="00053B0F" w:rsidP="00053B0F">
      <w:pPr>
        <w:pStyle w:val="Title"/>
        <w:jc w:val="both"/>
        <w:rPr>
          <w:color w:val="0070C0"/>
          <w:sz w:val="18"/>
        </w:rPr>
      </w:pPr>
    </w:p>
    <w:p w:rsidR="00E81A7F" w:rsidRPr="005F542B" w:rsidRDefault="00053B0F" w:rsidP="00053B0F">
      <w:pPr>
        <w:pStyle w:val="Title"/>
        <w:jc w:val="both"/>
      </w:pPr>
      <w:r w:rsidRPr="00D362CE">
        <w:t xml:space="preserve">Министерство на финансите, </w:t>
      </w:r>
      <w:r w:rsidR="00D362CE" w:rsidRPr="00D362CE">
        <w:t xml:space="preserve">февруари </w:t>
      </w:r>
      <w:r w:rsidRPr="00D362CE">
        <w:t>20</w:t>
      </w:r>
      <w:r w:rsidR="00792BF4" w:rsidRPr="00D362CE">
        <w:t>2</w:t>
      </w:r>
      <w:r w:rsidR="00D362CE" w:rsidRPr="00D362CE">
        <w:t>1</w:t>
      </w:r>
      <w:r w:rsidRPr="00D362CE">
        <w:t xml:space="preserve"> г.</w:t>
      </w:r>
    </w:p>
    <w:p w:rsidR="00BE00EA" w:rsidRPr="005F542B" w:rsidRDefault="00BE00EA" w:rsidP="00053B0F">
      <w:pPr>
        <w:pStyle w:val="Title"/>
        <w:jc w:val="both"/>
        <w:rPr>
          <w:color w:val="0070C0"/>
        </w:rPr>
      </w:pPr>
    </w:p>
    <w:p w:rsidR="00490ADE" w:rsidRPr="00BE4DAE" w:rsidRDefault="00490ADE" w:rsidP="00490ADE">
      <w:pPr>
        <w:tabs>
          <w:tab w:val="left" w:pos="2520"/>
        </w:tabs>
        <w:spacing w:line="480" w:lineRule="auto"/>
        <w:ind w:left="-1134" w:right="-386" w:firstLine="1134"/>
        <w:rPr>
          <w:sz w:val="20"/>
          <w:szCs w:val="20"/>
          <w:lang w:eastAsia="bg-BG"/>
        </w:rPr>
      </w:pPr>
    </w:p>
    <w:p w:rsidR="00490ADE" w:rsidRPr="00BE4DAE" w:rsidRDefault="00490ADE" w:rsidP="00490ADE">
      <w:pPr>
        <w:tabs>
          <w:tab w:val="left" w:pos="2520"/>
        </w:tabs>
        <w:spacing w:line="480" w:lineRule="auto"/>
        <w:ind w:left="-1134" w:right="-386" w:firstLine="1134"/>
        <w:rPr>
          <w:sz w:val="20"/>
          <w:szCs w:val="20"/>
          <w:lang w:eastAsia="bg-BG"/>
        </w:rPr>
      </w:pPr>
    </w:p>
    <w:p w:rsidR="00BE00EA" w:rsidRPr="004B1466" w:rsidRDefault="00BE00EA" w:rsidP="00053B0F">
      <w:pPr>
        <w:pStyle w:val="Title"/>
        <w:jc w:val="both"/>
        <w:rPr>
          <w:color w:val="0070C0"/>
        </w:rPr>
      </w:pPr>
      <w:bookmarkStart w:id="48" w:name="_GoBack"/>
      <w:bookmarkEnd w:id="48"/>
    </w:p>
    <w:sectPr w:rsidR="00BE00EA" w:rsidRPr="004B1466" w:rsidSect="007340F5">
      <w:footerReference w:type="even" r:id="rId13"/>
      <w:footerReference w:type="default" r:id="rId14"/>
      <w:endnotePr>
        <w:numFmt w:val="decimal"/>
      </w:endnotePr>
      <w:type w:val="continuous"/>
      <w:pgSz w:w="11906" w:h="16838"/>
      <w:pgMar w:top="709" w:right="849" w:bottom="42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2A" w:rsidRDefault="00751D2A">
      <w:r>
        <w:separator/>
      </w:r>
    </w:p>
  </w:endnote>
  <w:endnote w:type="continuationSeparator" w:id="0">
    <w:p w:rsidR="00751D2A" w:rsidRDefault="00751D2A">
      <w:r>
        <w:continuationSeparator/>
      </w:r>
    </w:p>
  </w:endnote>
  <w:endnote w:type="continuationNotice" w:id="1">
    <w:p w:rsidR="00751D2A" w:rsidRDefault="0075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Segoe UI"/>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BD" w:rsidRDefault="00E838BD"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8BD" w:rsidRDefault="00E838BD"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BD" w:rsidRDefault="00E838BD"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B31">
      <w:rPr>
        <w:rStyle w:val="PageNumber"/>
        <w:noProof/>
      </w:rPr>
      <w:t>2</w:t>
    </w:r>
    <w:r>
      <w:rPr>
        <w:rStyle w:val="PageNumber"/>
      </w:rPr>
      <w:fldChar w:fldCharType="end"/>
    </w:r>
  </w:p>
  <w:p w:rsidR="00E838BD" w:rsidRDefault="00E838BD"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2A" w:rsidRDefault="00751D2A">
      <w:r>
        <w:separator/>
      </w:r>
    </w:p>
  </w:footnote>
  <w:footnote w:type="continuationSeparator" w:id="0">
    <w:p w:rsidR="00751D2A" w:rsidRDefault="00751D2A">
      <w:r>
        <w:continuationSeparator/>
      </w:r>
    </w:p>
  </w:footnote>
  <w:footnote w:type="continuationNotice" w:id="1">
    <w:p w:rsidR="00751D2A" w:rsidRDefault="00751D2A"/>
  </w:footnote>
  <w:footnote w:id="2">
    <w:p w:rsidR="00E838BD" w:rsidRPr="00167A90" w:rsidRDefault="00E838BD" w:rsidP="00F534E0">
      <w:pPr>
        <w:pStyle w:val="FootnoteText"/>
        <w:rPr>
          <w:lang w:val="bg-BG"/>
        </w:rPr>
      </w:pPr>
      <w:r>
        <w:rPr>
          <w:rStyle w:val="FootnoteReference"/>
        </w:rPr>
        <w:footnoteRef/>
      </w:r>
      <w:r>
        <w:t xml:space="preserve"> </w:t>
      </w:r>
      <w:r>
        <w:rPr>
          <w:lang w:val="bg-BG"/>
        </w:rPr>
        <w:t xml:space="preserve">Аналитично представяне на платежния баланс според </w:t>
      </w:r>
      <w:r w:rsidRPr="002153AA">
        <w:rPr>
          <w:lang w:val="bg-BG"/>
        </w:rPr>
        <w:t>6-тото издание на "Ръководството по платежен баланс и международна инвестиционна позиция" на МВФ</w:t>
      </w:r>
    </w:p>
  </w:footnote>
  <w:footnote w:id="3">
    <w:p w:rsidR="00E838BD" w:rsidRPr="001033E1" w:rsidRDefault="00E838BD" w:rsidP="00D00AB4">
      <w:pPr>
        <w:pStyle w:val="FootnoteText"/>
        <w:jc w:val="both"/>
        <w:rPr>
          <w:lang w:val="bg-BG"/>
        </w:rPr>
      </w:pPr>
      <w:r>
        <w:rPr>
          <w:rStyle w:val="FootnoteReference"/>
        </w:rPr>
        <w:footnoteRef/>
      </w:r>
      <w:r w:rsidRPr="001033E1">
        <w:rPr>
          <w:lang w:val="bg-BG"/>
        </w:rPr>
        <w:t xml:space="preserve"> </w:t>
      </w:r>
      <w:r w:rsidRPr="00335B65">
        <w:rPr>
          <w:sz w:val="18"/>
          <w:szCs w:val="16"/>
          <w:lang w:val="bg-BG"/>
        </w:rPr>
        <w:t xml:space="preserve">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w:t>
      </w:r>
    </w:p>
  </w:footnote>
  <w:footnote w:id="4">
    <w:p w:rsidR="00E838BD" w:rsidRPr="001033E1" w:rsidRDefault="00E838BD" w:rsidP="008262CB">
      <w:pPr>
        <w:pStyle w:val="FootnoteText"/>
        <w:jc w:val="both"/>
        <w:rPr>
          <w:sz w:val="18"/>
          <w:szCs w:val="18"/>
          <w:lang w:val="bg-BG"/>
        </w:rPr>
      </w:pPr>
      <w:r w:rsidRPr="00B70BD3">
        <w:rPr>
          <w:rStyle w:val="FootnoteReference"/>
          <w:sz w:val="18"/>
          <w:szCs w:val="18"/>
        </w:rPr>
        <w:footnoteRef/>
      </w:r>
      <w:r w:rsidRPr="001033E1">
        <w:rPr>
          <w:sz w:val="18"/>
          <w:szCs w:val="18"/>
          <w:lang w:val="bg-BG"/>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5">
    <w:p w:rsidR="00E838BD" w:rsidRPr="003F3760" w:rsidRDefault="00E838BD" w:rsidP="008262CB">
      <w:pPr>
        <w:pStyle w:val="FootnoteText"/>
        <w:rPr>
          <w:lang w:val="bg-BG"/>
        </w:rPr>
      </w:pPr>
      <w:r w:rsidRPr="00A16B41">
        <w:rPr>
          <w:rStyle w:val="FootnoteReference"/>
          <w:lang w:val="bg-BG"/>
        </w:rPr>
        <w:footnoteRef/>
      </w:r>
      <w:r w:rsidRPr="00A16B41">
        <w:rPr>
          <w:lang w:val="bg-BG"/>
        </w:rPr>
        <w:t xml:space="preserve"> </w:t>
      </w:r>
      <w:r w:rsidRPr="00A16B41">
        <w:rPr>
          <w:sz w:val="18"/>
          <w:lang w:val="bg-BG"/>
        </w:rPr>
        <w:t>Данните са съгласно разчетите към ЗДБРБ за 2020 г.  (oбн., ДВ, бр. 100 от 20.12.2019 г., изм., бр. 28 от 24.03.2020 г.,изм. и доп., бр. 34 от 9.04.2020 г., бр. 60 от 7.07.2020 г., доп., бр. 98 от 17.11.2020 г., изм. и доп., бр. 104 от 8.12.2020 г.).</w:t>
      </w:r>
      <w:r w:rsidRPr="009D0F09">
        <w:rPr>
          <w:sz w:val="18"/>
          <w:lang w:val="bg-BG"/>
        </w:rPr>
        <w:tab/>
      </w:r>
    </w:p>
  </w:footnote>
  <w:footnote w:id="6">
    <w:p w:rsidR="00E838BD" w:rsidRPr="00E74802" w:rsidRDefault="00E838BD" w:rsidP="008262CB">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7">
    <w:p w:rsidR="00E838BD" w:rsidRPr="00DF79A3" w:rsidRDefault="00E838BD" w:rsidP="008262CB">
      <w:pPr>
        <w:pStyle w:val="FootnoteText"/>
        <w:rPr>
          <w:lang w:val="bg-BG"/>
        </w:rPr>
      </w:pPr>
      <w:r w:rsidRPr="00E60ABC">
        <w:rPr>
          <w:rStyle w:val="FootnoteReference"/>
          <w:sz w:val="18"/>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8">
    <w:p w:rsidR="00E838BD" w:rsidRPr="00BA6AD2" w:rsidRDefault="00E838BD" w:rsidP="008262CB">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w:t>
      </w:r>
      <w:r w:rsidRPr="00182A94">
        <w:rPr>
          <w:sz w:val="18"/>
          <w:szCs w:val="18"/>
          <w:lang w:val="bg-BG"/>
        </w:rPr>
        <w:t>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9">
    <w:p w:rsidR="00E838BD" w:rsidRPr="001033E1" w:rsidRDefault="00E838BD" w:rsidP="008262CB">
      <w:pPr>
        <w:pStyle w:val="FootnoteText"/>
        <w:rPr>
          <w:sz w:val="18"/>
          <w:lang w:val="bg-BG"/>
        </w:rPr>
      </w:pPr>
      <w:r w:rsidRPr="00436828">
        <w:rPr>
          <w:rStyle w:val="FootnoteReference"/>
          <w:sz w:val="18"/>
        </w:rPr>
        <w:footnoteRef/>
      </w:r>
      <w:r w:rsidRPr="001033E1">
        <w:rPr>
          <w:sz w:val="18"/>
          <w:lang w:val="bg-BG"/>
        </w:rPr>
        <w:t xml:space="preserve"> </w:t>
      </w:r>
      <w:r w:rsidRPr="001033E1">
        <w:rPr>
          <w:sz w:val="18"/>
          <w:lang w:val="bg-BG"/>
        </w:rPr>
        <w:t>Данните са съгласно разчетите към ЗДБРБ за 2020 г.  (</w:t>
      </w:r>
      <w:r w:rsidRPr="00436828">
        <w:rPr>
          <w:sz w:val="18"/>
        </w:rPr>
        <w:t>o</w:t>
      </w:r>
      <w:r w:rsidRPr="001033E1">
        <w:rPr>
          <w:sz w:val="18"/>
          <w:lang w:val="bg-BG"/>
        </w:rPr>
        <w:t>бн., ДВ, бр. 100 от 20.12.2019 г., изм., бр. 28 от 24.03.2020 г.,изм. и доп., бр. 34 от 9.04.2020 г., бр. 60 от 7.07.2020 г., доп., бр. 98 от 17.11.2020 г., изм. и доп., бр. 104 от 8.12.2020 г.).</w:t>
      </w:r>
      <w:r w:rsidRPr="001033E1">
        <w:rPr>
          <w:sz w:val="18"/>
          <w:lang w:val="bg-BG"/>
        </w:rPr>
        <w:tab/>
      </w:r>
    </w:p>
  </w:footnote>
  <w:footnote w:id="10">
    <w:p w:rsidR="00E838BD" w:rsidRPr="00BE4DAE" w:rsidRDefault="00E838BD" w:rsidP="008262CB">
      <w:pPr>
        <w:pStyle w:val="FootnoteText"/>
        <w:jc w:val="both"/>
        <w:rPr>
          <w:sz w:val="18"/>
          <w:szCs w:val="18"/>
          <w:lang w:val="bg-BG"/>
        </w:rPr>
      </w:pPr>
      <w:r w:rsidRPr="00EB7087">
        <w:rPr>
          <w:rStyle w:val="FootnoteReference"/>
        </w:rPr>
        <w:footnoteRef/>
      </w:r>
      <w:r w:rsidRPr="00BE4DAE">
        <w:rPr>
          <w:sz w:val="18"/>
          <w:szCs w:val="18"/>
          <w:lang w:val="bg-BG"/>
        </w:rPr>
        <w:t xml:space="preserve"> </w:t>
      </w:r>
      <w:r w:rsidRPr="00BE4DAE">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 w:id="11">
    <w:p w:rsidR="00E838BD" w:rsidRDefault="00E838BD" w:rsidP="008A66BC">
      <w:pPr>
        <w:pStyle w:val="FootnoteText"/>
      </w:pPr>
      <w:r>
        <w:rPr>
          <w:rStyle w:val="FootnoteReference"/>
        </w:rPr>
        <w:footnoteRef/>
      </w:r>
      <w:r>
        <w:t xml:space="preserve"> </w:t>
      </w:r>
      <w:r w:rsidRPr="005E0D4A">
        <w:rPr>
          <w:sz w:val="18"/>
        </w:rPr>
        <w:t>Структурен програмен заем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4786"/>
    <w:multiLevelType w:val="multilevel"/>
    <w:tmpl w:val="4FFE243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224A377B"/>
    <w:multiLevelType w:val="hybridMultilevel"/>
    <w:tmpl w:val="62A490A4"/>
    <w:lvl w:ilvl="0" w:tplc="0402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BF11F5"/>
    <w:multiLevelType w:val="hybridMultilevel"/>
    <w:tmpl w:val="1EE24D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2">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6">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8">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0">
    <w:nsid w:val="64AC6AF7"/>
    <w:multiLevelType w:val="hybridMultilevel"/>
    <w:tmpl w:val="4940A3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D">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5037E1C"/>
    <w:multiLevelType w:val="hybridMultilevel"/>
    <w:tmpl w:val="417A6ED8"/>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2">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4">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6">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7">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9">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1"/>
  </w:num>
  <w:num w:numId="3">
    <w:abstractNumId w:val="24"/>
  </w:num>
  <w:num w:numId="4">
    <w:abstractNumId w:val="8"/>
  </w:num>
  <w:num w:numId="5">
    <w:abstractNumId w:val="27"/>
  </w:num>
  <w:num w:numId="6">
    <w:abstractNumId w:val="16"/>
  </w:num>
  <w:num w:numId="7">
    <w:abstractNumId w:val="22"/>
  </w:num>
  <w:num w:numId="8">
    <w:abstractNumId w:val="10"/>
  </w:num>
  <w:num w:numId="9">
    <w:abstractNumId w:val="14"/>
  </w:num>
  <w:num w:numId="10">
    <w:abstractNumId w:val="28"/>
  </w:num>
  <w:num w:numId="11">
    <w:abstractNumId w:val="23"/>
  </w:num>
  <w:num w:numId="12">
    <w:abstractNumId w:val="19"/>
  </w:num>
  <w:num w:numId="13">
    <w:abstractNumId w:val="2"/>
  </w:num>
  <w:num w:numId="14">
    <w:abstractNumId w:val="30"/>
  </w:num>
  <w:num w:numId="15">
    <w:abstractNumId w:val="29"/>
  </w:num>
  <w:num w:numId="16">
    <w:abstractNumId w:val="1"/>
  </w:num>
  <w:num w:numId="17">
    <w:abstractNumId w:val="25"/>
  </w:num>
  <w:num w:numId="18">
    <w:abstractNumId w:val="4"/>
  </w:num>
  <w:num w:numId="19">
    <w:abstractNumId w:val="15"/>
  </w:num>
  <w:num w:numId="20">
    <w:abstractNumId w:val="7"/>
  </w:num>
  <w:num w:numId="21">
    <w:abstractNumId w:val="13"/>
  </w:num>
  <w:num w:numId="22">
    <w:abstractNumId w:val="17"/>
  </w:num>
  <w:num w:numId="23">
    <w:abstractNumId w:val="26"/>
  </w:num>
  <w:num w:numId="24">
    <w:abstractNumId w:val="18"/>
  </w:num>
  <w:num w:numId="25">
    <w:abstractNumId w:val="9"/>
  </w:num>
  <w:num w:numId="26">
    <w:abstractNumId w:val="6"/>
  </w:num>
  <w:num w:numId="27">
    <w:abstractNumId w:val="21"/>
  </w:num>
  <w:num w:numId="2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0"/>
  </w:num>
  <w:num w:numId="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
  <w:rsids>
    <w:rsidRoot w:val="00063E15"/>
    <w:rsid w:val="00000EF0"/>
    <w:rsid w:val="000016BE"/>
    <w:rsid w:val="00002BD7"/>
    <w:rsid w:val="00002D9C"/>
    <w:rsid w:val="00003489"/>
    <w:rsid w:val="00003B52"/>
    <w:rsid w:val="00004264"/>
    <w:rsid w:val="00005EF8"/>
    <w:rsid w:val="000063FC"/>
    <w:rsid w:val="000065C6"/>
    <w:rsid w:val="0000691E"/>
    <w:rsid w:val="00006EBC"/>
    <w:rsid w:val="00007F94"/>
    <w:rsid w:val="000111D3"/>
    <w:rsid w:val="00011383"/>
    <w:rsid w:val="000119C6"/>
    <w:rsid w:val="00012533"/>
    <w:rsid w:val="00012AE6"/>
    <w:rsid w:val="00013B93"/>
    <w:rsid w:val="00013C59"/>
    <w:rsid w:val="0001448B"/>
    <w:rsid w:val="000146EA"/>
    <w:rsid w:val="000158A2"/>
    <w:rsid w:val="00015C0F"/>
    <w:rsid w:val="00015D5B"/>
    <w:rsid w:val="00016407"/>
    <w:rsid w:val="000175C7"/>
    <w:rsid w:val="000178CA"/>
    <w:rsid w:val="00017980"/>
    <w:rsid w:val="00017EA1"/>
    <w:rsid w:val="00020391"/>
    <w:rsid w:val="0002050E"/>
    <w:rsid w:val="0002057E"/>
    <w:rsid w:val="0002149A"/>
    <w:rsid w:val="000215BD"/>
    <w:rsid w:val="00021A5F"/>
    <w:rsid w:val="000221B7"/>
    <w:rsid w:val="000229E1"/>
    <w:rsid w:val="00022CAC"/>
    <w:rsid w:val="00022D9E"/>
    <w:rsid w:val="000231B7"/>
    <w:rsid w:val="0002351F"/>
    <w:rsid w:val="00023BF6"/>
    <w:rsid w:val="00023D31"/>
    <w:rsid w:val="0002444B"/>
    <w:rsid w:val="0002477E"/>
    <w:rsid w:val="000249B9"/>
    <w:rsid w:val="000256B4"/>
    <w:rsid w:val="00025953"/>
    <w:rsid w:val="00025F45"/>
    <w:rsid w:val="00026903"/>
    <w:rsid w:val="0002693A"/>
    <w:rsid w:val="00026AD5"/>
    <w:rsid w:val="00027951"/>
    <w:rsid w:val="00027B74"/>
    <w:rsid w:val="00030353"/>
    <w:rsid w:val="000307D3"/>
    <w:rsid w:val="000311EA"/>
    <w:rsid w:val="00031377"/>
    <w:rsid w:val="00031593"/>
    <w:rsid w:val="00031710"/>
    <w:rsid w:val="000319CB"/>
    <w:rsid w:val="000320C8"/>
    <w:rsid w:val="00032966"/>
    <w:rsid w:val="00033ACB"/>
    <w:rsid w:val="00034135"/>
    <w:rsid w:val="00034396"/>
    <w:rsid w:val="00034FE3"/>
    <w:rsid w:val="000359FA"/>
    <w:rsid w:val="0003621F"/>
    <w:rsid w:val="00036A1B"/>
    <w:rsid w:val="00037141"/>
    <w:rsid w:val="000377BC"/>
    <w:rsid w:val="00037867"/>
    <w:rsid w:val="000378DC"/>
    <w:rsid w:val="000379C7"/>
    <w:rsid w:val="0004080C"/>
    <w:rsid w:val="0004098D"/>
    <w:rsid w:val="00040C20"/>
    <w:rsid w:val="000411D9"/>
    <w:rsid w:val="00041338"/>
    <w:rsid w:val="00042634"/>
    <w:rsid w:val="0004301F"/>
    <w:rsid w:val="0004338F"/>
    <w:rsid w:val="000436DD"/>
    <w:rsid w:val="000439F5"/>
    <w:rsid w:val="00043AA0"/>
    <w:rsid w:val="00043AB2"/>
    <w:rsid w:val="00043E35"/>
    <w:rsid w:val="0004426E"/>
    <w:rsid w:val="00044273"/>
    <w:rsid w:val="0004480A"/>
    <w:rsid w:val="000462B3"/>
    <w:rsid w:val="0004753C"/>
    <w:rsid w:val="00050A1B"/>
    <w:rsid w:val="00051E5E"/>
    <w:rsid w:val="00052449"/>
    <w:rsid w:val="00052C5C"/>
    <w:rsid w:val="00053B0F"/>
    <w:rsid w:val="00053D51"/>
    <w:rsid w:val="000546BF"/>
    <w:rsid w:val="00054E02"/>
    <w:rsid w:val="00055007"/>
    <w:rsid w:val="000551E4"/>
    <w:rsid w:val="000553DA"/>
    <w:rsid w:val="00055439"/>
    <w:rsid w:val="00055A61"/>
    <w:rsid w:val="00055DD1"/>
    <w:rsid w:val="00056221"/>
    <w:rsid w:val="00056B58"/>
    <w:rsid w:val="00056D9D"/>
    <w:rsid w:val="0005737D"/>
    <w:rsid w:val="00057886"/>
    <w:rsid w:val="00060A02"/>
    <w:rsid w:val="00060B42"/>
    <w:rsid w:val="000613BA"/>
    <w:rsid w:val="0006166E"/>
    <w:rsid w:val="00061758"/>
    <w:rsid w:val="00061E55"/>
    <w:rsid w:val="000621DE"/>
    <w:rsid w:val="00062A78"/>
    <w:rsid w:val="00063235"/>
    <w:rsid w:val="00063CF1"/>
    <w:rsid w:val="00063E15"/>
    <w:rsid w:val="000642B9"/>
    <w:rsid w:val="00064472"/>
    <w:rsid w:val="0006477A"/>
    <w:rsid w:val="00064AF3"/>
    <w:rsid w:val="00064B82"/>
    <w:rsid w:val="00064C44"/>
    <w:rsid w:val="00064E39"/>
    <w:rsid w:val="00065A46"/>
    <w:rsid w:val="00065DF8"/>
    <w:rsid w:val="000663D1"/>
    <w:rsid w:val="00066EED"/>
    <w:rsid w:val="00067283"/>
    <w:rsid w:val="000701A7"/>
    <w:rsid w:val="0007047E"/>
    <w:rsid w:val="000709C1"/>
    <w:rsid w:val="00070A97"/>
    <w:rsid w:val="00071F12"/>
    <w:rsid w:val="00072D22"/>
    <w:rsid w:val="00073108"/>
    <w:rsid w:val="00073DF5"/>
    <w:rsid w:val="0007497C"/>
    <w:rsid w:val="000751C1"/>
    <w:rsid w:val="00075256"/>
    <w:rsid w:val="0007526B"/>
    <w:rsid w:val="00075E44"/>
    <w:rsid w:val="000768B3"/>
    <w:rsid w:val="00077D3D"/>
    <w:rsid w:val="00080AB2"/>
    <w:rsid w:val="00080EF5"/>
    <w:rsid w:val="0008155D"/>
    <w:rsid w:val="000819F9"/>
    <w:rsid w:val="00081AFD"/>
    <w:rsid w:val="00082679"/>
    <w:rsid w:val="000827A4"/>
    <w:rsid w:val="000829EB"/>
    <w:rsid w:val="00082BD9"/>
    <w:rsid w:val="0008327E"/>
    <w:rsid w:val="000832E5"/>
    <w:rsid w:val="0008331E"/>
    <w:rsid w:val="0008357F"/>
    <w:rsid w:val="0008377D"/>
    <w:rsid w:val="000853B1"/>
    <w:rsid w:val="00085704"/>
    <w:rsid w:val="00085734"/>
    <w:rsid w:val="00085B96"/>
    <w:rsid w:val="00085E01"/>
    <w:rsid w:val="00085E1A"/>
    <w:rsid w:val="00086FA7"/>
    <w:rsid w:val="00087295"/>
    <w:rsid w:val="0008745A"/>
    <w:rsid w:val="00087735"/>
    <w:rsid w:val="000878C4"/>
    <w:rsid w:val="0009002F"/>
    <w:rsid w:val="000900E3"/>
    <w:rsid w:val="0009010A"/>
    <w:rsid w:val="000902B5"/>
    <w:rsid w:val="00090A33"/>
    <w:rsid w:val="00090D1D"/>
    <w:rsid w:val="00091196"/>
    <w:rsid w:val="000914C7"/>
    <w:rsid w:val="00091BCE"/>
    <w:rsid w:val="00091BF6"/>
    <w:rsid w:val="000931C8"/>
    <w:rsid w:val="000937AB"/>
    <w:rsid w:val="000937E0"/>
    <w:rsid w:val="00093F6F"/>
    <w:rsid w:val="000943E4"/>
    <w:rsid w:val="00094657"/>
    <w:rsid w:val="000949D3"/>
    <w:rsid w:val="00094A6C"/>
    <w:rsid w:val="00094A78"/>
    <w:rsid w:val="0009653C"/>
    <w:rsid w:val="0009743A"/>
    <w:rsid w:val="000974F4"/>
    <w:rsid w:val="000A052A"/>
    <w:rsid w:val="000A09BA"/>
    <w:rsid w:val="000A1F10"/>
    <w:rsid w:val="000A301B"/>
    <w:rsid w:val="000A3F57"/>
    <w:rsid w:val="000A4D11"/>
    <w:rsid w:val="000A5B32"/>
    <w:rsid w:val="000A6E4D"/>
    <w:rsid w:val="000A7841"/>
    <w:rsid w:val="000B0616"/>
    <w:rsid w:val="000B0659"/>
    <w:rsid w:val="000B0815"/>
    <w:rsid w:val="000B09E5"/>
    <w:rsid w:val="000B0CE6"/>
    <w:rsid w:val="000B11FB"/>
    <w:rsid w:val="000B1200"/>
    <w:rsid w:val="000B175F"/>
    <w:rsid w:val="000B1A24"/>
    <w:rsid w:val="000B1E59"/>
    <w:rsid w:val="000B25CC"/>
    <w:rsid w:val="000B2CBE"/>
    <w:rsid w:val="000B36FD"/>
    <w:rsid w:val="000B460F"/>
    <w:rsid w:val="000B474D"/>
    <w:rsid w:val="000B52FA"/>
    <w:rsid w:val="000B5F1E"/>
    <w:rsid w:val="000B6201"/>
    <w:rsid w:val="000B62C7"/>
    <w:rsid w:val="000B690B"/>
    <w:rsid w:val="000B6D3A"/>
    <w:rsid w:val="000B7234"/>
    <w:rsid w:val="000B7447"/>
    <w:rsid w:val="000B75C1"/>
    <w:rsid w:val="000B7C4F"/>
    <w:rsid w:val="000B7E66"/>
    <w:rsid w:val="000C06FE"/>
    <w:rsid w:val="000C0FA1"/>
    <w:rsid w:val="000C106C"/>
    <w:rsid w:val="000C13A5"/>
    <w:rsid w:val="000C2FAC"/>
    <w:rsid w:val="000C36A8"/>
    <w:rsid w:val="000C4CBB"/>
    <w:rsid w:val="000C56B9"/>
    <w:rsid w:val="000C5ACF"/>
    <w:rsid w:val="000C5C6D"/>
    <w:rsid w:val="000C6742"/>
    <w:rsid w:val="000C69AE"/>
    <w:rsid w:val="000C6CB5"/>
    <w:rsid w:val="000C6CF3"/>
    <w:rsid w:val="000C72DC"/>
    <w:rsid w:val="000C7303"/>
    <w:rsid w:val="000C736E"/>
    <w:rsid w:val="000C75A5"/>
    <w:rsid w:val="000C7BB6"/>
    <w:rsid w:val="000D0538"/>
    <w:rsid w:val="000D0AB1"/>
    <w:rsid w:val="000D23F8"/>
    <w:rsid w:val="000D2516"/>
    <w:rsid w:val="000D26D5"/>
    <w:rsid w:val="000D2933"/>
    <w:rsid w:val="000D2B33"/>
    <w:rsid w:val="000D2BE7"/>
    <w:rsid w:val="000D3404"/>
    <w:rsid w:val="000D3407"/>
    <w:rsid w:val="000D377A"/>
    <w:rsid w:val="000D3942"/>
    <w:rsid w:val="000D3FA7"/>
    <w:rsid w:val="000D4203"/>
    <w:rsid w:val="000D49F5"/>
    <w:rsid w:val="000D4BEB"/>
    <w:rsid w:val="000D5449"/>
    <w:rsid w:val="000D6A1A"/>
    <w:rsid w:val="000D6C34"/>
    <w:rsid w:val="000D6D92"/>
    <w:rsid w:val="000D725A"/>
    <w:rsid w:val="000D740D"/>
    <w:rsid w:val="000D78E4"/>
    <w:rsid w:val="000E0B42"/>
    <w:rsid w:val="000E0EBA"/>
    <w:rsid w:val="000E1529"/>
    <w:rsid w:val="000E1EAF"/>
    <w:rsid w:val="000E1FB5"/>
    <w:rsid w:val="000E234B"/>
    <w:rsid w:val="000E2894"/>
    <w:rsid w:val="000E2B21"/>
    <w:rsid w:val="000E39DF"/>
    <w:rsid w:val="000E3CDC"/>
    <w:rsid w:val="000E4599"/>
    <w:rsid w:val="000E4CFE"/>
    <w:rsid w:val="000E5205"/>
    <w:rsid w:val="000E5295"/>
    <w:rsid w:val="000E5483"/>
    <w:rsid w:val="000E5EE9"/>
    <w:rsid w:val="000E632B"/>
    <w:rsid w:val="000E6968"/>
    <w:rsid w:val="000E76B3"/>
    <w:rsid w:val="000F04F4"/>
    <w:rsid w:val="000F26DE"/>
    <w:rsid w:val="000F3534"/>
    <w:rsid w:val="000F3EA1"/>
    <w:rsid w:val="000F47A8"/>
    <w:rsid w:val="000F5080"/>
    <w:rsid w:val="000F5EF4"/>
    <w:rsid w:val="000F5F76"/>
    <w:rsid w:val="000F61D1"/>
    <w:rsid w:val="000F68AF"/>
    <w:rsid w:val="000F6975"/>
    <w:rsid w:val="000F6B35"/>
    <w:rsid w:val="00100018"/>
    <w:rsid w:val="0010026D"/>
    <w:rsid w:val="0010055E"/>
    <w:rsid w:val="001006E1"/>
    <w:rsid w:val="001009FF"/>
    <w:rsid w:val="00100CE5"/>
    <w:rsid w:val="00100D97"/>
    <w:rsid w:val="001011A4"/>
    <w:rsid w:val="001017B7"/>
    <w:rsid w:val="0010212B"/>
    <w:rsid w:val="00102523"/>
    <w:rsid w:val="0010261A"/>
    <w:rsid w:val="00102767"/>
    <w:rsid w:val="00102869"/>
    <w:rsid w:val="001028F7"/>
    <w:rsid w:val="00102BA6"/>
    <w:rsid w:val="001033E1"/>
    <w:rsid w:val="0010358B"/>
    <w:rsid w:val="00103BC3"/>
    <w:rsid w:val="00103D0A"/>
    <w:rsid w:val="00103E44"/>
    <w:rsid w:val="00103EDE"/>
    <w:rsid w:val="001046B0"/>
    <w:rsid w:val="00104BB5"/>
    <w:rsid w:val="0010539A"/>
    <w:rsid w:val="001053A6"/>
    <w:rsid w:val="00106081"/>
    <w:rsid w:val="0010649F"/>
    <w:rsid w:val="0010683E"/>
    <w:rsid w:val="00107258"/>
    <w:rsid w:val="00107498"/>
    <w:rsid w:val="001077FA"/>
    <w:rsid w:val="00107C9F"/>
    <w:rsid w:val="00107F93"/>
    <w:rsid w:val="00110735"/>
    <w:rsid w:val="00110E74"/>
    <w:rsid w:val="0011239E"/>
    <w:rsid w:val="0011244D"/>
    <w:rsid w:val="00112882"/>
    <w:rsid w:val="00112CAC"/>
    <w:rsid w:val="00112E96"/>
    <w:rsid w:val="00114A6D"/>
    <w:rsid w:val="00114DE5"/>
    <w:rsid w:val="001152F5"/>
    <w:rsid w:val="00116D77"/>
    <w:rsid w:val="001179C1"/>
    <w:rsid w:val="00117C68"/>
    <w:rsid w:val="00117CA6"/>
    <w:rsid w:val="001202E6"/>
    <w:rsid w:val="00120CC7"/>
    <w:rsid w:val="00122FCA"/>
    <w:rsid w:val="00123862"/>
    <w:rsid w:val="00123B59"/>
    <w:rsid w:val="00123E2A"/>
    <w:rsid w:val="00124777"/>
    <w:rsid w:val="00124E8D"/>
    <w:rsid w:val="00124FB9"/>
    <w:rsid w:val="00125B7A"/>
    <w:rsid w:val="001260AA"/>
    <w:rsid w:val="001264C3"/>
    <w:rsid w:val="001269AE"/>
    <w:rsid w:val="00127D25"/>
    <w:rsid w:val="001301B6"/>
    <w:rsid w:val="001305A6"/>
    <w:rsid w:val="00131563"/>
    <w:rsid w:val="00131B05"/>
    <w:rsid w:val="00132228"/>
    <w:rsid w:val="00132AD1"/>
    <w:rsid w:val="00133033"/>
    <w:rsid w:val="0013308F"/>
    <w:rsid w:val="00133644"/>
    <w:rsid w:val="001342F2"/>
    <w:rsid w:val="001349B0"/>
    <w:rsid w:val="0013522E"/>
    <w:rsid w:val="0013588C"/>
    <w:rsid w:val="00135A23"/>
    <w:rsid w:val="00135E92"/>
    <w:rsid w:val="00136B98"/>
    <w:rsid w:val="00136DA4"/>
    <w:rsid w:val="001371FA"/>
    <w:rsid w:val="001401CC"/>
    <w:rsid w:val="00140F18"/>
    <w:rsid w:val="00140F61"/>
    <w:rsid w:val="00141B03"/>
    <w:rsid w:val="00142979"/>
    <w:rsid w:val="00142ABD"/>
    <w:rsid w:val="00142EDB"/>
    <w:rsid w:val="00142EF8"/>
    <w:rsid w:val="001434EA"/>
    <w:rsid w:val="00143814"/>
    <w:rsid w:val="001445AC"/>
    <w:rsid w:val="00144B67"/>
    <w:rsid w:val="00144BF2"/>
    <w:rsid w:val="00144CF0"/>
    <w:rsid w:val="0014585D"/>
    <w:rsid w:val="00145944"/>
    <w:rsid w:val="00145AD1"/>
    <w:rsid w:val="001462A0"/>
    <w:rsid w:val="00146314"/>
    <w:rsid w:val="001466F3"/>
    <w:rsid w:val="00146C11"/>
    <w:rsid w:val="00147195"/>
    <w:rsid w:val="001506E4"/>
    <w:rsid w:val="00150706"/>
    <w:rsid w:val="00150D38"/>
    <w:rsid w:val="00151260"/>
    <w:rsid w:val="001514CB"/>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54D"/>
    <w:rsid w:val="00163645"/>
    <w:rsid w:val="001643F8"/>
    <w:rsid w:val="00164880"/>
    <w:rsid w:val="00164FAD"/>
    <w:rsid w:val="00165DB5"/>
    <w:rsid w:val="00165FF0"/>
    <w:rsid w:val="00166023"/>
    <w:rsid w:val="001668BD"/>
    <w:rsid w:val="00170EFE"/>
    <w:rsid w:val="00171D9C"/>
    <w:rsid w:val="00171F8E"/>
    <w:rsid w:val="0017211C"/>
    <w:rsid w:val="0017216E"/>
    <w:rsid w:val="0017293F"/>
    <w:rsid w:val="00172AEE"/>
    <w:rsid w:val="00173987"/>
    <w:rsid w:val="0017483F"/>
    <w:rsid w:val="00174C24"/>
    <w:rsid w:val="00175539"/>
    <w:rsid w:val="00175890"/>
    <w:rsid w:val="00176340"/>
    <w:rsid w:val="00176AE7"/>
    <w:rsid w:val="00176CB6"/>
    <w:rsid w:val="00176E98"/>
    <w:rsid w:val="00177307"/>
    <w:rsid w:val="00180811"/>
    <w:rsid w:val="001808E6"/>
    <w:rsid w:val="00180AEF"/>
    <w:rsid w:val="00180AFF"/>
    <w:rsid w:val="0018154E"/>
    <w:rsid w:val="00181FCA"/>
    <w:rsid w:val="001820C4"/>
    <w:rsid w:val="001824F0"/>
    <w:rsid w:val="00182A2B"/>
    <w:rsid w:val="00182A94"/>
    <w:rsid w:val="00182C1A"/>
    <w:rsid w:val="00182D63"/>
    <w:rsid w:val="00182F27"/>
    <w:rsid w:val="00183392"/>
    <w:rsid w:val="0018398A"/>
    <w:rsid w:val="00183D5F"/>
    <w:rsid w:val="00183EA5"/>
    <w:rsid w:val="00183FAF"/>
    <w:rsid w:val="00184502"/>
    <w:rsid w:val="001845D5"/>
    <w:rsid w:val="00184F42"/>
    <w:rsid w:val="001850C5"/>
    <w:rsid w:val="0018526D"/>
    <w:rsid w:val="00185A12"/>
    <w:rsid w:val="00185BF6"/>
    <w:rsid w:val="00185D08"/>
    <w:rsid w:val="00186C81"/>
    <w:rsid w:val="00186DF9"/>
    <w:rsid w:val="00187C04"/>
    <w:rsid w:val="00187C31"/>
    <w:rsid w:val="00190983"/>
    <w:rsid w:val="00190D65"/>
    <w:rsid w:val="0019151C"/>
    <w:rsid w:val="00191AA6"/>
    <w:rsid w:val="00191AB6"/>
    <w:rsid w:val="00191EFD"/>
    <w:rsid w:val="00191F79"/>
    <w:rsid w:val="0019213B"/>
    <w:rsid w:val="0019232E"/>
    <w:rsid w:val="0019239F"/>
    <w:rsid w:val="001923B5"/>
    <w:rsid w:val="001924F6"/>
    <w:rsid w:val="00192CDB"/>
    <w:rsid w:val="00193D9B"/>
    <w:rsid w:val="00193F20"/>
    <w:rsid w:val="0019413C"/>
    <w:rsid w:val="001941E4"/>
    <w:rsid w:val="00195CF2"/>
    <w:rsid w:val="00195FB3"/>
    <w:rsid w:val="001965AA"/>
    <w:rsid w:val="0019667B"/>
    <w:rsid w:val="001968E4"/>
    <w:rsid w:val="001971AE"/>
    <w:rsid w:val="00197278"/>
    <w:rsid w:val="00197392"/>
    <w:rsid w:val="00197EC3"/>
    <w:rsid w:val="00197FB1"/>
    <w:rsid w:val="001A0601"/>
    <w:rsid w:val="001A0BB0"/>
    <w:rsid w:val="001A17F4"/>
    <w:rsid w:val="001A1837"/>
    <w:rsid w:val="001A18A9"/>
    <w:rsid w:val="001A1C51"/>
    <w:rsid w:val="001A236F"/>
    <w:rsid w:val="001A28BA"/>
    <w:rsid w:val="001A3051"/>
    <w:rsid w:val="001A3387"/>
    <w:rsid w:val="001A3BD4"/>
    <w:rsid w:val="001A4493"/>
    <w:rsid w:val="001A4589"/>
    <w:rsid w:val="001A4951"/>
    <w:rsid w:val="001A5350"/>
    <w:rsid w:val="001A5398"/>
    <w:rsid w:val="001A59AF"/>
    <w:rsid w:val="001A6777"/>
    <w:rsid w:val="001A6C6D"/>
    <w:rsid w:val="001A718F"/>
    <w:rsid w:val="001A75B9"/>
    <w:rsid w:val="001B18C3"/>
    <w:rsid w:val="001B20E4"/>
    <w:rsid w:val="001B2FCD"/>
    <w:rsid w:val="001B3285"/>
    <w:rsid w:val="001B370A"/>
    <w:rsid w:val="001B3E1C"/>
    <w:rsid w:val="001B4165"/>
    <w:rsid w:val="001B44DB"/>
    <w:rsid w:val="001B5EA6"/>
    <w:rsid w:val="001C0F05"/>
    <w:rsid w:val="001C110F"/>
    <w:rsid w:val="001C15B0"/>
    <w:rsid w:val="001C239A"/>
    <w:rsid w:val="001C2EE5"/>
    <w:rsid w:val="001C486C"/>
    <w:rsid w:val="001C4B35"/>
    <w:rsid w:val="001C4CCF"/>
    <w:rsid w:val="001C501A"/>
    <w:rsid w:val="001C5CC2"/>
    <w:rsid w:val="001C6573"/>
    <w:rsid w:val="001C67CF"/>
    <w:rsid w:val="001C6BA6"/>
    <w:rsid w:val="001C726D"/>
    <w:rsid w:val="001C78CA"/>
    <w:rsid w:val="001D01FB"/>
    <w:rsid w:val="001D0221"/>
    <w:rsid w:val="001D0BF2"/>
    <w:rsid w:val="001D13AD"/>
    <w:rsid w:val="001D15E5"/>
    <w:rsid w:val="001D2381"/>
    <w:rsid w:val="001D2CE9"/>
    <w:rsid w:val="001D34AF"/>
    <w:rsid w:val="001D3E63"/>
    <w:rsid w:val="001D40DA"/>
    <w:rsid w:val="001D419F"/>
    <w:rsid w:val="001D6081"/>
    <w:rsid w:val="001D6F2E"/>
    <w:rsid w:val="001D71BC"/>
    <w:rsid w:val="001D755A"/>
    <w:rsid w:val="001E0367"/>
    <w:rsid w:val="001E11E2"/>
    <w:rsid w:val="001E27FB"/>
    <w:rsid w:val="001E2B1A"/>
    <w:rsid w:val="001E3519"/>
    <w:rsid w:val="001E373E"/>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1E88"/>
    <w:rsid w:val="001F1FBC"/>
    <w:rsid w:val="001F2337"/>
    <w:rsid w:val="001F367C"/>
    <w:rsid w:val="001F4EB9"/>
    <w:rsid w:val="001F4FDB"/>
    <w:rsid w:val="001F540A"/>
    <w:rsid w:val="001F5D2F"/>
    <w:rsid w:val="001F5E20"/>
    <w:rsid w:val="001F5FA3"/>
    <w:rsid w:val="001F60AC"/>
    <w:rsid w:val="001F6E1E"/>
    <w:rsid w:val="001F6F0C"/>
    <w:rsid w:val="001F74B9"/>
    <w:rsid w:val="001F7F82"/>
    <w:rsid w:val="002002AA"/>
    <w:rsid w:val="002003C3"/>
    <w:rsid w:val="002018B7"/>
    <w:rsid w:val="002019D1"/>
    <w:rsid w:val="00201E8F"/>
    <w:rsid w:val="002023B3"/>
    <w:rsid w:val="0020261A"/>
    <w:rsid w:val="00202CDB"/>
    <w:rsid w:val="00203052"/>
    <w:rsid w:val="0020345B"/>
    <w:rsid w:val="00204381"/>
    <w:rsid w:val="00204779"/>
    <w:rsid w:val="00204799"/>
    <w:rsid w:val="00204EBE"/>
    <w:rsid w:val="002051EA"/>
    <w:rsid w:val="0020577A"/>
    <w:rsid w:val="002060C2"/>
    <w:rsid w:val="002065D1"/>
    <w:rsid w:val="00207674"/>
    <w:rsid w:val="002076D5"/>
    <w:rsid w:val="0021016E"/>
    <w:rsid w:val="002111F3"/>
    <w:rsid w:val="002117F4"/>
    <w:rsid w:val="002118E8"/>
    <w:rsid w:val="00212024"/>
    <w:rsid w:val="00212116"/>
    <w:rsid w:val="00212798"/>
    <w:rsid w:val="00213180"/>
    <w:rsid w:val="002136EF"/>
    <w:rsid w:val="00213D58"/>
    <w:rsid w:val="00213EB4"/>
    <w:rsid w:val="002142CA"/>
    <w:rsid w:val="0021481A"/>
    <w:rsid w:val="00214D1A"/>
    <w:rsid w:val="00214EEA"/>
    <w:rsid w:val="00215254"/>
    <w:rsid w:val="00215ADA"/>
    <w:rsid w:val="00216326"/>
    <w:rsid w:val="002165EF"/>
    <w:rsid w:val="00216648"/>
    <w:rsid w:val="00216651"/>
    <w:rsid w:val="00216AAD"/>
    <w:rsid w:val="00216C9A"/>
    <w:rsid w:val="00216D51"/>
    <w:rsid w:val="00217096"/>
    <w:rsid w:val="00217C7A"/>
    <w:rsid w:val="00217E93"/>
    <w:rsid w:val="0022027B"/>
    <w:rsid w:val="00220699"/>
    <w:rsid w:val="00220CF8"/>
    <w:rsid w:val="00220D8D"/>
    <w:rsid w:val="0022151A"/>
    <w:rsid w:val="002215FD"/>
    <w:rsid w:val="002216C7"/>
    <w:rsid w:val="00221DF7"/>
    <w:rsid w:val="00221E48"/>
    <w:rsid w:val="00222228"/>
    <w:rsid w:val="00222370"/>
    <w:rsid w:val="00223892"/>
    <w:rsid w:val="00223940"/>
    <w:rsid w:val="00223C8D"/>
    <w:rsid w:val="00223F09"/>
    <w:rsid w:val="002245C8"/>
    <w:rsid w:val="0022465E"/>
    <w:rsid w:val="00225164"/>
    <w:rsid w:val="00225168"/>
    <w:rsid w:val="002300A7"/>
    <w:rsid w:val="0023041D"/>
    <w:rsid w:val="00231385"/>
    <w:rsid w:val="002316E9"/>
    <w:rsid w:val="002326C1"/>
    <w:rsid w:val="00232A8A"/>
    <w:rsid w:val="00233032"/>
    <w:rsid w:val="002332F7"/>
    <w:rsid w:val="00233986"/>
    <w:rsid w:val="00233D50"/>
    <w:rsid w:val="002346AA"/>
    <w:rsid w:val="00234798"/>
    <w:rsid w:val="002379C9"/>
    <w:rsid w:val="00240C3D"/>
    <w:rsid w:val="00240D9B"/>
    <w:rsid w:val="002413A5"/>
    <w:rsid w:val="00241F2B"/>
    <w:rsid w:val="002421FC"/>
    <w:rsid w:val="00242676"/>
    <w:rsid w:val="00243641"/>
    <w:rsid w:val="0024415B"/>
    <w:rsid w:val="00244642"/>
    <w:rsid w:val="00244D15"/>
    <w:rsid w:val="00244E1B"/>
    <w:rsid w:val="00245474"/>
    <w:rsid w:val="00245EC9"/>
    <w:rsid w:val="002462FC"/>
    <w:rsid w:val="00246417"/>
    <w:rsid w:val="00246A01"/>
    <w:rsid w:val="0024752F"/>
    <w:rsid w:val="00247C3E"/>
    <w:rsid w:val="002500E6"/>
    <w:rsid w:val="00250302"/>
    <w:rsid w:val="002503BA"/>
    <w:rsid w:val="00251005"/>
    <w:rsid w:val="0025173F"/>
    <w:rsid w:val="00251963"/>
    <w:rsid w:val="00251F57"/>
    <w:rsid w:val="0025220D"/>
    <w:rsid w:val="002529E3"/>
    <w:rsid w:val="00252E78"/>
    <w:rsid w:val="0025359A"/>
    <w:rsid w:val="00253D47"/>
    <w:rsid w:val="00254098"/>
    <w:rsid w:val="0025458F"/>
    <w:rsid w:val="002545AB"/>
    <w:rsid w:val="00254667"/>
    <w:rsid w:val="0025469B"/>
    <w:rsid w:val="00254F00"/>
    <w:rsid w:val="00255101"/>
    <w:rsid w:val="002553EF"/>
    <w:rsid w:val="0025556C"/>
    <w:rsid w:val="002555A1"/>
    <w:rsid w:val="002557F9"/>
    <w:rsid w:val="002559EF"/>
    <w:rsid w:val="0025637F"/>
    <w:rsid w:val="002567D3"/>
    <w:rsid w:val="00256C8E"/>
    <w:rsid w:val="002572C6"/>
    <w:rsid w:val="00257669"/>
    <w:rsid w:val="00257837"/>
    <w:rsid w:val="00257E60"/>
    <w:rsid w:val="002605A7"/>
    <w:rsid w:val="00260847"/>
    <w:rsid w:val="0026101F"/>
    <w:rsid w:val="00261653"/>
    <w:rsid w:val="0026189C"/>
    <w:rsid w:val="00262391"/>
    <w:rsid w:val="00262B43"/>
    <w:rsid w:val="0026368D"/>
    <w:rsid w:val="00263A27"/>
    <w:rsid w:val="0026424C"/>
    <w:rsid w:val="002642FC"/>
    <w:rsid w:val="0026495C"/>
    <w:rsid w:val="0026544D"/>
    <w:rsid w:val="00266AF5"/>
    <w:rsid w:val="00266D04"/>
    <w:rsid w:val="002674FC"/>
    <w:rsid w:val="00267867"/>
    <w:rsid w:val="002701ED"/>
    <w:rsid w:val="0027076E"/>
    <w:rsid w:val="002715E5"/>
    <w:rsid w:val="00271642"/>
    <w:rsid w:val="00271AF4"/>
    <w:rsid w:val="00272747"/>
    <w:rsid w:val="00272812"/>
    <w:rsid w:val="002734B2"/>
    <w:rsid w:val="00273557"/>
    <w:rsid w:val="00273AF1"/>
    <w:rsid w:val="00273EB1"/>
    <w:rsid w:val="002742C4"/>
    <w:rsid w:val="0027457A"/>
    <w:rsid w:val="00274757"/>
    <w:rsid w:val="0027478C"/>
    <w:rsid w:val="002747FE"/>
    <w:rsid w:val="002749F4"/>
    <w:rsid w:val="00274CEA"/>
    <w:rsid w:val="00276E87"/>
    <w:rsid w:val="00280101"/>
    <w:rsid w:val="00280569"/>
    <w:rsid w:val="0028159B"/>
    <w:rsid w:val="00283343"/>
    <w:rsid w:val="00283475"/>
    <w:rsid w:val="002841B8"/>
    <w:rsid w:val="002843A3"/>
    <w:rsid w:val="00284488"/>
    <w:rsid w:val="00284996"/>
    <w:rsid w:val="00284D15"/>
    <w:rsid w:val="00285044"/>
    <w:rsid w:val="002852B7"/>
    <w:rsid w:val="0028534D"/>
    <w:rsid w:val="00285594"/>
    <w:rsid w:val="00285654"/>
    <w:rsid w:val="00285B0D"/>
    <w:rsid w:val="00285BC7"/>
    <w:rsid w:val="00286274"/>
    <w:rsid w:val="0028636E"/>
    <w:rsid w:val="00286740"/>
    <w:rsid w:val="00286AC4"/>
    <w:rsid w:val="00286EC3"/>
    <w:rsid w:val="00287F6C"/>
    <w:rsid w:val="00290163"/>
    <w:rsid w:val="002907AE"/>
    <w:rsid w:val="00290876"/>
    <w:rsid w:val="00290C55"/>
    <w:rsid w:val="00290EE6"/>
    <w:rsid w:val="00291D09"/>
    <w:rsid w:val="00292884"/>
    <w:rsid w:val="00292971"/>
    <w:rsid w:val="00292EC1"/>
    <w:rsid w:val="00293051"/>
    <w:rsid w:val="0029338A"/>
    <w:rsid w:val="00293D1E"/>
    <w:rsid w:val="00294726"/>
    <w:rsid w:val="0029481A"/>
    <w:rsid w:val="00294B02"/>
    <w:rsid w:val="00294D83"/>
    <w:rsid w:val="0029593D"/>
    <w:rsid w:val="00295C97"/>
    <w:rsid w:val="002961BB"/>
    <w:rsid w:val="00296700"/>
    <w:rsid w:val="002968B1"/>
    <w:rsid w:val="002968FE"/>
    <w:rsid w:val="00296F46"/>
    <w:rsid w:val="0029717D"/>
    <w:rsid w:val="00297C07"/>
    <w:rsid w:val="002A1277"/>
    <w:rsid w:val="002A1772"/>
    <w:rsid w:val="002A22D6"/>
    <w:rsid w:val="002A24ED"/>
    <w:rsid w:val="002A29F2"/>
    <w:rsid w:val="002A3C2E"/>
    <w:rsid w:val="002A4706"/>
    <w:rsid w:val="002A4845"/>
    <w:rsid w:val="002A50A9"/>
    <w:rsid w:val="002A5F57"/>
    <w:rsid w:val="002A6CBF"/>
    <w:rsid w:val="002A6D63"/>
    <w:rsid w:val="002A748F"/>
    <w:rsid w:val="002B02E8"/>
    <w:rsid w:val="002B0384"/>
    <w:rsid w:val="002B1377"/>
    <w:rsid w:val="002B14CD"/>
    <w:rsid w:val="002B2304"/>
    <w:rsid w:val="002B25DE"/>
    <w:rsid w:val="002B2668"/>
    <w:rsid w:val="002B2B8E"/>
    <w:rsid w:val="002B2EF8"/>
    <w:rsid w:val="002B3E0D"/>
    <w:rsid w:val="002B3E89"/>
    <w:rsid w:val="002B484C"/>
    <w:rsid w:val="002B4D3E"/>
    <w:rsid w:val="002B5D34"/>
    <w:rsid w:val="002B6133"/>
    <w:rsid w:val="002B695A"/>
    <w:rsid w:val="002B6BB4"/>
    <w:rsid w:val="002B73E2"/>
    <w:rsid w:val="002B7904"/>
    <w:rsid w:val="002B79DA"/>
    <w:rsid w:val="002B7F97"/>
    <w:rsid w:val="002C0110"/>
    <w:rsid w:val="002C096A"/>
    <w:rsid w:val="002C0EAA"/>
    <w:rsid w:val="002C12D6"/>
    <w:rsid w:val="002C18B7"/>
    <w:rsid w:val="002C1B26"/>
    <w:rsid w:val="002C2001"/>
    <w:rsid w:val="002C23BF"/>
    <w:rsid w:val="002C24D7"/>
    <w:rsid w:val="002C286D"/>
    <w:rsid w:val="002C2CAC"/>
    <w:rsid w:val="002C2F4E"/>
    <w:rsid w:val="002C30BA"/>
    <w:rsid w:val="002C33B7"/>
    <w:rsid w:val="002C3578"/>
    <w:rsid w:val="002C3ED6"/>
    <w:rsid w:val="002C418B"/>
    <w:rsid w:val="002C4201"/>
    <w:rsid w:val="002C468E"/>
    <w:rsid w:val="002C4D33"/>
    <w:rsid w:val="002C522A"/>
    <w:rsid w:val="002C64F3"/>
    <w:rsid w:val="002C6996"/>
    <w:rsid w:val="002C69F6"/>
    <w:rsid w:val="002C6C5B"/>
    <w:rsid w:val="002C734D"/>
    <w:rsid w:val="002C7537"/>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608C"/>
    <w:rsid w:val="002D6978"/>
    <w:rsid w:val="002D6A0C"/>
    <w:rsid w:val="002D6A9D"/>
    <w:rsid w:val="002D72DE"/>
    <w:rsid w:val="002D7651"/>
    <w:rsid w:val="002D7BAD"/>
    <w:rsid w:val="002D7BFC"/>
    <w:rsid w:val="002E029F"/>
    <w:rsid w:val="002E130D"/>
    <w:rsid w:val="002E1ADD"/>
    <w:rsid w:val="002E1EDB"/>
    <w:rsid w:val="002E20E4"/>
    <w:rsid w:val="002E2255"/>
    <w:rsid w:val="002E2470"/>
    <w:rsid w:val="002E2C27"/>
    <w:rsid w:val="002E2D64"/>
    <w:rsid w:val="002E339C"/>
    <w:rsid w:val="002E4150"/>
    <w:rsid w:val="002E43D0"/>
    <w:rsid w:val="002E49A6"/>
    <w:rsid w:val="002E6EAB"/>
    <w:rsid w:val="002E7C82"/>
    <w:rsid w:val="002E7F57"/>
    <w:rsid w:val="002F013B"/>
    <w:rsid w:val="002F0511"/>
    <w:rsid w:val="002F094A"/>
    <w:rsid w:val="002F0B31"/>
    <w:rsid w:val="002F0FD4"/>
    <w:rsid w:val="002F1E94"/>
    <w:rsid w:val="002F209C"/>
    <w:rsid w:val="002F2AA4"/>
    <w:rsid w:val="002F343A"/>
    <w:rsid w:val="002F37A8"/>
    <w:rsid w:val="002F3E25"/>
    <w:rsid w:val="002F4E32"/>
    <w:rsid w:val="002F5021"/>
    <w:rsid w:val="002F50A5"/>
    <w:rsid w:val="002F5497"/>
    <w:rsid w:val="002F56B6"/>
    <w:rsid w:val="002F6391"/>
    <w:rsid w:val="002F68B7"/>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BE4"/>
    <w:rsid w:val="00301E6A"/>
    <w:rsid w:val="00302CD2"/>
    <w:rsid w:val="0030300D"/>
    <w:rsid w:val="00303208"/>
    <w:rsid w:val="00303427"/>
    <w:rsid w:val="0030350B"/>
    <w:rsid w:val="00303543"/>
    <w:rsid w:val="00303716"/>
    <w:rsid w:val="00303BB4"/>
    <w:rsid w:val="00304129"/>
    <w:rsid w:val="00304DDA"/>
    <w:rsid w:val="00304EE1"/>
    <w:rsid w:val="003058B3"/>
    <w:rsid w:val="00305CF4"/>
    <w:rsid w:val="00305F56"/>
    <w:rsid w:val="00307BFD"/>
    <w:rsid w:val="00307E09"/>
    <w:rsid w:val="00307E4B"/>
    <w:rsid w:val="00307F21"/>
    <w:rsid w:val="00310430"/>
    <w:rsid w:val="00310DD9"/>
    <w:rsid w:val="003114FA"/>
    <w:rsid w:val="00311BEA"/>
    <w:rsid w:val="00311D79"/>
    <w:rsid w:val="00312B38"/>
    <w:rsid w:val="00313799"/>
    <w:rsid w:val="00313907"/>
    <w:rsid w:val="00313A44"/>
    <w:rsid w:val="00313E37"/>
    <w:rsid w:val="00314D1E"/>
    <w:rsid w:val="00315241"/>
    <w:rsid w:val="003153BB"/>
    <w:rsid w:val="003159D9"/>
    <w:rsid w:val="00315C67"/>
    <w:rsid w:val="00316AA0"/>
    <w:rsid w:val="0031729F"/>
    <w:rsid w:val="003174F8"/>
    <w:rsid w:val="00317FD8"/>
    <w:rsid w:val="00320B2A"/>
    <w:rsid w:val="00320DB5"/>
    <w:rsid w:val="00320F20"/>
    <w:rsid w:val="00320F3E"/>
    <w:rsid w:val="00321558"/>
    <w:rsid w:val="00321743"/>
    <w:rsid w:val="00322BE4"/>
    <w:rsid w:val="00322FA8"/>
    <w:rsid w:val="00324DD1"/>
    <w:rsid w:val="00325472"/>
    <w:rsid w:val="00325769"/>
    <w:rsid w:val="00325AC3"/>
    <w:rsid w:val="00326155"/>
    <w:rsid w:val="00326B55"/>
    <w:rsid w:val="00327337"/>
    <w:rsid w:val="00327425"/>
    <w:rsid w:val="00327D17"/>
    <w:rsid w:val="00330509"/>
    <w:rsid w:val="003308A9"/>
    <w:rsid w:val="00330C3B"/>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244"/>
    <w:rsid w:val="00337793"/>
    <w:rsid w:val="00337863"/>
    <w:rsid w:val="00337CA7"/>
    <w:rsid w:val="00340694"/>
    <w:rsid w:val="00340786"/>
    <w:rsid w:val="00340CE0"/>
    <w:rsid w:val="003418A7"/>
    <w:rsid w:val="00342205"/>
    <w:rsid w:val="003423EB"/>
    <w:rsid w:val="003429F1"/>
    <w:rsid w:val="00342B71"/>
    <w:rsid w:val="00342EDD"/>
    <w:rsid w:val="0034309B"/>
    <w:rsid w:val="00343737"/>
    <w:rsid w:val="00344353"/>
    <w:rsid w:val="00344B38"/>
    <w:rsid w:val="00344E8A"/>
    <w:rsid w:val="003459AC"/>
    <w:rsid w:val="003464BD"/>
    <w:rsid w:val="00346E32"/>
    <w:rsid w:val="0034755B"/>
    <w:rsid w:val="00350336"/>
    <w:rsid w:val="00351159"/>
    <w:rsid w:val="00351513"/>
    <w:rsid w:val="0035156A"/>
    <w:rsid w:val="00351BD9"/>
    <w:rsid w:val="00351E7D"/>
    <w:rsid w:val="00352C2B"/>
    <w:rsid w:val="00352F76"/>
    <w:rsid w:val="0035338B"/>
    <w:rsid w:val="003533A4"/>
    <w:rsid w:val="0035368F"/>
    <w:rsid w:val="00353940"/>
    <w:rsid w:val="00354E8D"/>
    <w:rsid w:val="0035525B"/>
    <w:rsid w:val="003554A7"/>
    <w:rsid w:val="00355C2D"/>
    <w:rsid w:val="003561B4"/>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486"/>
    <w:rsid w:val="00364563"/>
    <w:rsid w:val="00365690"/>
    <w:rsid w:val="0036577B"/>
    <w:rsid w:val="00365959"/>
    <w:rsid w:val="00365F5D"/>
    <w:rsid w:val="0036700F"/>
    <w:rsid w:val="003674D9"/>
    <w:rsid w:val="00367850"/>
    <w:rsid w:val="0037017F"/>
    <w:rsid w:val="00370377"/>
    <w:rsid w:val="00371384"/>
    <w:rsid w:val="00371EEF"/>
    <w:rsid w:val="00372965"/>
    <w:rsid w:val="00372C6F"/>
    <w:rsid w:val="00373E32"/>
    <w:rsid w:val="003748CB"/>
    <w:rsid w:val="00374CB3"/>
    <w:rsid w:val="00374F80"/>
    <w:rsid w:val="00375136"/>
    <w:rsid w:val="00375C31"/>
    <w:rsid w:val="00376467"/>
    <w:rsid w:val="00376A38"/>
    <w:rsid w:val="00377E04"/>
    <w:rsid w:val="00377FA0"/>
    <w:rsid w:val="00380F3E"/>
    <w:rsid w:val="00380F49"/>
    <w:rsid w:val="003810AB"/>
    <w:rsid w:val="00381745"/>
    <w:rsid w:val="00381764"/>
    <w:rsid w:val="0038363F"/>
    <w:rsid w:val="00383E33"/>
    <w:rsid w:val="003849E0"/>
    <w:rsid w:val="00384B03"/>
    <w:rsid w:val="00384DDA"/>
    <w:rsid w:val="00385055"/>
    <w:rsid w:val="003854E9"/>
    <w:rsid w:val="0038577D"/>
    <w:rsid w:val="00385B71"/>
    <w:rsid w:val="00385C8A"/>
    <w:rsid w:val="0038746F"/>
    <w:rsid w:val="00390575"/>
    <w:rsid w:val="003906CD"/>
    <w:rsid w:val="00391125"/>
    <w:rsid w:val="00391F0E"/>
    <w:rsid w:val="003922B1"/>
    <w:rsid w:val="0039296F"/>
    <w:rsid w:val="003930B5"/>
    <w:rsid w:val="0039334A"/>
    <w:rsid w:val="00393468"/>
    <w:rsid w:val="00393585"/>
    <w:rsid w:val="003935B9"/>
    <w:rsid w:val="00394407"/>
    <w:rsid w:val="00395CCF"/>
    <w:rsid w:val="00396338"/>
    <w:rsid w:val="00396349"/>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8E7"/>
    <w:rsid w:val="003A39C7"/>
    <w:rsid w:val="003A3AC4"/>
    <w:rsid w:val="003A3D0E"/>
    <w:rsid w:val="003A3D9A"/>
    <w:rsid w:val="003A409D"/>
    <w:rsid w:val="003A4129"/>
    <w:rsid w:val="003A420E"/>
    <w:rsid w:val="003A4801"/>
    <w:rsid w:val="003A48A3"/>
    <w:rsid w:val="003A4AAF"/>
    <w:rsid w:val="003A4B2E"/>
    <w:rsid w:val="003A54BC"/>
    <w:rsid w:val="003A5737"/>
    <w:rsid w:val="003A58AF"/>
    <w:rsid w:val="003A636B"/>
    <w:rsid w:val="003A774B"/>
    <w:rsid w:val="003B019B"/>
    <w:rsid w:val="003B01E4"/>
    <w:rsid w:val="003B088E"/>
    <w:rsid w:val="003B1F25"/>
    <w:rsid w:val="003B2695"/>
    <w:rsid w:val="003B2E07"/>
    <w:rsid w:val="003B3951"/>
    <w:rsid w:val="003B3BDF"/>
    <w:rsid w:val="003B44AF"/>
    <w:rsid w:val="003B4787"/>
    <w:rsid w:val="003B4F0C"/>
    <w:rsid w:val="003B50BA"/>
    <w:rsid w:val="003B543E"/>
    <w:rsid w:val="003B5452"/>
    <w:rsid w:val="003B5717"/>
    <w:rsid w:val="003B5B2E"/>
    <w:rsid w:val="003B5CAF"/>
    <w:rsid w:val="003B6124"/>
    <w:rsid w:val="003B6534"/>
    <w:rsid w:val="003B6D41"/>
    <w:rsid w:val="003B7594"/>
    <w:rsid w:val="003B7749"/>
    <w:rsid w:val="003B7C7B"/>
    <w:rsid w:val="003C055F"/>
    <w:rsid w:val="003C0E58"/>
    <w:rsid w:val="003C11A7"/>
    <w:rsid w:val="003C14B1"/>
    <w:rsid w:val="003C1505"/>
    <w:rsid w:val="003C1591"/>
    <w:rsid w:val="003C199E"/>
    <w:rsid w:val="003C2280"/>
    <w:rsid w:val="003C2AA7"/>
    <w:rsid w:val="003C2F47"/>
    <w:rsid w:val="003C417E"/>
    <w:rsid w:val="003C44D1"/>
    <w:rsid w:val="003C4733"/>
    <w:rsid w:val="003C4F06"/>
    <w:rsid w:val="003C5A14"/>
    <w:rsid w:val="003C5DE7"/>
    <w:rsid w:val="003C6080"/>
    <w:rsid w:val="003C6592"/>
    <w:rsid w:val="003C667C"/>
    <w:rsid w:val="003C71EB"/>
    <w:rsid w:val="003C7651"/>
    <w:rsid w:val="003C7879"/>
    <w:rsid w:val="003C79DB"/>
    <w:rsid w:val="003D067C"/>
    <w:rsid w:val="003D0906"/>
    <w:rsid w:val="003D13D8"/>
    <w:rsid w:val="003D15B7"/>
    <w:rsid w:val="003D15ED"/>
    <w:rsid w:val="003D1608"/>
    <w:rsid w:val="003D2486"/>
    <w:rsid w:val="003D2A35"/>
    <w:rsid w:val="003D321B"/>
    <w:rsid w:val="003D35FA"/>
    <w:rsid w:val="003D39EF"/>
    <w:rsid w:val="003D3CCD"/>
    <w:rsid w:val="003D41BA"/>
    <w:rsid w:val="003D41C7"/>
    <w:rsid w:val="003D420B"/>
    <w:rsid w:val="003D4CC1"/>
    <w:rsid w:val="003D529E"/>
    <w:rsid w:val="003D5F69"/>
    <w:rsid w:val="003D6474"/>
    <w:rsid w:val="003D664F"/>
    <w:rsid w:val="003D6670"/>
    <w:rsid w:val="003D6A09"/>
    <w:rsid w:val="003D6F67"/>
    <w:rsid w:val="003D707F"/>
    <w:rsid w:val="003D71D5"/>
    <w:rsid w:val="003D74EF"/>
    <w:rsid w:val="003D7671"/>
    <w:rsid w:val="003E070A"/>
    <w:rsid w:val="003E098F"/>
    <w:rsid w:val="003E0CAF"/>
    <w:rsid w:val="003E1122"/>
    <w:rsid w:val="003E12C9"/>
    <w:rsid w:val="003E1604"/>
    <w:rsid w:val="003E1766"/>
    <w:rsid w:val="003E18F5"/>
    <w:rsid w:val="003E1A61"/>
    <w:rsid w:val="003E279B"/>
    <w:rsid w:val="003E2AB7"/>
    <w:rsid w:val="003E2F36"/>
    <w:rsid w:val="003E2FB3"/>
    <w:rsid w:val="003E37A0"/>
    <w:rsid w:val="003E393E"/>
    <w:rsid w:val="003E3CFE"/>
    <w:rsid w:val="003E507E"/>
    <w:rsid w:val="003E5198"/>
    <w:rsid w:val="003E5394"/>
    <w:rsid w:val="003E678B"/>
    <w:rsid w:val="003E6D93"/>
    <w:rsid w:val="003E74C0"/>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2C16"/>
    <w:rsid w:val="003F2C83"/>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0B98"/>
    <w:rsid w:val="00401262"/>
    <w:rsid w:val="00401B6E"/>
    <w:rsid w:val="00401C0F"/>
    <w:rsid w:val="0040291B"/>
    <w:rsid w:val="00404123"/>
    <w:rsid w:val="00404B91"/>
    <w:rsid w:val="00404BB2"/>
    <w:rsid w:val="00404BF1"/>
    <w:rsid w:val="0040541F"/>
    <w:rsid w:val="00405424"/>
    <w:rsid w:val="00405C8A"/>
    <w:rsid w:val="00406889"/>
    <w:rsid w:val="00406DEE"/>
    <w:rsid w:val="004072DC"/>
    <w:rsid w:val="00407BE4"/>
    <w:rsid w:val="00407C6C"/>
    <w:rsid w:val="00410081"/>
    <w:rsid w:val="00410E96"/>
    <w:rsid w:val="00411C1D"/>
    <w:rsid w:val="0041242B"/>
    <w:rsid w:val="00412A04"/>
    <w:rsid w:val="00412C22"/>
    <w:rsid w:val="00412DB7"/>
    <w:rsid w:val="00412E59"/>
    <w:rsid w:val="0041307A"/>
    <w:rsid w:val="00413397"/>
    <w:rsid w:val="004133B1"/>
    <w:rsid w:val="00413D02"/>
    <w:rsid w:val="00413DF7"/>
    <w:rsid w:val="004141EF"/>
    <w:rsid w:val="004150A8"/>
    <w:rsid w:val="004158E1"/>
    <w:rsid w:val="00415B20"/>
    <w:rsid w:val="004164BB"/>
    <w:rsid w:val="00417A74"/>
    <w:rsid w:val="00417E9B"/>
    <w:rsid w:val="00417ECD"/>
    <w:rsid w:val="00420473"/>
    <w:rsid w:val="00420694"/>
    <w:rsid w:val="0042081E"/>
    <w:rsid w:val="00420ADE"/>
    <w:rsid w:val="00420E0C"/>
    <w:rsid w:val="00421989"/>
    <w:rsid w:val="00421C02"/>
    <w:rsid w:val="00422163"/>
    <w:rsid w:val="004226C4"/>
    <w:rsid w:val="00422B00"/>
    <w:rsid w:val="0042331A"/>
    <w:rsid w:val="00423479"/>
    <w:rsid w:val="004249CA"/>
    <w:rsid w:val="00424B49"/>
    <w:rsid w:val="00424BC0"/>
    <w:rsid w:val="00424CD9"/>
    <w:rsid w:val="00424EE9"/>
    <w:rsid w:val="00425A9F"/>
    <w:rsid w:val="00425C82"/>
    <w:rsid w:val="004267BD"/>
    <w:rsid w:val="00426D00"/>
    <w:rsid w:val="00427071"/>
    <w:rsid w:val="0043000A"/>
    <w:rsid w:val="0043033C"/>
    <w:rsid w:val="00430A35"/>
    <w:rsid w:val="004318F3"/>
    <w:rsid w:val="0043232C"/>
    <w:rsid w:val="00432C14"/>
    <w:rsid w:val="00432D80"/>
    <w:rsid w:val="00432EC8"/>
    <w:rsid w:val="00433ACC"/>
    <w:rsid w:val="004340EC"/>
    <w:rsid w:val="004341E9"/>
    <w:rsid w:val="00434323"/>
    <w:rsid w:val="00434720"/>
    <w:rsid w:val="00434C76"/>
    <w:rsid w:val="00434CA4"/>
    <w:rsid w:val="00435C0F"/>
    <w:rsid w:val="00436AF2"/>
    <w:rsid w:val="00436D44"/>
    <w:rsid w:val="004379FE"/>
    <w:rsid w:val="00440C48"/>
    <w:rsid w:val="00440E3B"/>
    <w:rsid w:val="0044111B"/>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6871"/>
    <w:rsid w:val="00446ADD"/>
    <w:rsid w:val="004473E1"/>
    <w:rsid w:val="00447435"/>
    <w:rsid w:val="00447467"/>
    <w:rsid w:val="00447BE4"/>
    <w:rsid w:val="00447CC7"/>
    <w:rsid w:val="00450D5B"/>
    <w:rsid w:val="00451600"/>
    <w:rsid w:val="00451A88"/>
    <w:rsid w:val="0045311F"/>
    <w:rsid w:val="0045342A"/>
    <w:rsid w:val="004539F3"/>
    <w:rsid w:val="00453E52"/>
    <w:rsid w:val="00454B08"/>
    <w:rsid w:val="00454F37"/>
    <w:rsid w:val="004551C5"/>
    <w:rsid w:val="0045536D"/>
    <w:rsid w:val="0045563A"/>
    <w:rsid w:val="00455C0B"/>
    <w:rsid w:val="00460A2F"/>
    <w:rsid w:val="00460DFC"/>
    <w:rsid w:val="00462344"/>
    <w:rsid w:val="00462792"/>
    <w:rsid w:val="00462EC3"/>
    <w:rsid w:val="00463713"/>
    <w:rsid w:val="00463AAA"/>
    <w:rsid w:val="00464A54"/>
    <w:rsid w:val="00464F15"/>
    <w:rsid w:val="00465D4D"/>
    <w:rsid w:val="00465E1C"/>
    <w:rsid w:val="00466917"/>
    <w:rsid w:val="00466A68"/>
    <w:rsid w:val="00466E1F"/>
    <w:rsid w:val="00466E61"/>
    <w:rsid w:val="00467A07"/>
    <w:rsid w:val="00467DDF"/>
    <w:rsid w:val="00467E6F"/>
    <w:rsid w:val="0047087C"/>
    <w:rsid w:val="004709CF"/>
    <w:rsid w:val="00470D72"/>
    <w:rsid w:val="004712BA"/>
    <w:rsid w:val="004715DB"/>
    <w:rsid w:val="004717FC"/>
    <w:rsid w:val="00472D57"/>
    <w:rsid w:val="0047319E"/>
    <w:rsid w:val="0047343D"/>
    <w:rsid w:val="004737AB"/>
    <w:rsid w:val="00474861"/>
    <w:rsid w:val="004756A4"/>
    <w:rsid w:val="004757DD"/>
    <w:rsid w:val="00475A00"/>
    <w:rsid w:val="00475DE8"/>
    <w:rsid w:val="0047620B"/>
    <w:rsid w:val="004765C1"/>
    <w:rsid w:val="00476839"/>
    <w:rsid w:val="00477156"/>
    <w:rsid w:val="00477886"/>
    <w:rsid w:val="00480314"/>
    <w:rsid w:val="00480836"/>
    <w:rsid w:val="0048093C"/>
    <w:rsid w:val="00480C6C"/>
    <w:rsid w:val="004815E1"/>
    <w:rsid w:val="00481755"/>
    <w:rsid w:val="00483EBC"/>
    <w:rsid w:val="004842F9"/>
    <w:rsid w:val="0048457B"/>
    <w:rsid w:val="004847E2"/>
    <w:rsid w:val="0048633C"/>
    <w:rsid w:val="00487507"/>
    <w:rsid w:val="00487663"/>
    <w:rsid w:val="004877CE"/>
    <w:rsid w:val="00487AA1"/>
    <w:rsid w:val="00487D87"/>
    <w:rsid w:val="0049089F"/>
    <w:rsid w:val="0049099D"/>
    <w:rsid w:val="00490ADE"/>
    <w:rsid w:val="00490E4A"/>
    <w:rsid w:val="004913DD"/>
    <w:rsid w:val="00491AF2"/>
    <w:rsid w:val="00491FB0"/>
    <w:rsid w:val="00492077"/>
    <w:rsid w:val="004920BE"/>
    <w:rsid w:val="004923E3"/>
    <w:rsid w:val="004930C9"/>
    <w:rsid w:val="00493F13"/>
    <w:rsid w:val="00495607"/>
    <w:rsid w:val="00495774"/>
    <w:rsid w:val="00495F75"/>
    <w:rsid w:val="00496151"/>
    <w:rsid w:val="00496379"/>
    <w:rsid w:val="004969CB"/>
    <w:rsid w:val="00496CB2"/>
    <w:rsid w:val="00497689"/>
    <w:rsid w:val="00497B8B"/>
    <w:rsid w:val="004A0111"/>
    <w:rsid w:val="004A079F"/>
    <w:rsid w:val="004A0A58"/>
    <w:rsid w:val="004A0FBA"/>
    <w:rsid w:val="004A1548"/>
    <w:rsid w:val="004A1B28"/>
    <w:rsid w:val="004A1C37"/>
    <w:rsid w:val="004A20D4"/>
    <w:rsid w:val="004A2BF9"/>
    <w:rsid w:val="004A2C3A"/>
    <w:rsid w:val="004A39B3"/>
    <w:rsid w:val="004A3A16"/>
    <w:rsid w:val="004A3BEC"/>
    <w:rsid w:val="004A443B"/>
    <w:rsid w:val="004A5BC6"/>
    <w:rsid w:val="004A6087"/>
    <w:rsid w:val="004A67DF"/>
    <w:rsid w:val="004A73AA"/>
    <w:rsid w:val="004B014F"/>
    <w:rsid w:val="004B0A99"/>
    <w:rsid w:val="004B1466"/>
    <w:rsid w:val="004B14D9"/>
    <w:rsid w:val="004B2450"/>
    <w:rsid w:val="004B32FC"/>
    <w:rsid w:val="004B3CEC"/>
    <w:rsid w:val="004B4071"/>
    <w:rsid w:val="004B41CA"/>
    <w:rsid w:val="004B41D3"/>
    <w:rsid w:val="004B4228"/>
    <w:rsid w:val="004B4A3D"/>
    <w:rsid w:val="004B5ADF"/>
    <w:rsid w:val="004B5DC2"/>
    <w:rsid w:val="004B66C4"/>
    <w:rsid w:val="004B67FA"/>
    <w:rsid w:val="004B702C"/>
    <w:rsid w:val="004B7411"/>
    <w:rsid w:val="004B7497"/>
    <w:rsid w:val="004B74DA"/>
    <w:rsid w:val="004C009E"/>
    <w:rsid w:val="004C0413"/>
    <w:rsid w:val="004C0CA4"/>
    <w:rsid w:val="004C1CED"/>
    <w:rsid w:val="004C2707"/>
    <w:rsid w:val="004C43B3"/>
    <w:rsid w:val="004C458A"/>
    <w:rsid w:val="004C4709"/>
    <w:rsid w:val="004C4C7A"/>
    <w:rsid w:val="004C4E08"/>
    <w:rsid w:val="004C4F65"/>
    <w:rsid w:val="004C5DDA"/>
    <w:rsid w:val="004C5F4E"/>
    <w:rsid w:val="004C60F8"/>
    <w:rsid w:val="004C665A"/>
    <w:rsid w:val="004C6876"/>
    <w:rsid w:val="004C6BE5"/>
    <w:rsid w:val="004C6EDF"/>
    <w:rsid w:val="004C6F08"/>
    <w:rsid w:val="004C75F6"/>
    <w:rsid w:val="004D0314"/>
    <w:rsid w:val="004D0661"/>
    <w:rsid w:val="004D0892"/>
    <w:rsid w:val="004D11A9"/>
    <w:rsid w:val="004D1AD3"/>
    <w:rsid w:val="004D311F"/>
    <w:rsid w:val="004D322E"/>
    <w:rsid w:val="004D471D"/>
    <w:rsid w:val="004D4A2B"/>
    <w:rsid w:val="004D4B5F"/>
    <w:rsid w:val="004D4EF0"/>
    <w:rsid w:val="004D54BD"/>
    <w:rsid w:val="004D6524"/>
    <w:rsid w:val="004D68BE"/>
    <w:rsid w:val="004D6BD9"/>
    <w:rsid w:val="004D789A"/>
    <w:rsid w:val="004E0134"/>
    <w:rsid w:val="004E0695"/>
    <w:rsid w:val="004E081A"/>
    <w:rsid w:val="004E09DC"/>
    <w:rsid w:val="004E1731"/>
    <w:rsid w:val="004E1D47"/>
    <w:rsid w:val="004E20A2"/>
    <w:rsid w:val="004E2A05"/>
    <w:rsid w:val="004E31BA"/>
    <w:rsid w:val="004E3966"/>
    <w:rsid w:val="004E3AFB"/>
    <w:rsid w:val="004E3D62"/>
    <w:rsid w:val="004E43D2"/>
    <w:rsid w:val="004E4531"/>
    <w:rsid w:val="004E45A3"/>
    <w:rsid w:val="004E46DA"/>
    <w:rsid w:val="004E59B2"/>
    <w:rsid w:val="004E5E56"/>
    <w:rsid w:val="004E604F"/>
    <w:rsid w:val="004E73E8"/>
    <w:rsid w:val="004E74EC"/>
    <w:rsid w:val="004E7BF8"/>
    <w:rsid w:val="004E7DEA"/>
    <w:rsid w:val="004F0914"/>
    <w:rsid w:val="004F141F"/>
    <w:rsid w:val="004F2000"/>
    <w:rsid w:val="004F24FB"/>
    <w:rsid w:val="004F2F68"/>
    <w:rsid w:val="004F3176"/>
    <w:rsid w:val="004F38D9"/>
    <w:rsid w:val="004F4735"/>
    <w:rsid w:val="004F5151"/>
    <w:rsid w:val="004F5B6B"/>
    <w:rsid w:val="004F5B94"/>
    <w:rsid w:val="004F63B9"/>
    <w:rsid w:val="004F709F"/>
    <w:rsid w:val="004F767C"/>
    <w:rsid w:val="005001BC"/>
    <w:rsid w:val="00500DD6"/>
    <w:rsid w:val="00501648"/>
    <w:rsid w:val="00501C83"/>
    <w:rsid w:val="0050268E"/>
    <w:rsid w:val="0050271A"/>
    <w:rsid w:val="00502E71"/>
    <w:rsid w:val="00503A88"/>
    <w:rsid w:val="005042BC"/>
    <w:rsid w:val="00504C80"/>
    <w:rsid w:val="005061E5"/>
    <w:rsid w:val="005062B4"/>
    <w:rsid w:val="00506F08"/>
    <w:rsid w:val="005074FD"/>
    <w:rsid w:val="005104CF"/>
    <w:rsid w:val="00510E7E"/>
    <w:rsid w:val="00510F27"/>
    <w:rsid w:val="00511EE9"/>
    <w:rsid w:val="0051361B"/>
    <w:rsid w:val="00513759"/>
    <w:rsid w:val="00514262"/>
    <w:rsid w:val="00514327"/>
    <w:rsid w:val="00514D54"/>
    <w:rsid w:val="005159CD"/>
    <w:rsid w:val="00515C6E"/>
    <w:rsid w:val="00515DA2"/>
    <w:rsid w:val="005160E2"/>
    <w:rsid w:val="005161AD"/>
    <w:rsid w:val="005163F9"/>
    <w:rsid w:val="00516BBA"/>
    <w:rsid w:val="00516CBD"/>
    <w:rsid w:val="00516EB9"/>
    <w:rsid w:val="0051752A"/>
    <w:rsid w:val="00517B9C"/>
    <w:rsid w:val="00517F39"/>
    <w:rsid w:val="00517FBF"/>
    <w:rsid w:val="00520908"/>
    <w:rsid w:val="00520942"/>
    <w:rsid w:val="00520C6D"/>
    <w:rsid w:val="005211AC"/>
    <w:rsid w:val="00521371"/>
    <w:rsid w:val="00521617"/>
    <w:rsid w:val="00522945"/>
    <w:rsid w:val="005239B7"/>
    <w:rsid w:val="00523BD2"/>
    <w:rsid w:val="00523CBE"/>
    <w:rsid w:val="00523FAF"/>
    <w:rsid w:val="00524146"/>
    <w:rsid w:val="00524292"/>
    <w:rsid w:val="00524EA5"/>
    <w:rsid w:val="00525257"/>
    <w:rsid w:val="00525B14"/>
    <w:rsid w:val="00525B7E"/>
    <w:rsid w:val="00525D95"/>
    <w:rsid w:val="005260E6"/>
    <w:rsid w:val="0052633F"/>
    <w:rsid w:val="00526B74"/>
    <w:rsid w:val="00526DB4"/>
    <w:rsid w:val="00527901"/>
    <w:rsid w:val="00527AC5"/>
    <w:rsid w:val="00527EDB"/>
    <w:rsid w:val="00530B61"/>
    <w:rsid w:val="00530FDE"/>
    <w:rsid w:val="005313B1"/>
    <w:rsid w:val="0053152B"/>
    <w:rsid w:val="00531CF0"/>
    <w:rsid w:val="00531E6A"/>
    <w:rsid w:val="0053288C"/>
    <w:rsid w:val="00532B67"/>
    <w:rsid w:val="00532B8D"/>
    <w:rsid w:val="00532E70"/>
    <w:rsid w:val="005342A1"/>
    <w:rsid w:val="00534DA8"/>
    <w:rsid w:val="0053580A"/>
    <w:rsid w:val="0053590B"/>
    <w:rsid w:val="00535D0B"/>
    <w:rsid w:val="00536119"/>
    <w:rsid w:val="00536390"/>
    <w:rsid w:val="0053646A"/>
    <w:rsid w:val="0053674A"/>
    <w:rsid w:val="00536EB8"/>
    <w:rsid w:val="0053709A"/>
    <w:rsid w:val="00537407"/>
    <w:rsid w:val="00537770"/>
    <w:rsid w:val="00540101"/>
    <w:rsid w:val="00540B24"/>
    <w:rsid w:val="005415DB"/>
    <w:rsid w:val="005416BB"/>
    <w:rsid w:val="005418E2"/>
    <w:rsid w:val="00541A87"/>
    <w:rsid w:val="00541CC7"/>
    <w:rsid w:val="00541D3C"/>
    <w:rsid w:val="00542156"/>
    <w:rsid w:val="00542445"/>
    <w:rsid w:val="00542F7E"/>
    <w:rsid w:val="00543B10"/>
    <w:rsid w:val="00544A89"/>
    <w:rsid w:val="00544D59"/>
    <w:rsid w:val="00545235"/>
    <w:rsid w:val="005452F5"/>
    <w:rsid w:val="00546054"/>
    <w:rsid w:val="005466DD"/>
    <w:rsid w:val="00546765"/>
    <w:rsid w:val="00546871"/>
    <w:rsid w:val="00547879"/>
    <w:rsid w:val="005479F1"/>
    <w:rsid w:val="00547B59"/>
    <w:rsid w:val="00547D22"/>
    <w:rsid w:val="00547E58"/>
    <w:rsid w:val="00550288"/>
    <w:rsid w:val="0055043E"/>
    <w:rsid w:val="005509A3"/>
    <w:rsid w:val="005517D2"/>
    <w:rsid w:val="00551840"/>
    <w:rsid w:val="0055185A"/>
    <w:rsid w:val="00551D2E"/>
    <w:rsid w:val="005523C9"/>
    <w:rsid w:val="0055240E"/>
    <w:rsid w:val="00552750"/>
    <w:rsid w:val="00552767"/>
    <w:rsid w:val="005529F1"/>
    <w:rsid w:val="00552CD5"/>
    <w:rsid w:val="00552DD1"/>
    <w:rsid w:val="00553279"/>
    <w:rsid w:val="0055332C"/>
    <w:rsid w:val="005536CF"/>
    <w:rsid w:val="0055394B"/>
    <w:rsid w:val="00553C93"/>
    <w:rsid w:val="00553FA6"/>
    <w:rsid w:val="0055409C"/>
    <w:rsid w:val="00554124"/>
    <w:rsid w:val="0055413D"/>
    <w:rsid w:val="005544B3"/>
    <w:rsid w:val="00554BE5"/>
    <w:rsid w:val="00554E40"/>
    <w:rsid w:val="00554F97"/>
    <w:rsid w:val="005554C2"/>
    <w:rsid w:val="005558B0"/>
    <w:rsid w:val="00555ED2"/>
    <w:rsid w:val="00556267"/>
    <w:rsid w:val="00556C0A"/>
    <w:rsid w:val="0055775F"/>
    <w:rsid w:val="00557E0E"/>
    <w:rsid w:val="00557E48"/>
    <w:rsid w:val="00560BE0"/>
    <w:rsid w:val="00562A60"/>
    <w:rsid w:val="00562AE4"/>
    <w:rsid w:val="00564889"/>
    <w:rsid w:val="00564B27"/>
    <w:rsid w:val="00564C9B"/>
    <w:rsid w:val="00564DE4"/>
    <w:rsid w:val="00564FA7"/>
    <w:rsid w:val="00565386"/>
    <w:rsid w:val="00565501"/>
    <w:rsid w:val="00565A20"/>
    <w:rsid w:val="005661AF"/>
    <w:rsid w:val="0056691D"/>
    <w:rsid w:val="005679D6"/>
    <w:rsid w:val="00567D22"/>
    <w:rsid w:val="00567FC1"/>
    <w:rsid w:val="0057038E"/>
    <w:rsid w:val="0057043D"/>
    <w:rsid w:val="00570A13"/>
    <w:rsid w:val="00570B11"/>
    <w:rsid w:val="005710C0"/>
    <w:rsid w:val="005718EC"/>
    <w:rsid w:val="00572297"/>
    <w:rsid w:val="00572482"/>
    <w:rsid w:val="005729FC"/>
    <w:rsid w:val="00572C96"/>
    <w:rsid w:val="005730AB"/>
    <w:rsid w:val="005730C8"/>
    <w:rsid w:val="00573521"/>
    <w:rsid w:val="00573774"/>
    <w:rsid w:val="00573D86"/>
    <w:rsid w:val="00573EAB"/>
    <w:rsid w:val="00574823"/>
    <w:rsid w:val="005748E5"/>
    <w:rsid w:val="005750C2"/>
    <w:rsid w:val="0057515A"/>
    <w:rsid w:val="00575BC1"/>
    <w:rsid w:val="00576B32"/>
    <w:rsid w:val="00576DE4"/>
    <w:rsid w:val="00577129"/>
    <w:rsid w:val="0058007A"/>
    <w:rsid w:val="00580CD8"/>
    <w:rsid w:val="00582666"/>
    <w:rsid w:val="005828F1"/>
    <w:rsid w:val="00582E34"/>
    <w:rsid w:val="005830F2"/>
    <w:rsid w:val="00583830"/>
    <w:rsid w:val="005843CD"/>
    <w:rsid w:val="00585ABE"/>
    <w:rsid w:val="00585DEE"/>
    <w:rsid w:val="00585E2D"/>
    <w:rsid w:val="00585F7D"/>
    <w:rsid w:val="00586239"/>
    <w:rsid w:val="0058649D"/>
    <w:rsid w:val="005868D0"/>
    <w:rsid w:val="005875DB"/>
    <w:rsid w:val="00587993"/>
    <w:rsid w:val="00587B01"/>
    <w:rsid w:val="005904BE"/>
    <w:rsid w:val="0059095A"/>
    <w:rsid w:val="00590BA5"/>
    <w:rsid w:val="00590F0B"/>
    <w:rsid w:val="005914A0"/>
    <w:rsid w:val="00591C47"/>
    <w:rsid w:val="005923EC"/>
    <w:rsid w:val="005928C5"/>
    <w:rsid w:val="00593297"/>
    <w:rsid w:val="005932E4"/>
    <w:rsid w:val="0059381A"/>
    <w:rsid w:val="00594879"/>
    <w:rsid w:val="00594BBF"/>
    <w:rsid w:val="00594E6B"/>
    <w:rsid w:val="00595AB2"/>
    <w:rsid w:val="00596854"/>
    <w:rsid w:val="005978A0"/>
    <w:rsid w:val="00597A30"/>
    <w:rsid w:val="00597A74"/>
    <w:rsid w:val="00597E5D"/>
    <w:rsid w:val="00597FA3"/>
    <w:rsid w:val="005A0129"/>
    <w:rsid w:val="005A0EFB"/>
    <w:rsid w:val="005A1084"/>
    <w:rsid w:val="005A1885"/>
    <w:rsid w:val="005A21BC"/>
    <w:rsid w:val="005A2571"/>
    <w:rsid w:val="005A3963"/>
    <w:rsid w:val="005A3CA5"/>
    <w:rsid w:val="005A4CCA"/>
    <w:rsid w:val="005A5A32"/>
    <w:rsid w:val="005A5B63"/>
    <w:rsid w:val="005A5C9B"/>
    <w:rsid w:val="005A5EC7"/>
    <w:rsid w:val="005A6622"/>
    <w:rsid w:val="005A6AE8"/>
    <w:rsid w:val="005A7007"/>
    <w:rsid w:val="005A72D7"/>
    <w:rsid w:val="005A73B5"/>
    <w:rsid w:val="005A7911"/>
    <w:rsid w:val="005A7BE4"/>
    <w:rsid w:val="005A7FA3"/>
    <w:rsid w:val="005B035A"/>
    <w:rsid w:val="005B0468"/>
    <w:rsid w:val="005B0BCF"/>
    <w:rsid w:val="005B197F"/>
    <w:rsid w:val="005B1C5D"/>
    <w:rsid w:val="005B2B3E"/>
    <w:rsid w:val="005B2CFE"/>
    <w:rsid w:val="005B32E1"/>
    <w:rsid w:val="005B3401"/>
    <w:rsid w:val="005B3653"/>
    <w:rsid w:val="005B372F"/>
    <w:rsid w:val="005B4024"/>
    <w:rsid w:val="005B4374"/>
    <w:rsid w:val="005B4559"/>
    <w:rsid w:val="005B4689"/>
    <w:rsid w:val="005B4864"/>
    <w:rsid w:val="005B4F5B"/>
    <w:rsid w:val="005B5237"/>
    <w:rsid w:val="005B54E9"/>
    <w:rsid w:val="005B5773"/>
    <w:rsid w:val="005B5C0F"/>
    <w:rsid w:val="005B6604"/>
    <w:rsid w:val="005B77C7"/>
    <w:rsid w:val="005B79D1"/>
    <w:rsid w:val="005B7B29"/>
    <w:rsid w:val="005B7BF4"/>
    <w:rsid w:val="005C0F0A"/>
    <w:rsid w:val="005C109C"/>
    <w:rsid w:val="005C188B"/>
    <w:rsid w:val="005C1D42"/>
    <w:rsid w:val="005C2439"/>
    <w:rsid w:val="005C2746"/>
    <w:rsid w:val="005C2B9F"/>
    <w:rsid w:val="005C3FEE"/>
    <w:rsid w:val="005C4796"/>
    <w:rsid w:val="005C4967"/>
    <w:rsid w:val="005C4E3B"/>
    <w:rsid w:val="005C4F9E"/>
    <w:rsid w:val="005C5AE4"/>
    <w:rsid w:val="005C5C59"/>
    <w:rsid w:val="005C62AA"/>
    <w:rsid w:val="005C71AA"/>
    <w:rsid w:val="005C73FB"/>
    <w:rsid w:val="005C7C55"/>
    <w:rsid w:val="005C7FB2"/>
    <w:rsid w:val="005D0A1C"/>
    <w:rsid w:val="005D114B"/>
    <w:rsid w:val="005D2250"/>
    <w:rsid w:val="005D26C3"/>
    <w:rsid w:val="005D2F47"/>
    <w:rsid w:val="005D30DB"/>
    <w:rsid w:val="005D3640"/>
    <w:rsid w:val="005D3712"/>
    <w:rsid w:val="005D3747"/>
    <w:rsid w:val="005D4088"/>
    <w:rsid w:val="005D43CB"/>
    <w:rsid w:val="005D4811"/>
    <w:rsid w:val="005D4951"/>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1F16"/>
    <w:rsid w:val="005E2907"/>
    <w:rsid w:val="005E3057"/>
    <w:rsid w:val="005E3281"/>
    <w:rsid w:val="005E3375"/>
    <w:rsid w:val="005E3957"/>
    <w:rsid w:val="005E3EA2"/>
    <w:rsid w:val="005E50DF"/>
    <w:rsid w:val="005E53B2"/>
    <w:rsid w:val="005E5D7B"/>
    <w:rsid w:val="005E5E4C"/>
    <w:rsid w:val="005E6143"/>
    <w:rsid w:val="005E618A"/>
    <w:rsid w:val="005E6419"/>
    <w:rsid w:val="005E670D"/>
    <w:rsid w:val="005E6B8D"/>
    <w:rsid w:val="005E6F26"/>
    <w:rsid w:val="005E7081"/>
    <w:rsid w:val="005E78EF"/>
    <w:rsid w:val="005E7BE5"/>
    <w:rsid w:val="005E7E1E"/>
    <w:rsid w:val="005F0E48"/>
    <w:rsid w:val="005F1247"/>
    <w:rsid w:val="005F12B4"/>
    <w:rsid w:val="005F32FC"/>
    <w:rsid w:val="005F339E"/>
    <w:rsid w:val="005F374A"/>
    <w:rsid w:val="005F3781"/>
    <w:rsid w:val="005F3C83"/>
    <w:rsid w:val="005F4066"/>
    <w:rsid w:val="005F4EE3"/>
    <w:rsid w:val="005F5068"/>
    <w:rsid w:val="005F542B"/>
    <w:rsid w:val="005F585D"/>
    <w:rsid w:val="005F5AD1"/>
    <w:rsid w:val="005F5F63"/>
    <w:rsid w:val="005F6133"/>
    <w:rsid w:val="005F65F9"/>
    <w:rsid w:val="005F661F"/>
    <w:rsid w:val="005F6D10"/>
    <w:rsid w:val="005F6E29"/>
    <w:rsid w:val="005F7245"/>
    <w:rsid w:val="005F770F"/>
    <w:rsid w:val="006004E2"/>
    <w:rsid w:val="006006E5"/>
    <w:rsid w:val="00600C91"/>
    <w:rsid w:val="00601B4A"/>
    <w:rsid w:val="00601C10"/>
    <w:rsid w:val="00601C6D"/>
    <w:rsid w:val="00601E59"/>
    <w:rsid w:val="00601F31"/>
    <w:rsid w:val="006029EF"/>
    <w:rsid w:val="006031AD"/>
    <w:rsid w:val="00603524"/>
    <w:rsid w:val="00603C32"/>
    <w:rsid w:val="006040AB"/>
    <w:rsid w:val="00604699"/>
    <w:rsid w:val="0060482E"/>
    <w:rsid w:val="00605B83"/>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3EF5"/>
    <w:rsid w:val="0061441E"/>
    <w:rsid w:val="006147D5"/>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1CD"/>
    <w:rsid w:val="00621247"/>
    <w:rsid w:val="006226A2"/>
    <w:rsid w:val="00622E44"/>
    <w:rsid w:val="00623453"/>
    <w:rsid w:val="00623C52"/>
    <w:rsid w:val="00624692"/>
    <w:rsid w:val="00624A65"/>
    <w:rsid w:val="00625445"/>
    <w:rsid w:val="0062612B"/>
    <w:rsid w:val="006267F7"/>
    <w:rsid w:val="0062731C"/>
    <w:rsid w:val="006311F1"/>
    <w:rsid w:val="006314C2"/>
    <w:rsid w:val="00631843"/>
    <w:rsid w:val="0063209E"/>
    <w:rsid w:val="006320EC"/>
    <w:rsid w:val="0063233E"/>
    <w:rsid w:val="006326C5"/>
    <w:rsid w:val="00632A6F"/>
    <w:rsid w:val="00632AF3"/>
    <w:rsid w:val="00633754"/>
    <w:rsid w:val="0063379F"/>
    <w:rsid w:val="0063405A"/>
    <w:rsid w:val="00635AD4"/>
    <w:rsid w:val="006365DE"/>
    <w:rsid w:val="006367A8"/>
    <w:rsid w:val="00636B48"/>
    <w:rsid w:val="00636CD7"/>
    <w:rsid w:val="00636CE4"/>
    <w:rsid w:val="00637305"/>
    <w:rsid w:val="0063794E"/>
    <w:rsid w:val="00637AF9"/>
    <w:rsid w:val="00640454"/>
    <w:rsid w:val="00641023"/>
    <w:rsid w:val="00641482"/>
    <w:rsid w:val="00641A26"/>
    <w:rsid w:val="0064274E"/>
    <w:rsid w:val="00642AF6"/>
    <w:rsid w:val="00642EEF"/>
    <w:rsid w:val="0064302D"/>
    <w:rsid w:val="006438FE"/>
    <w:rsid w:val="00644B1A"/>
    <w:rsid w:val="006459AD"/>
    <w:rsid w:val="006464AC"/>
    <w:rsid w:val="006469C2"/>
    <w:rsid w:val="00646A3A"/>
    <w:rsid w:val="00646F69"/>
    <w:rsid w:val="00647013"/>
    <w:rsid w:val="00647C7E"/>
    <w:rsid w:val="006502ED"/>
    <w:rsid w:val="006512F0"/>
    <w:rsid w:val="0065135E"/>
    <w:rsid w:val="00651ADF"/>
    <w:rsid w:val="00651FFE"/>
    <w:rsid w:val="00652861"/>
    <w:rsid w:val="00652B05"/>
    <w:rsid w:val="00652BF0"/>
    <w:rsid w:val="00652F60"/>
    <w:rsid w:val="00652FB4"/>
    <w:rsid w:val="00653F1C"/>
    <w:rsid w:val="0065423E"/>
    <w:rsid w:val="0065462C"/>
    <w:rsid w:val="00654637"/>
    <w:rsid w:val="0065486D"/>
    <w:rsid w:val="00654CF7"/>
    <w:rsid w:val="00654D82"/>
    <w:rsid w:val="0065544D"/>
    <w:rsid w:val="006554E5"/>
    <w:rsid w:val="00655E7E"/>
    <w:rsid w:val="00656AE0"/>
    <w:rsid w:val="00656BDE"/>
    <w:rsid w:val="00656DBF"/>
    <w:rsid w:val="00657160"/>
    <w:rsid w:val="006573F5"/>
    <w:rsid w:val="006577FA"/>
    <w:rsid w:val="006600B7"/>
    <w:rsid w:val="00660629"/>
    <w:rsid w:val="006608F8"/>
    <w:rsid w:val="00660C93"/>
    <w:rsid w:val="00661B4C"/>
    <w:rsid w:val="00662282"/>
    <w:rsid w:val="006628B2"/>
    <w:rsid w:val="006629AB"/>
    <w:rsid w:val="0066339D"/>
    <w:rsid w:val="006637F7"/>
    <w:rsid w:val="00663863"/>
    <w:rsid w:val="00664474"/>
    <w:rsid w:val="0066448E"/>
    <w:rsid w:val="00664D95"/>
    <w:rsid w:val="00664FC5"/>
    <w:rsid w:val="006658F0"/>
    <w:rsid w:val="00665F0E"/>
    <w:rsid w:val="006662BA"/>
    <w:rsid w:val="00666332"/>
    <w:rsid w:val="0066642F"/>
    <w:rsid w:val="006666FD"/>
    <w:rsid w:val="00666D23"/>
    <w:rsid w:val="00666DDF"/>
    <w:rsid w:val="006673D9"/>
    <w:rsid w:val="00667D51"/>
    <w:rsid w:val="0067032B"/>
    <w:rsid w:val="00670491"/>
    <w:rsid w:val="00670F01"/>
    <w:rsid w:val="00670F08"/>
    <w:rsid w:val="00671112"/>
    <w:rsid w:val="0067119C"/>
    <w:rsid w:val="006711CD"/>
    <w:rsid w:val="00671274"/>
    <w:rsid w:val="006714CE"/>
    <w:rsid w:val="00672021"/>
    <w:rsid w:val="00672626"/>
    <w:rsid w:val="00672876"/>
    <w:rsid w:val="00672DD5"/>
    <w:rsid w:val="00672F78"/>
    <w:rsid w:val="0067339C"/>
    <w:rsid w:val="006734BE"/>
    <w:rsid w:val="00673D32"/>
    <w:rsid w:val="00675366"/>
    <w:rsid w:val="006759CB"/>
    <w:rsid w:val="00675D32"/>
    <w:rsid w:val="00675E99"/>
    <w:rsid w:val="006760DF"/>
    <w:rsid w:val="0067611A"/>
    <w:rsid w:val="0067642C"/>
    <w:rsid w:val="00676A74"/>
    <w:rsid w:val="00676B58"/>
    <w:rsid w:val="00676D5D"/>
    <w:rsid w:val="00680148"/>
    <w:rsid w:val="00680F5B"/>
    <w:rsid w:val="00681EF2"/>
    <w:rsid w:val="00682164"/>
    <w:rsid w:val="006821A3"/>
    <w:rsid w:val="0068230C"/>
    <w:rsid w:val="00682BA5"/>
    <w:rsid w:val="00682FA5"/>
    <w:rsid w:val="0068316A"/>
    <w:rsid w:val="00683417"/>
    <w:rsid w:val="006834D8"/>
    <w:rsid w:val="00683CCE"/>
    <w:rsid w:val="00683DEA"/>
    <w:rsid w:val="00683F05"/>
    <w:rsid w:val="006843EE"/>
    <w:rsid w:val="00684B43"/>
    <w:rsid w:val="00684D70"/>
    <w:rsid w:val="006858F0"/>
    <w:rsid w:val="00685937"/>
    <w:rsid w:val="0068612F"/>
    <w:rsid w:val="006867CE"/>
    <w:rsid w:val="00687B93"/>
    <w:rsid w:val="00687E4C"/>
    <w:rsid w:val="00690A36"/>
    <w:rsid w:val="00690C85"/>
    <w:rsid w:val="0069106C"/>
    <w:rsid w:val="00691433"/>
    <w:rsid w:val="006914E7"/>
    <w:rsid w:val="006916AA"/>
    <w:rsid w:val="00691D6E"/>
    <w:rsid w:val="00692436"/>
    <w:rsid w:val="00692D16"/>
    <w:rsid w:val="00692FF7"/>
    <w:rsid w:val="006930BD"/>
    <w:rsid w:val="0069324C"/>
    <w:rsid w:val="00694359"/>
    <w:rsid w:val="00694761"/>
    <w:rsid w:val="00694840"/>
    <w:rsid w:val="0069509B"/>
    <w:rsid w:val="006951E2"/>
    <w:rsid w:val="00695B98"/>
    <w:rsid w:val="006960FC"/>
    <w:rsid w:val="006964C6"/>
    <w:rsid w:val="00696852"/>
    <w:rsid w:val="00696AD8"/>
    <w:rsid w:val="00697379"/>
    <w:rsid w:val="006976BB"/>
    <w:rsid w:val="006978ED"/>
    <w:rsid w:val="00697AF3"/>
    <w:rsid w:val="00697CDB"/>
    <w:rsid w:val="006A015F"/>
    <w:rsid w:val="006A114F"/>
    <w:rsid w:val="006A184C"/>
    <w:rsid w:val="006A2148"/>
    <w:rsid w:val="006A2C78"/>
    <w:rsid w:val="006A3481"/>
    <w:rsid w:val="006A433E"/>
    <w:rsid w:val="006A4F97"/>
    <w:rsid w:val="006A52EE"/>
    <w:rsid w:val="006A6E5D"/>
    <w:rsid w:val="006B1105"/>
    <w:rsid w:val="006B1158"/>
    <w:rsid w:val="006B11CC"/>
    <w:rsid w:val="006B15AD"/>
    <w:rsid w:val="006B1F61"/>
    <w:rsid w:val="006B3446"/>
    <w:rsid w:val="006B3921"/>
    <w:rsid w:val="006B4618"/>
    <w:rsid w:val="006B4AFB"/>
    <w:rsid w:val="006B4F01"/>
    <w:rsid w:val="006B5103"/>
    <w:rsid w:val="006B58A1"/>
    <w:rsid w:val="006B6731"/>
    <w:rsid w:val="006B74D3"/>
    <w:rsid w:val="006B7703"/>
    <w:rsid w:val="006B7810"/>
    <w:rsid w:val="006B7845"/>
    <w:rsid w:val="006B7867"/>
    <w:rsid w:val="006B79C8"/>
    <w:rsid w:val="006C0638"/>
    <w:rsid w:val="006C09E4"/>
    <w:rsid w:val="006C0ED8"/>
    <w:rsid w:val="006C102B"/>
    <w:rsid w:val="006C1144"/>
    <w:rsid w:val="006C1185"/>
    <w:rsid w:val="006C12E7"/>
    <w:rsid w:val="006C16F4"/>
    <w:rsid w:val="006C1B63"/>
    <w:rsid w:val="006C1BF2"/>
    <w:rsid w:val="006C1F97"/>
    <w:rsid w:val="006C2872"/>
    <w:rsid w:val="006C3DDE"/>
    <w:rsid w:val="006C57B2"/>
    <w:rsid w:val="006C7528"/>
    <w:rsid w:val="006C77ED"/>
    <w:rsid w:val="006C783F"/>
    <w:rsid w:val="006C798A"/>
    <w:rsid w:val="006C7A48"/>
    <w:rsid w:val="006C7B81"/>
    <w:rsid w:val="006C7E40"/>
    <w:rsid w:val="006D05DB"/>
    <w:rsid w:val="006D179A"/>
    <w:rsid w:val="006D21E9"/>
    <w:rsid w:val="006D22F6"/>
    <w:rsid w:val="006D311A"/>
    <w:rsid w:val="006D341F"/>
    <w:rsid w:val="006D37AF"/>
    <w:rsid w:val="006D3A1F"/>
    <w:rsid w:val="006D3CC8"/>
    <w:rsid w:val="006D4403"/>
    <w:rsid w:val="006D4720"/>
    <w:rsid w:val="006D4D09"/>
    <w:rsid w:val="006D4DF2"/>
    <w:rsid w:val="006D4FA9"/>
    <w:rsid w:val="006D5019"/>
    <w:rsid w:val="006D501E"/>
    <w:rsid w:val="006D5274"/>
    <w:rsid w:val="006D5B26"/>
    <w:rsid w:val="006D6D49"/>
    <w:rsid w:val="006D6DB7"/>
    <w:rsid w:val="006D70E0"/>
    <w:rsid w:val="006E0F71"/>
    <w:rsid w:val="006E13AE"/>
    <w:rsid w:val="006E17A6"/>
    <w:rsid w:val="006E22AA"/>
    <w:rsid w:val="006E2C59"/>
    <w:rsid w:val="006E3498"/>
    <w:rsid w:val="006E3D8A"/>
    <w:rsid w:val="006E3DFD"/>
    <w:rsid w:val="006E4199"/>
    <w:rsid w:val="006E43F6"/>
    <w:rsid w:val="006E450A"/>
    <w:rsid w:val="006E4CA2"/>
    <w:rsid w:val="006E4D80"/>
    <w:rsid w:val="006E4E3E"/>
    <w:rsid w:val="006E4F78"/>
    <w:rsid w:val="006E532B"/>
    <w:rsid w:val="006E5464"/>
    <w:rsid w:val="006E5EE8"/>
    <w:rsid w:val="006E718A"/>
    <w:rsid w:val="006E71F1"/>
    <w:rsid w:val="006E78A2"/>
    <w:rsid w:val="006E7D1E"/>
    <w:rsid w:val="006F0766"/>
    <w:rsid w:val="006F0B1D"/>
    <w:rsid w:val="006F195F"/>
    <w:rsid w:val="006F1CEE"/>
    <w:rsid w:val="006F1F96"/>
    <w:rsid w:val="006F21DA"/>
    <w:rsid w:val="006F2870"/>
    <w:rsid w:val="006F28CA"/>
    <w:rsid w:val="006F2D05"/>
    <w:rsid w:val="006F2DD0"/>
    <w:rsid w:val="006F3AED"/>
    <w:rsid w:val="006F5A43"/>
    <w:rsid w:val="006F5ECE"/>
    <w:rsid w:val="006F618D"/>
    <w:rsid w:val="006F61DF"/>
    <w:rsid w:val="006F650B"/>
    <w:rsid w:val="006F67AF"/>
    <w:rsid w:val="006F69CF"/>
    <w:rsid w:val="006F70EF"/>
    <w:rsid w:val="007014EC"/>
    <w:rsid w:val="007019F6"/>
    <w:rsid w:val="00701F04"/>
    <w:rsid w:val="0070267F"/>
    <w:rsid w:val="00702CAB"/>
    <w:rsid w:val="00703521"/>
    <w:rsid w:val="00703A48"/>
    <w:rsid w:val="00704407"/>
    <w:rsid w:val="00704D72"/>
    <w:rsid w:val="00704FF7"/>
    <w:rsid w:val="00705558"/>
    <w:rsid w:val="00705B86"/>
    <w:rsid w:val="00705E27"/>
    <w:rsid w:val="00705F5D"/>
    <w:rsid w:val="007064D2"/>
    <w:rsid w:val="00706583"/>
    <w:rsid w:val="00707916"/>
    <w:rsid w:val="007103DD"/>
    <w:rsid w:val="007107DF"/>
    <w:rsid w:val="007108F1"/>
    <w:rsid w:val="00710FA6"/>
    <w:rsid w:val="00710FBC"/>
    <w:rsid w:val="007110D8"/>
    <w:rsid w:val="00711275"/>
    <w:rsid w:val="007117FB"/>
    <w:rsid w:val="007125DE"/>
    <w:rsid w:val="00712750"/>
    <w:rsid w:val="00712967"/>
    <w:rsid w:val="0071312F"/>
    <w:rsid w:val="0071384D"/>
    <w:rsid w:val="00713A49"/>
    <w:rsid w:val="00713A52"/>
    <w:rsid w:val="00713B49"/>
    <w:rsid w:val="00713CCA"/>
    <w:rsid w:val="00713ED4"/>
    <w:rsid w:val="00713EF8"/>
    <w:rsid w:val="00714741"/>
    <w:rsid w:val="00714C37"/>
    <w:rsid w:val="00714C8E"/>
    <w:rsid w:val="00714CC9"/>
    <w:rsid w:val="007156A6"/>
    <w:rsid w:val="0071574D"/>
    <w:rsid w:val="00715DF7"/>
    <w:rsid w:val="00716567"/>
    <w:rsid w:val="00716847"/>
    <w:rsid w:val="00716F33"/>
    <w:rsid w:val="0071706C"/>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80"/>
    <w:rsid w:val="00724F48"/>
    <w:rsid w:val="00724FD0"/>
    <w:rsid w:val="00725400"/>
    <w:rsid w:val="0072604F"/>
    <w:rsid w:val="0072742F"/>
    <w:rsid w:val="0073154D"/>
    <w:rsid w:val="0073162B"/>
    <w:rsid w:val="00731913"/>
    <w:rsid w:val="00731DB2"/>
    <w:rsid w:val="007321D1"/>
    <w:rsid w:val="0073226A"/>
    <w:rsid w:val="007326BB"/>
    <w:rsid w:val="00732B3D"/>
    <w:rsid w:val="0073326B"/>
    <w:rsid w:val="007337B9"/>
    <w:rsid w:val="007337E1"/>
    <w:rsid w:val="00733F24"/>
    <w:rsid w:val="00733FA3"/>
    <w:rsid w:val="007340F5"/>
    <w:rsid w:val="007342AC"/>
    <w:rsid w:val="00734F0F"/>
    <w:rsid w:val="00736743"/>
    <w:rsid w:val="007373FD"/>
    <w:rsid w:val="00737A7A"/>
    <w:rsid w:val="00737FE5"/>
    <w:rsid w:val="007401D9"/>
    <w:rsid w:val="00740460"/>
    <w:rsid w:val="0074051D"/>
    <w:rsid w:val="00740F24"/>
    <w:rsid w:val="00741B45"/>
    <w:rsid w:val="00741E2F"/>
    <w:rsid w:val="00741EC9"/>
    <w:rsid w:val="0074246F"/>
    <w:rsid w:val="007429ED"/>
    <w:rsid w:val="00742A67"/>
    <w:rsid w:val="00743DC3"/>
    <w:rsid w:val="00743F94"/>
    <w:rsid w:val="00744E39"/>
    <w:rsid w:val="007450A7"/>
    <w:rsid w:val="00745692"/>
    <w:rsid w:val="007464FB"/>
    <w:rsid w:val="007476EA"/>
    <w:rsid w:val="00747741"/>
    <w:rsid w:val="00747D86"/>
    <w:rsid w:val="007501D2"/>
    <w:rsid w:val="00750C6B"/>
    <w:rsid w:val="00750DF9"/>
    <w:rsid w:val="00751D2A"/>
    <w:rsid w:val="00752066"/>
    <w:rsid w:val="007529C8"/>
    <w:rsid w:val="00753B48"/>
    <w:rsid w:val="00753D05"/>
    <w:rsid w:val="00753EB2"/>
    <w:rsid w:val="0075428E"/>
    <w:rsid w:val="007542B0"/>
    <w:rsid w:val="00754429"/>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648"/>
    <w:rsid w:val="00763A62"/>
    <w:rsid w:val="007640A5"/>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14FA"/>
    <w:rsid w:val="007727F1"/>
    <w:rsid w:val="00772CAA"/>
    <w:rsid w:val="007730CC"/>
    <w:rsid w:val="00773772"/>
    <w:rsid w:val="00774716"/>
    <w:rsid w:val="0077484D"/>
    <w:rsid w:val="00774DE7"/>
    <w:rsid w:val="007752F8"/>
    <w:rsid w:val="0077538D"/>
    <w:rsid w:val="007759E0"/>
    <w:rsid w:val="00775AF6"/>
    <w:rsid w:val="00776409"/>
    <w:rsid w:val="007766A4"/>
    <w:rsid w:val="00776784"/>
    <w:rsid w:val="007767C5"/>
    <w:rsid w:val="007770A7"/>
    <w:rsid w:val="0077785A"/>
    <w:rsid w:val="00777CBA"/>
    <w:rsid w:val="00777E17"/>
    <w:rsid w:val="00780319"/>
    <w:rsid w:val="007803D0"/>
    <w:rsid w:val="00780ABC"/>
    <w:rsid w:val="00780EBC"/>
    <w:rsid w:val="00781340"/>
    <w:rsid w:val="007815EB"/>
    <w:rsid w:val="00781659"/>
    <w:rsid w:val="007816B6"/>
    <w:rsid w:val="0078251F"/>
    <w:rsid w:val="00782876"/>
    <w:rsid w:val="00783029"/>
    <w:rsid w:val="007830F5"/>
    <w:rsid w:val="007832BD"/>
    <w:rsid w:val="0078359E"/>
    <w:rsid w:val="007837AB"/>
    <w:rsid w:val="007841D6"/>
    <w:rsid w:val="00784246"/>
    <w:rsid w:val="00784D35"/>
    <w:rsid w:val="00784E3D"/>
    <w:rsid w:val="00786515"/>
    <w:rsid w:val="007866E5"/>
    <w:rsid w:val="00786C75"/>
    <w:rsid w:val="0078727E"/>
    <w:rsid w:val="00790251"/>
    <w:rsid w:val="00790C39"/>
    <w:rsid w:val="0079130C"/>
    <w:rsid w:val="007919BA"/>
    <w:rsid w:val="00792348"/>
    <w:rsid w:val="00792BF4"/>
    <w:rsid w:val="00792F8D"/>
    <w:rsid w:val="00793281"/>
    <w:rsid w:val="00794722"/>
    <w:rsid w:val="007950CE"/>
    <w:rsid w:val="007957B6"/>
    <w:rsid w:val="0079645D"/>
    <w:rsid w:val="00796BDD"/>
    <w:rsid w:val="00796C67"/>
    <w:rsid w:val="00796C8D"/>
    <w:rsid w:val="00797250"/>
    <w:rsid w:val="007977B0"/>
    <w:rsid w:val="00797848"/>
    <w:rsid w:val="00797A1F"/>
    <w:rsid w:val="007A10A3"/>
    <w:rsid w:val="007A126F"/>
    <w:rsid w:val="007A12F9"/>
    <w:rsid w:val="007A1642"/>
    <w:rsid w:val="007A2B3E"/>
    <w:rsid w:val="007A2C8D"/>
    <w:rsid w:val="007A3260"/>
    <w:rsid w:val="007A3376"/>
    <w:rsid w:val="007A34B2"/>
    <w:rsid w:val="007A4208"/>
    <w:rsid w:val="007A445E"/>
    <w:rsid w:val="007A482C"/>
    <w:rsid w:val="007A4EC2"/>
    <w:rsid w:val="007A50B2"/>
    <w:rsid w:val="007A62E3"/>
    <w:rsid w:val="007A6B37"/>
    <w:rsid w:val="007A70FB"/>
    <w:rsid w:val="007A7191"/>
    <w:rsid w:val="007A7205"/>
    <w:rsid w:val="007A7314"/>
    <w:rsid w:val="007A78EA"/>
    <w:rsid w:val="007A7B2D"/>
    <w:rsid w:val="007B008F"/>
    <w:rsid w:val="007B04F5"/>
    <w:rsid w:val="007B2B70"/>
    <w:rsid w:val="007B3315"/>
    <w:rsid w:val="007B3549"/>
    <w:rsid w:val="007B4A82"/>
    <w:rsid w:val="007B52A7"/>
    <w:rsid w:val="007B626B"/>
    <w:rsid w:val="007B64AA"/>
    <w:rsid w:val="007B6E9C"/>
    <w:rsid w:val="007B7198"/>
    <w:rsid w:val="007B7302"/>
    <w:rsid w:val="007B7497"/>
    <w:rsid w:val="007B7F69"/>
    <w:rsid w:val="007C1321"/>
    <w:rsid w:val="007C1790"/>
    <w:rsid w:val="007C18CB"/>
    <w:rsid w:val="007C2392"/>
    <w:rsid w:val="007C24EE"/>
    <w:rsid w:val="007C2A25"/>
    <w:rsid w:val="007C3B8A"/>
    <w:rsid w:val="007C4568"/>
    <w:rsid w:val="007C4657"/>
    <w:rsid w:val="007C5910"/>
    <w:rsid w:val="007C5951"/>
    <w:rsid w:val="007C59F7"/>
    <w:rsid w:val="007C5A06"/>
    <w:rsid w:val="007C6DCF"/>
    <w:rsid w:val="007C6E65"/>
    <w:rsid w:val="007C7AB4"/>
    <w:rsid w:val="007C7BB9"/>
    <w:rsid w:val="007C7C33"/>
    <w:rsid w:val="007C7F1F"/>
    <w:rsid w:val="007D0044"/>
    <w:rsid w:val="007D06F4"/>
    <w:rsid w:val="007D19B9"/>
    <w:rsid w:val="007D1DD5"/>
    <w:rsid w:val="007D2455"/>
    <w:rsid w:val="007D32B4"/>
    <w:rsid w:val="007D3AF7"/>
    <w:rsid w:val="007D434E"/>
    <w:rsid w:val="007D4BA8"/>
    <w:rsid w:val="007D4C28"/>
    <w:rsid w:val="007D4DEE"/>
    <w:rsid w:val="007D569F"/>
    <w:rsid w:val="007D59BC"/>
    <w:rsid w:val="007D5B05"/>
    <w:rsid w:val="007D61B6"/>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AC2"/>
    <w:rsid w:val="007E4B68"/>
    <w:rsid w:val="007E4CC0"/>
    <w:rsid w:val="007E4DD3"/>
    <w:rsid w:val="007E59CA"/>
    <w:rsid w:val="007E75C0"/>
    <w:rsid w:val="007E786E"/>
    <w:rsid w:val="007F003E"/>
    <w:rsid w:val="007F07F3"/>
    <w:rsid w:val="007F1203"/>
    <w:rsid w:val="007F178D"/>
    <w:rsid w:val="007F1A1F"/>
    <w:rsid w:val="007F1D41"/>
    <w:rsid w:val="007F1F03"/>
    <w:rsid w:val="007F2625"/>
    <w:rsid w:val="007F322E"/>
    <w:rsid w:val="007F35DF"/>
    <w:rsid w:val="007F406A"/>
    <w:rsid w:val="007F45BC"/>
    <w:rsid w:val="007F5114"/>
    <w:rsid w:val="007F54DE"/>
    <w:rsid w:val="007F59DB"/>
    <w:rsid w:val="007F65F9"/>
    <w:rsid w:val="007F65FF"/>
    <w:rsid w:val="007F68B7"/>
    <w:rsid w:val="007F6C61"/>
    <w:rsid w:val="007F78D5"/>
    <w:rsid w:val="007F7902"/>
    <w:rsid w:val="0080016B"/>
    <w:rsid w:val="00801265"/>
    <w:rsid w:val="00801843"/>
    <w:rsid w:val="00801A73"/>
    <w:rsid w:val="00801BE2"/>
    <w:rsid w:val="0080216E"/>
    <w:rsid w:val="008024AE"/>
    <w:rsid w:val="008038FB"/>
    <w:rsid w:val="0080396D"/>
    <w:rsid w:val="00803CEE"/>
    <w:rsid w:val="00803F6D"/>
    <w:rsid w:val="00803F9C"/>
    <w:rsid w:val="00805103"/>
    <w:rsid w:val="00805E97"/>
    <w:rsid w:val="00805FD3"/>
    <w:rsid w:val="00806131"/>
    <w:rsid w:val="008069A6"/>
    <w:rsid w:val="00807494"/>
    <w:rsid w:val="00807560"/>
    <w:rsid w:val="00810546"/>
    <w:rsid w:val="00810653"/>
    <w:rsid w:val="00810935"/>
    <w:rsid w:val="00810D7B"/>
    <w:rsid w:val="00810DC0"/>
    <w:rsid w:val="00810E3C"/>
    <w:rsid w:val="00811441"/>
    <w:rsid w:val="00812376"/>
    <w:rsid w:val="00812597"/>
    <w:rsid w:val="00812DB2"/>
    <w:rsid w:val="008138E4"/>
    <w:rsid w:val="00813BBB"/>
    <w:rsid w:val="00815198"/>
    <w:rsid w:val="00815CEC"/>
    <w:rsid w:val="008168A5"/>
    <w:rsid w:val="00816D7C"/>
    <w:rsid w:val="00817036"/>
    <w:rsid w:val="008170E9"/>
    <w:rsid w:val="00817C76"/>
    <w:rsid w:val="0082004A"/>
    <w:rsid w:val="008202F3"/>
    <w:rsid w:val="0082037E"/>
    <w:rsid w:val="0082079C"/>
    <w:rsid w:val="00820962"/>
    <w:rsid w:val="00820BE6"/>
    <w:rsid w:val="008210D3"/>
    <w:rsid w:val="008213AF"/>
    <w:rsid w:val="00821444"/>
    <w:rsid w:val="008215B9"/>
    <w:rsid w:val="008216BC"/>
    <w:rsid w:val="00821747"/>
    <w:rsid w:val="00821B89"/>
    <w:rsid w:val="0082235A"/>
    <w:rsid w:val="00822EDB"/>
    <w:rsid w:val="008234DD"/>
    <w:rsid w:val="00823976"/>
    <w:rsid w:val="00823C82"/>
    <w:rsid w:val="00823E43"/>
    <w:rsid w:val="00823F07"/>
    <w:rsid w:val="008241D8"/>
    <w:rsid w:val="008242AC"/>
    <w:rsid w:val="0082454A"/>
    <w:rsid w:val="008262CB"/>
    <w:rsid w:val="008263FA"/>
    <w:rsid w:val="00830423"/>
    <w:rsid w:val="008306CF"/>
    <w:rsid w:val="0083082F"/>
    <w:rsid w:val="00830D15"/>
    <w:rsid w:val="008314D1"/>
    <w:rsid w:val="0083168F"/>
    <w:rsid w:val="00831EED"/>
    <w:rsid w:val="00832056"/>
    <w:rsid w:val="008326E7"/>
    <w:rsid w:val="008328E3"/>
    <w:rsid w:val="00834161"/>
    <w:rsid w:val="00834BCD"/>
    <w:rsid w:val="00834FB3"/>
    <w:rsid w:val="008354B6"/>
    <w:rsid w:val="00835CC8"/>
    <w:rsid w:val="00835DBD"/>
    <w:rsid w:val="0083601A"/>
    <w:rsid w:val="008360FD"/>
    <w:rsid w:val="00836272"/>
    <w:rsid w:val="00836D0F"/>
    <w:rsid w:val="00836FD7"/>
    <w:rsid w:val="008374FC"/>
    <w:rsid w:val="00837A9D"/>
    <w:rsid w:val="00837BEB"/>
    <w:rsid w:val="00840198"/>
    <w:rsid w:val="00840441"/>
    <w:rsid w:val="008405E0"/>
    <w:rsid w:val="00840BC5"/>
    <w:rsid w:val="00840C3C"/>
    <w:rsid w:val="00840F7F"/>
    <w:rsid w:val="00840F91"/>
    <w:rsid w:val="00841150"/>
    <w:rsid w:val="0084199D"/>
    <w:rsid w:val="00841D85"/>
    <w:rsid w:val="00842771"/>
    <w:rsid w:val="00842ECE"/>
    <w:rsid w:val="00843CBA"/>
    <w:rsid w:val="00843EAC"/>
    <w:rsid w:val="008442D2"/>
    <w:rsid w:val="00844697"/>
    <w:rsid w:val="00844985"/>
    <w:rsid w:val="00844A9F"/>
    <w:rsid w:val="00844C3E"/>
    <w:rsid w:val="00844E9A"/>
    <w:rsid w:val="00845606"/>
    <w:rsid w:val="0084568A"/>
    <w:rsid w:val="00845BDB"/>
    <w:rsid w:val="008461C8"/>
    <w:rsid w:val="00846F2F"/>
    <w:rsid w:val="00847E54"/>
    <w:rsid w:val="00850E23"/>
    <w:rsid w:val="008519BC"/>
    <w:rsid w:val="00852638"/>
    <w:rsid w:val="00852D5C"/>
    <w:rsid w:val="00852F05"/>
    <w:rsid w:val="00853090"/>
    <w:rsid w:val="00853329"/>
    <w:rsid w:val="00853509"/>
    <w:rsid w:val="00853AF2"/>
    <w:rsid w:val="00854045"/>
    <w:rsid w:val="0085437C"/>
    <w:rsid w:val="00854CCB"/>
    <w:rsid w:val="00855328"/>
    <w:rsid w:val="0085580B"/>
    <w:rsid w:val="00855C1C"/>
    <w:rsid w:val="00855C8E"/>
    <w:rsid w:val="00856595"/>
    <w:rsid w:val="00856AD4"/>
    <w:rsid w:val="00856D8A"/>
    <w:rsid w:val="008575D8"/>
    <w:rsid w:val="00857A41"/>
    <w:rsid w:val="00860156"/>
    <w:rsid w:val="00860264"/>
    <w:rsid w:val="00860F01"/>
    <w:rsid w:val="00860F36"/>
    <w:rsid w:val="008612A8"/>
    <w:rsid w:val="00862078"/>
    <w:rsid w:val="008625C0"/>
    <w:rsid w:val="00862B00"/>
    <w:rsid w:val="00863618"/>
    <w:rsid w:val="00863FA2"/>
    <w:rsid w:val="00864BAC"/>
    <w:rsid w:val="00865223"/>
    <w:rsid w:val="00865264"/>
    <w:rsid w:val="0086592B"/>
    <w:rsid w:val="00866142"/>
    <w:rsid w:val="00866972"/>
    <w:rsid w:val="00867198"/>
    <w:rsid w:val="0086751D"/>
    <w:rsid w:val="00867903"/>
    <w:rsid w:val="00867EE1"/>
    <w:rsid w:val="00870074"/>
    <w:rsid w:val="00870084"/>
    <w:rsid w:val="00870264"/>
    <w:rsid w:val="00870638"/>
    <w:rsid w:val="00870888"/>
    <w:rsid w:val="00870FA2"/>
    <w:rsid w:val="00871528"/>
    <w:rsid w:val="0087193A"/>
    <w:rsid w:val="00871B77"/>
    <w:rsid w:val="00871B9F"/>
    <w:rsid w:val="008722DD"/>
    <w:rsid w:val="00872D49"/>
    <w:rsid w:val="008734C1"/>
    <w:rsid w:val="008742C8"/>
    <w:rsid w:val="00874500"/>
    <w:rsid w:val="0087488B"/>
    <w:rsid w:val="00874B1E"/>
    <w:rsid w:val="00874BAA"/>
    <w:rsid w:val="008755C0"/>
    <w:rsid w:val="00875CB8"/>
    <w:rsid w:val="00876987"/>
    <w:rsid w:val="008777AC"/>
    <w:rsid w:val="00877A4E"/>
    <w:rsid w:val="00880721"/>
    <w:rsid w:val="00880CE6"/>
    <w:rsid w:val="00881DA0"/>
    <w:rsid w:val="00882DCD"/>
    <w:rsid w:val="00883399"/>
    <w:rsid w:val="0088368D"/>
    <w:rsid w:val="00883A3D"/>
    <w:rsid w:val="00883A43"/>
    <w:rsid w:val="00884394"/>
    <w:rsid w:val="0088475C"/>
    <w:rsid w:val="008851D3"/>
    <w:rsid w:val="00885C38"/>
    <w:rsid w:val="00886D08"/>
    <w:rsid w:val="00886D0A"/>
    <w:rsid w:val="00887157"/>
    <w:rsid w:val="00887FDF"/>
    <w:rsid w:val="008900E0"/>
    <w:rsid w:val="00891B29"/>
    <w:rsid w:val="0089296D"/>
    <w:rsid w:val="008930F0"/>
    <w:rsid w:val="00893D2C"/>
    <w:rsid w:val="00893F6D"/>
    <w:rsid w:val="008947AD"/>
    <w:rsid w:val="008963FD"/>
    <w:rsid w:val="00896D37"/>
    <w:rsid w:val="00897432"/>
    <w:rsid w:val="00897E53"/>
    <w:rsid w:val="008A0A31"/>
    <w:rsid w:val="008A0DA6"/>
    <w:rsid w:val="008A1463"/>
    <w:rsid w:val="008A1FA2"/>
    <w:rsid w:val="008A2B56"/>
    <w:rsid w:val="008A3859"/>
    <w:rsid w:val="008A443A"/>
    <w:rsid w:val="008A4C9D"/>
    <w:rsid w:val="008A4FD2"/>
    <w:rsid w:val="008A50AB"/>
    <w:rsid w:val="008A5701"/>
    <w:rsid w:val="008A5DC0"/>
    <w:rsid w:val="008A66BC"/>
    <w:rsid w:val="008A680B"/>
    <w:rsid w:val="008A68CE"/>
    <w:rsid w:val="008A7090"/>
    <w:rsid w:val="008B0629"/>
    <w:rsid w:val="008B07BC"/>
    <w:rsid w:val="008B1242"/>
    <w:rsid w:val="008B165E"/>
    <w:rsid w:val="008B19FD"/>
    <w:rsid w:val="008B21AD"/>
    <w:rsid w:val="008B2795"/>
    <w:rsid w:val="008B2B3C"/>
    <w:rsid w:val="008B327D"/>
    <w:rsid w:val="008B3305"/>
    <w:rsid w:val="008B3C26"/>
    <w:rsid w:val="008B4705"/>
    <w:rsid w:val="008B5D4B"/>
    <w:rsid w:val="008B70EF"/>
    <w:rsid w:val="008B7125"/>
    <w:rsid w:val="008C01D1"/>
    <w:rsid w:val="008C022C"/>
    <w:rsid w:val="008C0A2D"/>
    <w:rsid w:val="008C1673"/>
    <w:rsid w:val="008C18E3"/>
    <w:rsid w:val="008C1D78"/>
    <w:rsid w:val="008C298A"/>
    <w:rsid w:val="008C30EB"/>
    <w:rsid w:val="008C326F"/>
    <w:rsid w:val="008C34B2"/>
    <w:rsid w:val="008C3788"/>
    <w:rsid w:val="008C3C39"/>
    <w:rsid w:val="008C48B0"/>
    <w:rsid w:val="008C50F3"/>
    <w:rsid w:val="008C541E"/>
    <w:rsid w:val="008C635B"/>
    <w:rsid w:val="008C6976"/>
    <w:rsid w:val="008C6B7D"/>
    <w:rsid w:val="008C7074"/>
    <w:rsid w:val="008C73F7"/>
    <w:rsid w:val="008C750D"/>
    <w:rsid w:val="008C7604"/>
    <w:rsid w:val="008D006B"/>
    <w:rsid w:val="008D0DFE"/>
    <w:rsid w:val="008D1112"/>
    <w:rsid w:val="008D14BB"/>
    <w:rsid w:val="008D176B"/>
    <w:rsid w:val="008D1776"/>
    <w:rsid w:val="008D196A"/>
    <w:rsid w:val="008D1A01"/>
    <w:rsid w:val="008D1F29"/>
    <w:rsid w:val="008D2835"/>
    <w:rsid w:val="008D3DDA"/>
    <w:rsid w:val="008D3FF4"/>
    <w:rsid w:val="008D4678"/>
    <w:rsid w:val="008D4831"/>
    <w:rsid w:val="008D48C6"/>
    <w:rsid w:val="008D53C2"/>
    <w:rsid w:val="008D53D8"/>
    <w:rsid w:val="008D57C7"/>
    <w:rsid w:val="008D5C9C"/>
    <w:rsid w:val="008D60BA"/>
    <w:rsid w:val="008D653F"/>
    <w:rsid w:val="008D73C3"/>
    <w:rsid w:val="008D73D2"/>
    <w:rsid w:val="008D78AA"/>
    <w:rsid w:val="008D7F7C"/>
    <w:rsid w:val="008E09C3"/>
    <w:rsid w:val="008E0ACA"/>
    <w:rsid w:val="008E1192"/>
    <w:rsid w:val="008E13BD"/>
    <w:rsid w:val="008E182C"/>
    <w:rsid w:val="008E1F58"/>
    <w:rsid w:val="008E20FF"/>
    <w:rsid w:val="008E272A"/>
    <w:rsid w:val="008E3521"/>
    <w:rsid w:val="008E3A2F"/>
    <w:rsid w:val="008E3AED"/>
    <w:rsid w:val="008E3DEE"/>
    <w:rsid w:val="008E4C75"/>
    <w:rsid w:val="008E513C"/>
    <w:rsid w:val="008E56F4"/>
    <w:rsid w:val="008E5BBA"/>
    <w:rsid w:val="008E601B"/>
    <w:rsid w:val="008E7038"/>
    <w:rsid w:val="008E71C7"/>
    <w:rsid w:val="008E72DC"/>
    <w:rsid w:val="008F0D04"/>
    <w:rsid w:val="008F0DD5"/>
    <w:rsid w:val="008F1581"/>
    <w:rsid w:val="008F1D9B"/>
    <w:rsid w:val="008F1E61"/>
    <w:rsid w:val="008F1EA8"/>
    <w:rsid w:val="008F1EB5"/>
    <w:rsid w:val="008F209F"/>
    <w:rsid w:val="008F21BA"/>
    <w:rsid w:val="008F2B13"/>
    <w:rsid w:val="008F2C55"/>
    <w:rsid w:val="008F3684"/>
    <w:rsid w:val="008F4D07"/>
    <w:rsid w:val="008F4F70"/>
    <w:rsid w:val="008F5627"/>
    <w:rsid w:val="008F57F6"/>
    <w:rsid w:val="008F5D76"/>
    <w:rsid w:val="008F5E15"/>
    <w:rsid w:val="008F62EF"/>
    <w:rsid w:val="008F6D8B"/>
    <w:rsid w:val="009006AA"/>
    <w:rsid w:val="00900FC5"/>
    <w:rsid w:val="009012FB"/>
    <w:rsid w:val="009020AD"/>
    <w:rsid w:val="0090215C"/>
    <w:rsid w:val="0090310A"/>
    <w:rsid w:val="009039C4"/>
    <w:rsid w:val="009039D8"/>
    <w:rsid w:val="00903E34"/>
    <w:rsid w:val="009041DE"/>
    <w:rsid w:val="00904440"/>
    <w:rsid w:val="0090512C"/>
    <w:rsid w:val="009051FB"/>
    <w:rsid w:val="0090546D"/>
    <w:rsid w:val="0090557C"/>
    <w:rsid w:val="0090562D"/>
    <w:rsid w:val="0090641A"/>
    <w:rsid w:val="0090737E"/>
    <w:rsid w:val="00907E49"/>
    <w:rsid w:val="009108E1"/>
    <w:rsid w:val="00910E84"/>
    <w:rsid w:val="00911411"/>
    <w:rsid w:val="00911B8C"/>
    <w:rsid w:val="00911DA0"/>
    <w:rsid w:val="0091226D"/>
    <w:rsid w:val="0091315A"/>
    <w:rsid w:val="0091353B"/>
    <w:rsid w:val="0091366D"/>
    <w:rsid w:val="00913C26"/>
    <w:rsid w:val="00914183"/>
    <w:rsid w:val="00914399"/>
    <w:rsid w:val="009145A3"/>
    <w:rsid w:val="0091562C"/>
    <w:rsid w:val="009160C9"/>
    <w:rsid w:val="009162A8"/>
    <w:rsid w:val="0091667E"/>
    <w:rsid w:val="009167E2"/>
    <w:rsid w:val="0091680A"/>
    <w:rsid w:val="00916F6B"/>
    <w:rsid w:val="009175E0"/>
    <w:rsid w:val="00917990"/>
    <w:rsid w:val="00917A63"/>
    <w:rsid w:val="00917BC5"/>
    <w:rsid w:val="00917EE9"/>
    <w:rsid w:val="0092012A"/>
    <w:rsid w:val="00921262"/>
    <w:rsid w:val="00921588"/>
    <w:rsid w:val="009223FB"/>
    <w:rsid w:val="00922FE6"/>
    <w:rsid w:val="009231A5"/>
    <w:rsid w:val="00923559"/>
    <w:rsid w:val="009240F6"/>
    <w:rsid w:val="0092429A"/>
    <w:rsid w:val="00924C97"/>
    <w:rsid w:val="00925C80"/>
    <w:rsid w:val="00925CA5"/>
    <w:rsid w:val="00925E60"/>
    <w:rsid w:val="00925EDD"/>
    <w:rsid w:val="00926944"/>
    <w:rsid w:val="009269F4"/>
    <w:rsid w:val="009272C0"/>
    <w:rsid w:val="00927717"/>
    <w:rsid w:val="00927E90"/>
    <w:rsid w:val="00927EF1"/>
    <w:rsid w:val="0093004F"/>
    <w:rsid w:val="0093040B"/>
    <w:rsid w:val="00930460"/>
    <w:rsid w:val="00930DB4"/>
    <w:rsid w:val="00930E6C"/>
    <w:rsid w:val="0093211F"/>
    <w:rsid w:val="00932186"/>
    <w:rsid w:val="009325A8"/>
    <w:rsid w:val="0093296D"/>
    <w:rsid w:val="00933BBE"/>
    <w:rsid w:val="00934030"/>
    <w:rsid w:val="009343A4"/>
    <w:rsid w:val="009344DC"/>
    <w:rsid w:val="00934F91"/>
    <w:rsid w:val="00935767"/>
    <w:rsid w:val="00935852"/>
    <w:rsid w:val="009366A7"/>
    <w:rsid w:val="009366D4"/>
    <w:rsid w:val="00936734"/>
    <w:rsid w:val="009367C4"/>
    <w:rsid w:val="00937178"/>
    <w:rsid w:val="00937331"/>
    <w:rsid w:val="00937702"/>
    <w:rsid w:val="00937A89"/>
    <w:rsid w:val="00937BBD"/>
    <w:rsid w:val="00937E06"/>
    <w:rsid w:val="00937E15"/>
    <w:rsid w:val="00937F0C"/>
    <w:rsid w:val="00940328"/>
    <w:rsid w:val="009403AD"/>
    <w:rsid w:val="0094044B"/>
    <w:rsid w:val="00940EA8"/>
    <w:rsid w:val="00940FE5"/>
    <w:rsid w:val="00941E99"/>
    <w:rsid w:val="009420B2"/>
    <w:rsid w:val="009426F7"/>
    <w:rsid w:val="009427EB"/>
    <w:rsid w:val="00942C9B"/>
    <w:rsid w:val="0094308D"/>
    <w:rsid w:val="009431A6"/>
    <w:rsid w:val="009435CE"/>
    <w:rsid w:val="00944338"/>
    <w:rsid w:val="00944627"/>
    <w:rsid w:val="00944890"/>
    <w:rsid w:val="009448F8"/>
    <w:rsid w:val="00944B8F"/>
    <w:rsid w:val="0094633A"/>
    <w:rsid w:val="009463C3"/>
    <w:rsid w:val="0094683F"/>
    <w:rsid w:val="00946883"/>
    <w:rsid w:val="00947D06"/>
    <w:rsid w:val="009501B4"/>
    <w:rsid w:val="0095090A"/>
    <w:rsid w:val="00951176"/>
    <w:rsid w:val="009511A9"/>
    <w:rsid w:val="00951C14"/>
    <w:rsid w:val="00951D98"/>
    <w:rsid w:val="00951E83"/>
    <w:rsid w:val="0095270C"/>
    <w:rsid w:val="00952D62"/>
    <w:rsid w:val="00953E5F"/>
    <w:rsid w:val="009544DF"/>
    <w:rsid w:val="00954BBF"/>
    <w:rsid w:val="00954CE2"/>
    <w:rsid w:val="009556AA"/>
    <w:rsid w:val="009557EA"/>
    <w:rsid w:val="00955A05"/>
    <w:rsid w:val="00955DC8"/>
    <w:rsid w:val="009567AC"/>
    <w:rsid w:val="00956CC1"/>
    <w:rsid w:val="00956E59"/>
    <w:rsid w:val="0096006A"/>
    <w:rsid w:val="009606FD"/>
    <w:rsid w:val="00960E05"/>
    <w:rsid w:val="00961073"/>
    <w:rsid w:val="009619E6"/>
    <w:rsid w:val="00961D25"/>
    <w:rsid w:val="00962004"/>
    <w:rsid w:val="00962749"/>
    <w:rsid w:val="00962F63"/>
    <w:rsid w:val="00962FD6"/>
    <w:rsid w:val="009635FF"/>
    <w:rsid w:val="00963799"/>
    <w:rsid w:val="00963E5A"/>
    <w:rsid w:val="00964B36"/>
    <w:rsid w:val="00965662"/>
    <w:rsid w:val="0096612D"/>
    <w:rsid w:val="009661FC"/>
    <w:rsid w:val="0096631B"/>
    <w:rsid w:val="00966592"/>
    <w:rsid w:val="00966977"/>
    <w:rsid w:val="009672EC"/>
    <w:rsid w:val="00967BB9"/>
    <w:rsid w:val="00967E84"/>
    <w:rsid w:val="00970FB3"/>
    <w:rsid w:val="00971228"/>
    <w:rsid w:val="00971857"/>
    <w:rsid w:val="00971C40"/>
    <w:rsid w:val="0097264F"/>
    <w:rsid w:val="00973445"/>
    <w:rsid w:val="00973722"/>
    <w:rsid w:val="0097384D"/>
    <w:rsid w:val="009749AD"/>
    <w:rsid w:val="009750CE"/>
    <w:rsid w:val="00975816"/>
    <w:rsid w:val="00975AAE"/>
    <w:rsid w:val="00975E09"/>
    <w:rsid w:val="00976910"/>
    <w:rsid w:val="00976DCD"/>
    <w:rsid w:val="009772CA"/>
    <w:rsid w:val="009772D1"/>
    <w:rsid w:val="00980EC7"/>
    <w:rsid w:val="009810FB"/>
    <w:rsid w:val="00982E94"/>
    <w:rsid w:val="00983265"/>
    <w:rsid w:val="00983505"/>
    <w:rsid w:val="0098490F"/>
    <w:rsid w:val="00984DA3"/>
    <w:rsid w:val="0098552E"/>
    <w:rsid w:val="00985622"/>
    <w:rsid w:val="009863C0"/>
    <w:rsid w:val="00986786"/>
    <w:rsid w:val="00986FE2"/>
    <w:rsid w:val="009875A2"/>
    <w:rsid w:val="00987A25"/>
    <w:rsid w:val="00987A4B"/>
    <w:rsid w:val="00987AE4"/>
    <w:rsid w:val="00987CE4"/>
    <w:rsid w:val="00987D06"/>
    <w:rsid w:val="00987F6E"/>
    <w:rsid w:val="00990212"/>
    <w:rsid w:val="00990A2E"/>
    <w:rsid w:val="00990D38"/>
    <w:rsid w:val="00991234"/>
    <w:rsid w:val="00991AB2"/>
    <w:rsid w:val="0099209A"/>
    <w:rsid w:val="009926DE"/>
    <w:rsid w:val="0099311B"/>
    <w:rsid w:val="009931B5"/>
    <w:rsid w:val="0099382C"/>
    <w:rsid w:val="00994293"/>
    <w:rsid w:val="009947C7"/>
    <w:rsid w:val="00994968"/>
    <w:rsid w:val="00994F58"/>
    <w:rsid w:val="009955F2"/>
    <w:rsid w:val="00995EA7"/>
    <w:rsid w:val="00996230"/>
    <w:rsid w:val="0099674B"/>
    <w:rsid w:val="00996BA8"/>
    <w:rsid w:val="00996FC9"/>
    <w:rsid w:val="00997295"/>
    <w:rsid w:val="009973BB"/>
    <w:rsid w:val="009975EC"/>
    <w:rsid w:val="00997A43"/>
    <w:rsid w:val="00997C45"/>
    <w:rsid w:val="00997DE6"/>
    <w:rsid w:val="009A044E"/>
    <w:rsid w:val="009A067C"/>
    <w:rsid w:val="009A0929"/>
    <w:rsid w:val="009A1307"/>
    <w:rsid w:val="009A147A"/>
    <w:rsid w:val="009A158A"/>
    <w:rsid w:val="009A2AD3"/>
    <w:rsid w:val="009A2D3C"/>
    <w:rsid w:val="009A38EA"/>
    <w:rsid w:val="009A3E8B"/>
    <w:rsid w:val="009A3FA1"/>
    <w:rsid w:val="009A4971"/>
    <w:rsid w:val="009A4AC9"/>
    <w:rsid w:val="009A50B6"/>
    <w:rsid w:val="009A52F8"/>
    <w:rsid w:val="009A5BBF"/>
    <w:rsid w:val="009A5BCC"/>
    <w:rsid w:val="009A5E4F"/>
    <w:rsid w:val="009A6453"/>
    <w:rsid w:val="009A7350"/>
    <w:rsid w:val="009A7BBC"/>
    <w:rsid w:val="009B0036"/>
    <w:rsid w:val="009B051D"/>
    <w:rsid w:val="009B064C"/>
    <w:rsid w:val="009B0738"/>
    <w:rsid w:val="009B08E4"/>
    <w:rsid w:val="009B0977"/>
    <w:rsid w:val="009B0984"/>
    <w:rsid w:val="009B09EA"/>
    <w:rsid w:val="009B15F6"/>
    <w:rsid w:val="009B1713"/>
    <w:rsid w:val="009B1721"/>
    <w:rsid w:val="009B1E96"/>
    <w:rsid w:val="009B2E77"/>
    <w:rsid w:val="009B3F96"/>
    <w:rsid w:val="009B449E"/>
    <w:rsid w:val="009B45A3"/>
    <w:rsid w:val="009B46C0"/>
    <w:rsid w:val="009B4DFD"/>
    <w:rsid w:val="009B50FB"/>
    <w:rsid w:val="009B536C"/>
    <w:rsid w:val="009B6065"/>
    <w:rsid w:val="009B62F2"/>
    <w:rsid w:val="009B62F9"/>
    <w:rsid w:val="009B6D9A"/>
    <w:rsid w:val="009B753E"/>
    <w:rsid w:val="009B78BC"/>
    <w:rsid w:val="009C0765"/>
    <w:rsid w:val="009C18C6"/>
    <w:rsid w:val="009C1D50"/>
    <w:rsid w:val="009C2054"/>
    <w:rsid w:val="009C24EB"/>
    <w:rsid w:val="009C2594"/>
    <w:rsid w:val="009C2A6B"/>
    <w:rsid w:val="009C2C3F"/>
    <w:rsid w:val="009C2E5A"/>
    <w:rsid w:val="009C2FEF"/>
    <w:rsid w:val="009C30A3"/>
    <w:rsid w:val="009C341D"/>
    <w:rsid w:val="009C3FD0"/>
    <w:rsid w:val="009C547C"/>
    <w:rsid w:val="009C5F2F"/>
    <w:rsid w:val="009C6341"/>
    <w:rsid w:val="009C653D"/>
    <w:rsid w:val="009C721E"/>
    <w:rsid w:val="009C7B7E"/>
    <w:rsid w:val="009C7E43"/>
    <w:rsid w:val="009D06E2"/>
    <w:rsid w:val="009D0ADA"/>
    <w:rsid w:val="009D0CF2"/>
    <w:rsid w:val="009D0D00"/>
    <w:rsid w:val="009D0F09"/>
    <w:rsid w:val="009D1F8D"/>
    <w:rsid w:val="009D1FAB"/>
    <w:rsid w:val="009D21CC"/>
    <w:rsid w:val="009D2C24"/>
    <w:rsid w:val="009D3C6F"/>
    <w:rsid w:val="009D3E39"/>
    <w:rsid w:val="009D4399"/>
    <w:rsid w:val="009D4E74"/>
    <w:rsid w:val="009D4F20"/>
    <w:rsid w:val="009D4F9E"/>
    <w:rsid w:val="009D511B"/>
    <w:rsid w:val="009D56E3"/>
    <w:rsid w:val="009D5B81"/>
    <w:rsid w:val="009D62F2"/>
    <w:rsid w:val="009E05D6"/>
    <w:rsid w:val="009E1E3D"/>
    <w:rsid w:val="009E202C"/>
    <w:rsid w:val="009E28B9"/>
    <w:rsid w:val="009E2E3B"/>
    <w:rsid w:val="009E3980"/>
    <w:rsid w:val="009E3B55"/>
    <w:rsid w:val="009E3ED7"/>
    <w:rsid w:val="009E43F8"/>
    <w:rsid w:val="009E4599"/>
    <w:rsid w:val="009E469A"/>
    <w:rsid w:val="009E5682"/>
    <w:rsid w:val="009E6012"/>
    <w:rsid w:val="009E6B24"/>
    <w:rsid w:val="009E7C7C"/>
    <w:rsid w:val="009E7EDD"/>
    <w:rsid w:val="009F0AA2"/>
    <w:rsid w:val="009F1097"/>
    <w:rsid w:val="009F1983"/>
    <w:rsid w:val="009F1E90"/>
    <w:rsid w:val="009F23BD"/>
    <w:rsid w:val="009F28DA"/>
    <w:rsid w:val="009F2913"/>
    <w:rsid w:val="009F38CE"/>
    <w:rsid w:val="009F38FF"/>
    <w:rsid w:val="009F3C50"/>
    <w:rsid w:val="009F3FDB"/>
    <w:rsid w:val="009F40D6"/>
    <w:rsid w:val="009F425D"/>
    <w:rsid w:val="009F42B3"/>
    <w:rsid w:val="009F48AA"/>
    <w:rsid w:val="009F4E34"/>
    <w:rsid w:val="009F532D"/>
    <w:rsid w:val="009F5ABB"/>
    <w:rsid w:val="009F6253"/>
    <w:rsid w:val="009F6ACC"/>
    <w:rsid w:val="009F7087"/>
    <w:rsid w:val="009F7DA5"/>
    <w:rsid w:val="009F7F00"/>
    <w:rsid w:val="00A00672"/>
    <w:rsid w:val="00A00F9E"/>
    <w:rsid w:val="00A012DB"/>
    <w:rsid w:val="00A01594"/>
    <w:rsid w:val="00A01A2C"/>
    <w:rsid w:val="00A01B11"/>
    <w:rsid w:val="00A0283A"/>
    <w:rsid w:val="00A02887"/>
    <w:rsid w:val="00A02FCC"/>
    <w:rsid w:val="00A04318"/>
    <w:rsid w:val="00A04927"/>
    <w:rsid w:val="00A0497C"/>
    <w:rsid w:val="00A04F4B"/>
    <w:rsid w:val="00A04FFB"/>
    <w:rsid w:val="00A0621B"/>
    <w:rsid w:val="00A0695D"/>
    <w:rsid w:val="00A06E12"/>
    <w:rsid w:val="00A10AC7"/>
    <w:rsid w:val="00A10DA5"/>
    <w:rsid w:val="00A11319"/>
    <w:rsid w:val="00A12A2D"/>
    <w:rsid w:val="00A12DAA"/>
    <w:rsid w:val="00A13915"/>
    <w:rsid w:val="00A13C4E"/>
    <w:rsid w:val="00A13F87"/>
    <w:rsid w:val="00A14560"/>
    <w:rsid w:val="00A14628"/>
    <w:rsid w:val="00A14D7C"/>
    <w:rsid w:val="00A14E53"/>
    <w:rsid w:val="00A15418"/>
    <w:rsid w:val="00A16B7B"/>
    <w:rsid w:val="00A178E7"/>
    <w:rsid w:val="00A17F7B"/>
    <w:rsid w:val="00A20195"/>
    <w:rsid w:val="00A20303"/>
    <w:rsid w:val="00A2032E"/>
    <w:rsid w:val="00A20829"/>
    <w:rsid w:val="00A21549"/>
    <w:rsid w:val="00A227E1"/>
    <w:rsid w:val="00A23F13"/>
    <w:rsid w:val="00A240BF"/>
    <w:rsid w:val="00A24643"/>
    <w:rsid w:val="00A249A0"/>
    <w:rsid w:val="00A249F7"/>
    <w:rsid w:val="00A24B24"/>
    <w:rsid w:val="00A24B51"/>
    <w:rsid w:val="00A24C80"/>
    <w:rsid w:val="00A24E4F"/>
    <w:rsid w:val="00A25119"/>
    <w:rsid w:val="00A252C3"/>
    <w:rsid w:val="00A256A4"/>
    <w:rsid w:val="00A2728D"/>
    <w:rsid w:val="00A27767"/>
    <w:rsid w:val="00A3027C"/>
    <w:rsid w:val="00A30A76"/>
    <w:rsid w:val="00A30EB9"/>
    <w:rsid w:val="00A31367"/>
    <w:rsid w:val="00A32198"/>
    <w:rsid w:val="00A32CAE"/>
    <w:rsid w:val="00A3371D"/>
    <w:rsid w:val="00A33C2B"/>
    <w:rsid w:val="00A33E54"/>
    <w:rsid w:val="00A341C0"/>
    <w:rsid w:val="00A348D3"/>
    <w:rsid w:val="00A3523E"/>
    <w:rsid w:val="00A352BC"/>
    <w:rsid w:val="00A3741B"/>
    <w:rsid w:val="00A37822"/>
    <w:rsid w:val="00A37BD5"/>
    <w:rsid w:val="00A37C8C"/>
    <w:rsid w:val="00A37DB5"/>
    <w:rsid w:val="00A37E59"/>
    <w:rsid w:val="00A4079A"/>
    <w:rsid w:val="00A40A62"/>
    <w:rsid w:val="00A40C5B"/>
    <w:rsid w:val="00A40D9E"/>
    <w:rsid w:val="00A40E17"/>
    <w:rsid w:val="00A412B4"/>
    <w:rsid w:val="00A415A9"/>
    <w:rsid w:val="00A4168A"/>
    <w:rsid w:val="00A41767"/>
    <w:rsid w:val="00A42538"/>
    <w:rsid w:val="00A42AAE"/>
    <w:rsid w:val="00A43680"/>
    <w:rsid w:val="00A43A3B"/>
    <w:rsid w:val="00A44286"/>
    <w:rsid w:val="00A4460E"/>
    <w:rsid w:val="00A446ED"/>
    <w:rsid w:val="00A44794"/>
    <w:rsid w:val="00A44E0A"/>
    <w:rsid w:val="00A44F16"/>
    <w:rsid w:val="00A4514A"/>
    <w:rsid w:val="00A4544B"/>
    <w:rsid w:val="00A45793"/>
    <w:rsid w:val="00A4612A"/>
    <w:rsid w:val="00A461A9"/>
    <w:rsid w:val="00A463B8"/>
    <w:rsid w:val="00A46541"/>
    <w:rsid w:val="00A4681D"/>
    <w:rsid w:val="00A473A0"/>
    <w:rsid w:val="00A47613"/>
    <w:rsid w:val="00A50017"/>
    <w:rsid w:val="00A5097F"/>
    <w:rsid w:val="00A50A2F"/>
    <w:rsid w:val="00A50C8A"/>
    <w:rsid w:val="00A51A64"/>
    <w:rsid w:val="00A51A85"/>
    <w:rsid w:val="00A53E27"/>
    <w:rsid w:val="00A54707"/>
    <w:rsid w:val="00A555A6"/>
    <w:rsid w:val="00A555DC"/>
    <w:rsid w:val="00A556DE"/>
    <w:rsid w:val="00A55B03"/>
    <w:rsid w:val="00A55DC7"/>
    <w:rsid w:val="00A56DCA"/>
    <w:rsid w:val="00A57514"/>
    <w:rsid w:val="00A608D2"/>
    <w:rsid w:val="00A60A7C"/>
    <w:rsid w:val="00A61FD1"/>
    <w:rsid w:val="00A62B13"/>
    <w:rsid w:val="00A63118"/>
    <w:rsid w:val="00A632CE"/>
    <w:rsid w:val="00A63947"/>
    <w:rsid w:val="00A64063"/>
    <w:rsid w:val="00A64B4B"/>
    <w:rsid w:val="00A64DD4"/>
    <w:rsid w:val="00A65021"/>
    <w:rsid w:val="00A6526E"/>
    <w:rsid w:val="00A6574A"/>
    <w:rsid w:val="00A66962"/>
    <w:rsid w:val="00A70049"/>
    <w:rsid w:val="00A700D2"/>
    <w:rsid w:val="00A71831"/>
    <w:rsid w:val="00A72295"/>
    <w:rsid w:val="00A72310"/>
    <w:rsid w:val="00A72611"/>
    <w:rsid w:val="00A72FE5"/>
    <w:rsid w:val="00A73091"/>
    <w:rsid w:val="00A7328B"/>
    <w:rsid w:val="00A73DA1"/>
    <w:rsid w:val="00A73EF0"/>
    <w:rsid w:val="00A74112"/>
    <w:rsid w:val="00A74918"/>
    <w:rsid w:val="00A74B3D"/>
    <w:rsid w:val="00A7504B"/>
    <w:rsid w:val="00A76160"/>
    <w:rsid w:val="00A76521"/>
    <w:rsid w:val="00A77154"/>
    <w:rsid w:val="00A77462"/>
    <w:rsid w:val="00A775F1"/>
    <w:rsid w:val="00A7792B"/>
    <w:rsid w:val="00A8034E"/>
    <w:rsid w:val="00A80774"/>
    <w:rsid w:val="00A80B22"/>
    <w:rsid w:val="00A81005"/>
    <w:rsid w:val="00A8137D"/>
    <w:rsid w:val="00A81543"/>
    <w:rsid w:val="00A81A39"/>
    <w:rsid w:val="00A81EB5"/>
    <w:rsid w:val="00A825FF"/>
    <w:rsid w:val="00A8294F"/>
    <w:rsid w:val="00A8297B"/>
    <w:rsid w:val="00A8413F"/>
    <w:rsid w:val="00A841C9"/>
    <w:rsid w:val="00A84E08"/>
    <w:rsid w:val="00A851FA"/>
    <w:rsid w:val="00A85602"/>
    <w:rsid w:val="00A85A19"/>
    <w:rsid w:val="00A8631F"/>
    <w:rsid w:val="00A90046"/>
    <w:rsid w:val="00A90542"/>
    <w:rsid w:val="00A90A3E"/>
    <w:rsid w:val="00A9101B"/>
    <w:rsid w:val="00A91A56"/>
    <w:rsid w:val="00A91A5F"/>
    <w:rsid w:val="00A91FD2"/>
    <w:rsid w:val="00A93845"/>
    <w:rsid w:val="00A94ED5"/>
    <w:rsid w:val="00A953AC"/>
    <w:rsid w:val="00A95437"/>
    <w:rsid w:val="00A95523"/>
    <w:rsid w:val="00A96705"/>
    <w:rsid w:val="00A968C9"/>
    <w:rsid w:val="00A9696C"/>
    <w:rsid w:val="00A977B0"/>
    <w:rsid w:val="00AA07C3"/>
    <w:rsid w:val="00AA0987"/>
    <w:rsid w:val="00AA1E72"/>
    <w:rsid w:val="00AA274A"/>
    <w:rsid w:val="00AA3595"/>
    <w:rsid w:val="00AA3FD0"/>
    <w:rsid w:val="00AA4582"/>
    <w:rsid w:val="00AA46BC"/>
    <w:rsid w:val="00AA5177"/>
    <w:rsid w:val="00AA5334"/>
    <w:rsid w:val="00AA54D3"/>
    <w:rsid w:val="00AA55C7"/>
    <w:rsid w:val="00AA6367"/>
    <w:rsid w:val="00AA67FF"/>
    <w:rsid w:val="00AA7215"/>
    <w:rsid w:val="00AA7CAF"/>
    <w:rsid w:val="00AB0046"/>
    <w:rsid w:val="00AB0C38"/>
    <w:rsid w:val="00AB1750"/>
    <w:rsid w:val="00AB1878"/>
    <w:rsid w:val="00AB1C75"/>
    <w:rsid w:val="00AB24F1"/>
    <w:rsid w:val="00AB365E"/>
    <w:rsid w:val="00AB4413"/>
    <w:rsid w:val="00AB443B"/>
    <w:rsid w:val="00AB44CD"/>
    <w:rsid w:val="00AB4667"/>
    <w:rsid w:val="00AB4A85"/>
    <w:rsid w:val="00AB4E1B"/>
    <w:rsid w:val="00AB4EA7"/>
    <w:rsid w:val="00AB5AF3"/>
    <w:rsid w:val="00AB6B43"/>
    <w:rsid w:val="00AB6E51"/>
    <w:rsid w:val="00AB76E0"/>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45F"/>
    <w:rsid w:val="00AC6DDB"/>
    <w:rsid w:val="00AC779C"/>
    <w:rsid w:val="00AD0B87"/>
    <w:rsid w:val="00AD12AC"/>
    <w:rsid w:val="00AD1536"/>
    <w:rsid w:val="00AD1C9E"/>
    <w:rsid w:val="00AD23B2"/>
    <w:rsid w:val="00AD27B4"/>
    <w:rsid w:val="00AD32F7"/>
    <w:rsid w:val="00AD3741"/>
    <w:rsid w:val="00AD3A95"/>
    <w:rsid w:val="00AD3DB0"/>
    <w:rsid w:val="00AD4519"/>
    <w:rsid w:val="00AD481E"/>
    <w:rsid w:val="00AD584B"/>
    <w:rsid w:val="00AD5DC0"/>
    <w:rsid w:val="00AD5FD7"/>
    <w:rsid w:val="00AD63D3"/>
    <w:rsid w:val="00AD65BA"/>
    <w:rsid w:val="00AD6B5D"/>
    <w:rsid w:val="00AD7027"/>
    <w:rsid w:val="00AD7C25"/>
    <w:rsid w:val="00AE120E"/>
    <w:rsid w:val="00AE17A1"/>
    <w:rsid w:val="00AE22BE"/>
    <w:rsid w:val="00AE244F"/>
    <w:rsid w:val="00AE2E7B"/>
    <w:rsid w:val="00AE39A2"/>
    <w:rsid w:val="00AE4870"/>
    <w:rsid w:val="00AE5544"/>
    <w:rsid w:val="00AE6D16"/>
    <w:rsid w:val="00AE6E66"/>
    <w:rsid w:val="00AE70AA"/>
    <w:rsid w:val="00AE73F3"/>
    <w:rsid w:val="00AF0119"/>
    <w:rsid w:val="00AF0271"/>
    <w:rsid w:val="00AF099F"/>
    <w:rsid w:val="00AF1218"/>
    <w:rsid w:val="00AF12CD"/>
    <w:rsid w:val="00AF190A"/>
    <w:rsid w:val="00AF1BD5"/>
    <w:rsid w:val="00AF1CA0"/>
    <w:rsid w:val="00AF1E89"/>
    <w:rsid w:val="00AF1FFD"/>
    <w:rsid w:val="00AF205D"/>
    <w:rsid w:val="00AF242C"/>
    <w:rsid w:val="00AF2903"/>
    <w:rsid w:val="00AF3022"/>
    <w:rsid w:val="00AF3241"/>
    <w:rsid w:val="00AF4235"/>
    <w:rsid w:val="00AF489E"/>
    <w:rsid w:val="00AF5E98"/>
    <w:rsid w:val="00AF5ED0"/>
    <w:rsid w:val="00AF68D2"/>
    <w:rsid w:val="00AF708D"/>
    <w:rsid w:val="00AF71A0"/>
    <w:rsid w:val="00AF74C8"/>
    <w:rsid w:val="00AF7B4A"/>
    <w:rsid w:val="00AF7DE7"/>
    <w:rsid w:val="00B00085"/>
    <w:rsid w:val="00B00210"/>
    <w:rsid w:val="00B00966"/>
    <w:rsid w:val="00B00ACA"/>
    <w:rsid w:val="00B00DE8"/>
    <w:rsid w:val="00B011F2"/>
    <w:rsid w:val="00B01790"/>
    <w:rsid w:val="00B0247F"/>
    <w:rsid w:val="00B02A41"/>
    <w:rsid w:val="00B02B0D"/>
    <w:rsid w:val="00B0343C"/>
    <w:rsid w:val="00B036E0"/>
    <w:rsid w:val="00B03AF2"/>
    <w:rsid w:val="00B03D11"/>
    <w:rsid w:val="00B04268"/>
    <w:rsid w:val="00B049D7"/>
    <w:rsid w:val="00B04A6B"/>
    <w:rsid w:val="00B04D85"/>
    <w:rsid w:val="00B04F49"/>
    <w:rsid w:val="00B05191"/>
    <w:rsid w:val="00B0527D"/>
    <w:rsid w:val="00B0532B"/>
    <w:rsid w:val="00B05EF9"/>
    <w:rsid w:val="00B067C3"/>
    <w:rsid w:val="00B06E02"/>
    <w:rsid w:val="00B07348"/>
    <w:rsid w:val="00B07CFD"/>
    <w:rsid w:val="00B100AC"/>
    <w:rsid w:val="00B103A6"/>
    <w:rsid w:val="00B1053E"/>
    <w:rsid w:val="00B10A61"/>
    <w:rsid w:val="00B110AB"/>
    <w:rsid w:val="00B110C1"/>
    <w:rsid w:val="00B120BC"/>
    <w:rsid w:val="00B12935"/>
    <w:rsid w:val="00B129B7"/>
    <w:rsid w:val="00B12B2D"/>
    <w:rsid w:val="00B13128"/>
    <w:rsid w:val="00B13721"/>
    <w:rsid w:val="00B13C4B"/>
    <w:rsid w:val="00B144C7"/>
    <w:rsid w:val="00B153A2"/>
    <w:rsid w:val="00B16262"/>
    <w:rsid w:val="00B169E2"/>
    <w:rsid w:val="00B16A1D"/>
    <w:rsid w:val="00B16BE0"/>
    <w:rsid w:val="00B16C80"/>
    <w:rsid w:val="00B170A3"/>
    <w:rsid w:val="00B1783A"/>
    <w:rsid w:val="00B17ADD"/>
    <w:rsid w:val="00B20173"/>
    <w:rsid w:val="00B201FA"/>
    <w:rsid w:val="00B20366"/>
    <w:rsid w:val="00B209F4"/>
    <w:rsid w:val="00B20BB9"/>
    <w:rsid w:val="00B20F01"/>
    <w:rsid w:val="00B2122C"/>
    <w:rsid w:val="00B21242"/>
    <w:rsid w:val="00B22967"/>
    <w:rsid w:val="00B22D04"/>
    <w:rsid w:val="00B22E38"/>
    <w:rsid w:val="00B23068"/>
    <w:rsid w:val="00B237FA"/>
    <w:rsid w:val="00B2387C"/>
    <w:rsid w:val="00B23FEF"/>
    <w:rsid w:val="00B24250"/>
    <w:rsid w:val="00B2429A"/>
    <w:rsid w:val="00B24950"/>
    <w:rsid w:val="00B2495D"/>
    <w:rsid w:val="00B24D9B"/>
    <w:rsid w:val="00B24E45"/>
    <w:rsid w:val="00B24EA2"/>
    <w:rsid w:val="00B25CF2"/>
    <w:rsid w:val="00B2623A"/>
    <w:rsid w:val="00B26519"/>
    <w:rsid w:val="00B268B1"/>
    <w:rsid w:val="00B26E23"/>
    <w:rsid w:val="00B27B66"/>
    <w:rsid w:val="00B3002A"/>
    <w:rsid w:val="00B30463"/>
    <w:rsid w:val="00B30A94"/>
    <w:rsid w:val="00B30B56"/>
    <w:rsid w:val="00B30D39"/>
    <w:rsid w:val="00B30D6F"/>
    <w:rsid w:val="00B31322"/>
    <w:rsid w:val="00B316F9"/>
    <w:rsid w:val="00B31D49"/>
    <w:rsid w:val="00B32126"/>
    <w:rsid w:val="00B329C7"/>
    <w:rsid w:val="00B32A95"/>
    <w:rsid w:val="00B33729"/>
    <w:rsid w:val="00B34F16"/>
    <w:rsid w:val="00B35DC3"/>
    <w:rsid w:val="00B3677B"/>
    <w:rsid w:val="00B36A14"/>
    <w:rsid w:val="00B36ED3"/>
    <w:rsid w:val="00B3738D"/>
    <w:rsid w:val="00B378BA"/>
    <w:rsid w:val="00B37E05"/>
    <w:rsid w:val="00B37E10"/>
    <w:rsid w:val="00B37F65"/>
    <w:rsid w:val="00B37F8A"/>
    <w:rsid w:val="00B40C9B"/>
    <w:rsid w:val="00B40E83"/>
    <w:rsid w:val="00B414B6"/>
    <w:rsid w:val="00B4152F"/>
    <w:rsid w:val="00B417F7"/>
    <w:rsid w:val="00B418FB"/>
    <w:rsid w:val="00B41A74"/>
    <w:rsid w:val="00B41DDD"/>
    <w:rsid w:val="00B41FED"/>
    <w:rsid w:val="00B421CC"/>
    <w:rsid w:val="00B42914"/>
    <w:rsid w:val="00B42F86"/>
    <w:rsid w:val="00B43287"/>
    <w:rsid w:val="00B432B9"/>
    <w:rsid w:val="00B43A5C"/>
    <w:rsid w:val="00B446D3"/>
    <w:rsid w:val="00B44C1C"/>
    <w:rsid w:val="00B45B92"/>
    <w:rsid w:val="00B45BCB"/>
    <w:rsid w:val="00B45C7E"/>
    <w:rsid w:val="00B46240"/>
    <w:rsid w:val="00B4647C"/>
    <w:rsid w:val="00B466BC"/>
    <w:rsid w:val="00B47730"/>
    <w:rsid w:val="00B51846"/>
    <w:rsid w:val="00B5196B"/>
    <w:rsid w:val="00B5197A"/>
    <w:rsid w:val="00B52123"/>
    <w:rsid w:val="00B52192"/>
    <w:rsid w:val="00B52604"/>
    <w:rsid w:val="00B529DF"/>
    <w:rsid w:val="00B52E1C"/>
    <w:rsid w:val="00B53232"/>
    <w:rsid w:val="00B538A7"/>
    <w:rsid w:val="00B53F30"/>
    <w:rsid w:val="00B542CF"/>
    <w:rsid w:val="00B54324"/>
    <w:rsid w:val="00B5559A"/>
    <w:rsid w:val="00B55E9E"/>
    <w:rsid w:val="00B566E2"/>
    <w:rsid w:val="00B56E2A"/>
    <w:rsid w:val="00B56EBF"/>
    <w:rsid w:val="00B570CB"/>
    <w:rsid w:val="00B573FE"/>
    <w:rsid w:val="00B5742D"/>
    <w:rsid w:val="00B57DC1"/>
    <w:rsid w:val="00B602EC"/>
    <w:rsid w:val="00B6079A"/>
    <w:rsid w:val="00B608A3"/>
    <w:rsid w:val="00B608CB"/>
    <w:rsid w:val="00B60FE8"/>
    <w:rsid w:val="00B6108F"/>
    <w:rsid w:val="00B611F8"/>
    <w:rsid w:val="00B61869"/>
    <w:rsid w:val="00B61C85"/>
    <w:rsid w:val="00B625C3"/>
    <w:rsid w:val="00B62756"/>
    <w:rsid w:val="00B63FEA"/>
    <w:rsid w:val="00B64205"/>
    <w:rsid w:val="00B6431D"/>
    <w:rsid w:val="00B64340"/>
    <w:rsid w:val="00B64364"/>
    <w:rsid w:val="00B646BF"/>
    <w:rsid w:val="00B64941"/>
    <w:rsid w:val="00B64C57"/>
    <w:rsid w:val="00B654DB"/>
    <w:rsid w:val="00B657E8"/>
    <w:rsid w:val="00B65833"/>
    <w:rsid w:val="00B65A2D"/>
    <w:rsid w:val="00B65BBE"/>
    <w:rsid w:val="00B66261"/>
    <w:rsid w:val="00B66672"/>
    <w:rsid w:val="00B669A6"/>
    <w:rsid w:val="00B67B77"/>
    <w:rsid w:val="00B703AF"/>
    <w:rsid w:val="00B708FB"/>
    <w:rsid w:val="00B70BA5"/>
    <w:rsid w:val="00B711C3"/>
    <w:rsid w:val="00B716C8"/>
    <w:rsid w:val="00B721C7"/>
    <w:rsid w:val="00B72BCF"/>
    <w:rsid w:val="00B72E9D"/>
    <w:rsid w:val="00B73395"/>
    <w:rsid w:val="00B738DC"/>
    <w:rsid w:val="00B74039"/>
    <w:rsid w:val="00B74095"/>
    <w:rsid w:val="00B7424D"/>
    <w:rsid w:val="00B74475"/>
    <w:rsid w:val="00B74858"/>
    <w:rsid w:val="00B748F7"/>
    <w:rsid w:val="00B74A09"/>
    <w:rsid w:val="00B74D9E"/>
    <w:rsid w:val="00B74E27"/>
    <w:rsid w:val="00B75514"/>
    <w:rsid w:val="00B75DEF"/>
    <w:rsid w:val="00B76064"/>
    <w:rsid w:val="00B76708"/>
    <w:rsid w:val="00B76763"/>
    <w:rsid w:val="00B77876"/>
    <w:rsid w:val="00B80307"/>
    <w:rsid w:val="00B809F2"/>
    <w:rsid w:val="00B80E88"/>
    <w:rsid w:val="00B81142"/>
    <w:rsid w:val="00B81227"/>
    <w:rsid w:val="00B816B8"/>
    <w:rsid w:val="00B81921"/>
    <w:rsid w:val="00B81DE8"/>
    <w:rsid w:val="00B81F91"/>
    <w:rsid w:val="00B82272"/>
    <w:rsid w:val="00B82360"/>
    <w:rsid w:val="00B832B4"/>
    <w:rsid w:val="00B834AF"/>
    <w:rsid w:val="00B83C42"/>
    <w:rsid w:val="00B83D67"/>
    <w:rsid w:val="00B843FE"/>
    <w:rsid w:val="00B84D8D"/>
    <w:rsid w:val="00B84E02"/>
    <w:rsid w:val="00B85F9A"/>
    <w:rsid w:val="00B8608B"/>
    <w:rsid w:val="00B86279"/>
    <w:rsid w:val="00B86928"/>
    <w:rsid w:val="00B86B13"/>
    <w:rsid w:val="00B87435"/>
    <w:rsid w:val="00B87481"/>
    <w:rsid w:val="00B87995"/>
    <w:rsid w:val="00B906CA"/>
    <w:rsid w:val="00B907BB"/>
    <w:rsid w:val="00B90A20"/>
    <w:rsid w:val="00B90E95"/>
    <w:rsid w:val="00B9144F"/>
    <w:rsid w:val="00B91D38"/>
    <w:rsid w:val="00B924EC"/>
    <w:rsid w:val="00B93219"/>
    <w:rsid w:val="00B93271"/>
    <w:rsid w:val="00B9341C"/>
    <w:rsid w:val="00B9351A"/>
    <w:rsid w:val="00B93839"/>
    <w:rsid w:val="00B93FD2"/>
    <w:rsid w:val="00B942AC"/>
    <w:rsid w:val="00B95110"/>
    <w:rsid w:val="00B95876"/>
    <w:rsid w:val="00B96172"/>
    <w:rsid w:val="00B9621C"/>
    <w:rsid w:val="00B9632D"/>
    <w:rsid w:val="00B97227"/>
    <w:rsid w:val="00B976B5"/>
    <w:rsid w:val="00BA01C9"/>
    <w:rsid w:val="00BA099B"/>
    <w:rsid w:val="00BA0C6C"/>
    <w:rsid w:val="00BA1B27"/>
    <w:rsid w:val="00BA1E27"/>
    <w:rsid w:val="00BA2285"/>
    <w:rsid w:val="00BA288F"/>
    <w:rsid w:val="00BA28CC"/>
    <w:rsid w:val="00BA2FDE"/>
    <w:rsid w:val="00BA376D"/>
    <w:rsid w:val="00BA39C4"/>
    <w:rsid w:val="00BA5399"/>
    <w:rsid w:val="00BA5F4E"/>
    <w:rsid w:val="00BA5FDD"/>
    <w:rsid w:val="00BA6673"/>
    <w:rsid w:val="00BA6945"/>
    <w:rsid w:val="00BA6AD2"/>
    <w:rsid w:val="00BA6B11"/>
    <w:rsid w:val="00BA6D69"/>
    <w:rsid w:val="00BA6F24"/>
    <w:rsid w:val="00BA707E"/>
    <w:rsid w:val="00BA7B75"/>
    <w:rsid w:val="00BA7B94"/>
    <w:rsid w:val="00BA7E6D"/>
    <w:rsid w:val="00BB059C"/>
    <w:rsid w:val="00BB0DAE"/>
    <w:rsid w:val="00BB0DBD"/>
    <w:rsid w:val="00BB0FA6"/>
    <w:rsid w:val="00BB1069"/>
    <w:rsid w:val="00BB106E"/>
    <w:rsid w:val="00BB11E9"/>
    <w:rsid w:val="00BB14D2"/>
    <w:rsid w:val="00BB1BC3"/>
    <w:rsid w:val="00BB253D"/>
    <w:rsid w:val="00BB2603"/>
    <w:rsid w:val="00BB27DB"/>
    <w:rsid w:val="00BB2AD2"/>
    <w:rsid w:val="00BB3D38"/>
    <w:rsid w:val="00BB3D3C"/>
    <w:rsid w:val="00BB45A9"/>
    <w:rsid w:val="00BB4A49"/>
    <w:rsid w:val="00BB4F85"/>
    <w:rsid w:val="00BB5024"/>
    <w:rsid w:val="00BB55DF"/>
    <w:rsid w:val="00BB5FA3"/>
    <w:rsid w:val="00BB76BF"/>
    <w:rsid w:val="00BC02C9"/>
    <w:rsid w:val="00BC08B6"/>
    <w:rsid w:val="00BC138E"/>
    <w:rsid w:val="00BC1E67"/>
    <w:rsid w:val="00BC2554"/>
    <w:rsid w:val="00BC2583"/>
    <w:rsid w:val="00BC280E"/>
    <w:rsid w:val="00BC2D54"/>
    <w:rsid w:val="00BC2FA1"/>
    <w:rsid w:val="00BC3134"/>
    <w:rsid w:val="00BC376A"/>
    <w:rsid w:val="00BC392D"/>
    <w:rsid w:val="00BC4639"/>
    <w:rsid w:val="00BC46D1"/>
    <w:rsid w:val="00BC4CB2"/>
    <w:rsid w:val="00BC6426"/>
    <w:rsid w:val="00BC6B51"/>
    <w:rsid w:val="00BC7265"/>
    <w:rsid w:val="00BC7C00"/>
    <w:rsid w:val="00BD01E6"/>
    <w:rsid w:val="00BD0223"/>
    <w:rsid w:val="00BD0265"/>
    <w:rsid w:val="00BD0C34"/>
    <w:rsid w:val="00BD0DFE"/>
    <w:rsid w:val="00BD174A"/>
    <w:rsid w:val="00BD1F2A"/>
    <w:rsid w:val="00BD209D"/>
    <w:rsid w:val="00BD25FB"/>
    <w:rsid w:val="00BD2711"/>
    <w:rsid w:val="00BD369D"/>
    <w:rsid w:val="00BD3772"/>
    <w:rsid w:val="00BD3834"/>
    <w:rsid w:val="00BD3B54"/>
    <w:rsid w:val="00BD3B97"/>
    <w:rsid w:val="00BD3E27"/>
    <w:rsid w:val="00BD462D"/>
    <w:rsid w:val="00BD4784"/>
    <w:rsid w:val="00BD4A93"/>
    <w:rsid w:val="00BD4E44"/>
    <w:rsid w:val="00BD6A65"/>
    <w:rsid w:val="00BD756E"/>
    <w:rsid w:val="00BD76D4"/>
    <w:rsid w:val="00BD7A60"/>
    <w:rsid w:val="00BE0030"/>
    <w:rsid w:val="00BE00EA"/>
    <w:rsid w:val="00BE16B2"/>
    <w:rsid w:val="00BE1C49"/>
    <w:rsid w:val="00BE1D66"/>
    <w:rsid w:val="00BE1F9B"/>
    <w:rsid w:val="00BE2100"/>
    <w:rsid w:val="00BE2721"/>
    <w:rsid w:val="00BE2A8D"/>
    <w:rsid w:val="00BE3398"/>
    <w:rsid w:val="00BE3676"/>
    <w:rsid w:val="00BE44BE"/>
    <w:rsid w:val="00BE4DAE"/>
    <w:rsid w:val="00BE52A7"/>
    <w:rsid w:val="00BE58FC"/>
    <w:rsid w:val="00BE5A27"/>
    <w:rsid w:val="00BE5C73"/>
    <w:rsid w:val="00BE6677"/>
    <w:rsid w:val="00BE7049"/>
    <w:rsid w:val="00BE708F"/>
    <w:rsid w:val="00BE7723"/>
    <w:rsid w:val="00BE78DD"/>
    <w:rsid w:val="00BF099E"/>
    <w:rsid w:val="00BF10F5"/>
    <w:rsid w:val="00BF1593"/>
    <w:rsid w:val="00BF196E"/>
    <w:rsid w:val="00BF3625"/>
    <w:rsid w:val="00BF3781"/>
    <w:rsid w:val="00BF3966"/>
    <w:rsid w:val="00BF3A53"/>
    <w:rsid w:val="00BF3B6B"/>
    <w:rsid w:val="00BF41E2"/>
    <w:rsid w:val="00BF466D"/>
    <w:rsid w:val="00BF4B27"/>
    <w:rsid w:val="00BF5936"/>
    <w:rsid w:val="00BF617D"/>
    <w:rsid w:val="00BF62D3"/>
    <w:rsid w:val="00BF662F"/>
    <w:rsid w:val="00BF7316"/>
    <w:rsid w:val="00BF7DD9"/>
    <w:rsid w:val="00C00249"/>
    <w:rsid w:val="00C0025C"/>
    <w:rsid w:val="00C0099A"/>
    <w:rsid w:val="00C00B59"/>
    <w:rsid w:val="00C012E6"/>
    <w:rsid w:val="00C02276"/>
    <w:rsid w:val="00C0241A"/>
    <w:rsid w:val="00C024A9"/>
    <w:rsid w:val="00C02536"/>
    <w:rsid w:val="00C032BF"/>
    <w:rsid w:val="00C0398A"/>
    <w:rsid w:val="00C03A0A"/>
    <w:rsid w:val="00C04181"/>
    <w:rsid w:val="00C0419A"/>
    <w:rsid w:val="00C04331"/>
    <w:rsid w:val="00C04B0A"/>
    <w:rsid w:val="00C04F4D"/>
    <w:rsid w:val="00C05184"/>
    <w:rsid w:val="00C06F91"/>
    <w:rsid w:val="00C07085"/>
    <w:rsid w:val="00C07293"/>
    <w:rsid w:val="00C07C2B"/>
    <w:rsid w:val="00C1022A"/>
    <w:rsid w:val="00C10F9E"/>
    <w:rsid w:val="00C12A73"/>
    <w:rsid w:val="00C13D5D"/>
    <w:rsid w:val="00C14078"/>
    <w:rsid w:val="00C141C9"/>
    <w:rsid w:val="00C14CAF"/>
    <w:rsid w:val="00C1518C"/>
    <w:rsid w:val="00C156DF"/>
    <w:rsid w:val="00C157CD"/>
    <w:rsid w:val="00C15AEF"/>
    <w:rsid w:val="00C16110"/>
    <w:rsid w:val="00C1636B"/>
    <w:rsid w:val="00C16CAD"/>
    <w:rsid w:val="00C17244"/>
    <w:rsid w:val="00C173DC"/>
    <w:rsid w:val="00C17491"/>
    <w:rsid w:val="00C20200"/>
    <w:rsid w:val="00C2042B"/>
    <w:rsid w:val="00C205BF"/>
    <w:rsid w:val="00C20631"/>
    <w:rsid w:val="00C20868"/>
    <w:rsid w:val="00C21BB9"/>
    <w:rsid w:val="00C22592"/>
    <w:rsid w:val="00C22672"/>
    <w:rsid w:val="00C22C28"/>
    <w:rsid w:val="00C23B2D"/>
    <w:rsid w:val="00C2406A"/>
    <w:rsid w:val="00C2409D"/>
    <w:rsid w:val="00C248F3"/>
    <w:rsid w:val="00C24A17"/>
    <w:rsid w:val="00C24AE4"/>
    <w:rsid w:val="00C24DBE"/>
    <w:rsid w:val="00C25683"/>
    <w:rsid w:val="00C259A4"/>
    <w:rsid w:val="00C25FA5"/>
    <w:rsid w:val="00C26351"/>
    <w:rsid w:val="00C26FED"/>
    <w:rsid w:val="00C27662"/>
    <w:rsid w:val="00C27DB0"/>
    <w:rsid w:val="00C27E86"/>
    <w:rsid w:val="00C304B9"/>
    <w:rsid w:val="00C30AB6"/>
    <w:rsid w:val="00C30D70"/>
    <w:rsid w:val="00C30F29"/>
    <w:rsid w:val="00C311D2"/>
    <w:rsid w:val="00C3169F"/>
    <w:rsid w:val="00C31729"/>
    <w:rsid w:val="00C31A7B"/>
    <w:rsid w:val="00C31DA6"/>
    <w:rsid w:val="00C320D1"/>
    <w:rsid w:val="00C32154"/>
    <w:rsid w:val="00C331F6"/>
    <w:rsid w:val="00C3320C"/>
    <w:rsid w:val="00C33489"/>
    <w:rsid w:val="00C346C5"/>
    <w:rsid w:val="00C34BD6"/>
    <w:rsid w:val="00C34BF2"/>
    <w:rsid w:val="00C34E44"/>
    <w:rsid w:val="00C357D2"/>
    <w:rsid w:val="00C35849"/>
    <w:rsid w:val="00C35C17"/>
    <w:rsid w:val="00C36431"/>
    <w:rsid w:val="00C3669A"/>
    <w:rsid w:val="00C36718"/>
    <w:rsid w:val="00C3675D"/>
    <w:rsid w:val="00C370BE"/>
    <w:rsid w:val="00C370E6"/>
    <w:rsid w:val="00C3726E"/>
    <w:rsid w:val="00C373E3"/>
    <w:rsid w:val="00C3755D"/>
    <w:rsid w:val="00C3796D"/>
    <w:rsid w:val="00C4018A"/>
    <w:rsid w:val="00C40557"/>
    <w:rsid w:val="00C4077C"/>
    <w:rsid w:val="00C4087E"/>
    <w:rsid w:val="00C41216"/>
    <w:rsid w:val="00C41F11"/>
    <w:rsid w:val="00C422BA"/>
    <w:rsid w:val="00C4277C"/>
    <w:rsid w:val="00C42992"/>
    <w:rsid w:val="00C42B66"/>
    <w:rsid w:val="00C431F9"/>
    <w:rsid w:val="00C4338C"/>
    <w:rsid w:val="00C4395A"/>
    <w:rsid w:val="00C43EE2"/>
    <w:rsid w:val="00C445D2"/>
    <w:rsid w:val="00C44EEA"/>
    <w:rsid w:val="00C454D3"/>
    <w:rsid w:val="00C4733D"/>
    <w:rsid w:val="00C474EF"/>
    <w:rsid w:val="00C47D8D"/>
    <w:rsid w:val="00C50227"/>
    <w:rsid w:val="00C50296"/>
    <w:rsid w:val="00C50631"/>
    <w:rsid w:val="00C5090E"/>
    <w:rsid w:val="00C50B51"/>
    <w:rsid w:val="00C50B99"/>
    <w:rsid w:val="00C514DD"/>
    <w:rsid w:val="00C52228"/>
    <w:rsid w:val="00C522AE"/>
    <w:rsid w:val="00C52625"/>
    <w:rsid w:val="00C52B8B"/>
    <w:rsid w:val="00C52C8E"/>
    <w:rsid w:val="00C536AD"/>
    <w:rsid w:val="00C53B42"/>
    <w:rsid w:val="00C53FE2"/>
    <w:rsid w:val="00C54440"/>
    <w:rsid w:val="00C544EB"/>
    <w:rsid w:val="00C54573"/>
    <w:rsid w:val="00C54A11"/>
    <w:rsid w:val="00C54BB2"/>
    <w:rsid w:val="00C54FCA"/>
    <w:rsid w:val="00C55846"/>
    <w:rsid w:val="00C55A10"/>
    <w:rsid w:val="00C5705A"/>
    <w:rsid w:val="00C570F8"/>
    <w:rsid w:val="00C571FE"/>
    <w:rsid w:val="00C5757B"/>
    <w:rsid w:val="00C60682"/>
    <w:rsid w:val="00C61620"/>
    <w:rsid w:val="00C6163A"/>
    <w:rsid w:val="00C61C61"/>
    <w:rsid w:val="00C61CDC"/>
    <w:rsid w:val="00C62735"/>
    <w:rsid w:val="00C62849"/>
    <w:rsid w:val="00C62B54"/>
    <w:rsid w:val="00C63BFF"/>
    <w:rsid w:val="00C63E05"/>
    <w:rsid w:val="00C64674"/>
    <w:rsid w:val="00C647A9"/>
    <w:rsid w:val="00C652D4"/>
    <w:rsid w:val="00C65416"/>
    <w:rsid w:val="00C65450"/>
    <w:rsid w:val="00C659A2"/>
    <w:rsid w:val="00C660F5"/>
    <w:rsid w:val="00C66B1D"/>
    <w:rsid w:val="00C66F48"/>
    <w:rsid w:val="00C66F7C"/>
    <w:rsid w:val="00C67DE6"/>
    <w:rsid w:val="00C70992"/>
    <w:rsid w:val="00C70DD2"/>
    <w:rsid w:val="00C70E7B"/>
    <w:rsid w:val="00C70FB7"/>
    <w:rsid w:val="00C71ECC"/>
    <w:rsid w:val="00C72624"/>
    <w:rsid w:val="00C72B02"/>
    <w:rsid w:val="00C72C5F"/>
    <w:rsid w:val="00C7300C"/>
    <w:rsid w:val="00C73808"/>
    <w:rsid w:val="00C7384F"/>
    <w:rsid w:val="00C73984"/>
    <w:rsid w:val="00C73A98"/>
    <w:rsid w:val="00C747F6"/>
    <w:rsid w:val="00C74DAC"/>
    <w:rsid w:val="00C75848"/>
    <w:rsid w:val="00C75F99"/>
    <w:rsid w:val="00C76712"/>
    <w:rsid w:val="00C76BF0"/>
    <w:rsid w:val="00C76F0B"/>
    <w:rsid w:val="00C77324"/>
    <w:rsid w:val="00C77A13"/>
    <w:rsid w:val="00C80BC1"/>
    <w:rsid w:val="00C80C93"/>
    <w:rsid w:val="00C80F1A"/>
    <w:rsid w:val="00C818E7"/>
    <w:rsid w:val="00C81C20"/>
    <w:rsid w:val="00C823FA"/>
    <w:rsid w:val="00C828FC"/>
    <w:rsid w:val="00C82AD3"/>
    <w:rsid w:val="00C83494"/>
    <w:rsid w:val="00C83498"/>
    <w:rsid w:val="00C846DA"/>
    <w:rsid w:val="00C84919"/>
    <w:rsid w:val="00C853E8"/>
    <w:rsid w:val="00C85452"/>
    <w:rsid w:val="00C85E6E"/>
    <w:rsid w:val="00C860D0"/>
    <w:rsid w:val="00C8701E"/>
    <w:rsid w:val="00C873BC"/>
    <w:rsid w:val="00C87725"/>
    <w:rsid w:val="00C87E68"/>
    <w:rsid w:val="00C87F8A"/>
    <w:rsid w:val="00C9046A"/>
    <w:rsid w:val="00C9048F"/>
    <w:rsid w:val="00C90F2E"/>
    <w:rsid w:val="00C91166"/>
    <w:rsid w:val="00C9192D"/>
    <w:rsid w:val="00C91A45"/>
    <w:rsid w:val="00C93859"/>
    <w:rsid w:val="00C93B71"/>
    <w:rsid w:val="00C942FA"/>
    <w:rsid w:val="00C945E9"/>
    <w:rsid w:val="00C94BBF"/>
    <w:rsid w:val="00C956DB"/>
    <w:rsid w:val="00C95C27"/>
    <w:rsid w:val="00C95DF8"/>
    <w:rsid w:val="00C9617A"/>
    <w:rsid w:val="00C96244"/>
    <w:rsid w:val="00C9678B"/>
    <w:rsid w:val="00C9680B"/>
    <w:rsid w:val="00C96FF7"/>
    <w:rsid w:val="00C977E8"/>
    <w:rsid w:val="00CA0F20"/>
    <w:rsid w:val="00CA17BD"/>
    <w:rsid w:val="00CA1A2A"/>
    <w:rsid w:val="00CA1DC5"/>
    <w:rsid w:val="00CA22C4"/>
    <w:rsid w:val="00CA2753"/>
    <w:rsid w:val="00CA2BE7"/>
    <w:rsid w:val="00CA2F18"/>
    <w:rsid w:val="00CA34ED"/>
    <w:rsid w:val="00CA3877"/>
    <w:rsid w:val="00CA3E5F"/>
    <w:rsid w:val="00CA3F79"/>
    <w:rsid w:val="00CA4187"/>
    <w:rsid w:val="00CA41AB"/>
    <w:rsid w:val="00CA45AD"/>
    <w:rsid w:val="00CA46B8"/>
    <w:rsid w:val="00CA4B97"/>
    <w:rsid w:val="00CA4D46"/>
    <w:rsid w:val="00CA5E8D"/>
    <w:rsid w:val="00CA68C9"/>
    <w:rsid w:val="00CA69AE"/>
    <w:rsid w:val="00CA7C01"/>
    <w:rsid w:val="00CA7CA8"/>
    <w:rsid w:val="00CA7EB4"/>
    <w:rsid w:val="00CB019A"/>
    <w:rsid w:val="00CB0D57"/>
    <w:rsid w:val="00CB0ED7"/>
    <w:rsid w:val="00CB15CA"/>
    <w:rsid w:val="00CB19A5"/>
    <w:rsid w:val="00CB1C7E"/>
    <w:rsid w:val="00CB2E15"/>
    <w:rsid w:val="00CB2E79"/>
    <w:rsid w:val="00CB2FA2"/>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1547"/>
    <w:rsid w:val="00CC1AAA"/>
    <w:rsid w:val="00CC1E51"/>
    <w:rsid w:val="00CC3186"/>
    <w:rsid w:val="00CC3BAD"/>
    <w:rsid w:val="00CC4022"/>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776"/>
    <w:rsid w:val="00CD2A1F"/>
    <w:rsid w:val="00CD2F95"/>
    <w:rsid w:val="00CD3064"/>
    <w:rsid w:val="00CD3441"/>
    <w:rsid w:val="00CD390B"/>
    <w:rsid w:val="00CD394B"/>
    <w:rsid w:val="00CD4152"/>
    <w:rsid w:val="00CD4483"/>
    <w:rsid w:val="00CD46ED"/>
    <w:rsid w:val="00CD477E"/>
    <w:rsid w:val="00CD4B7F"/>
    <w:rsid w:val="00CD4C41"/>
    <w:rsid w:val="00CD5CE1"/>
    <w:rsid w:val="00CD628F"/>
    <w:rsid w:val="00CD62FE"/>
    <w:rsid w:val="00CD74D2"/>
    <w:rsid w:val="00CD766B"/>
    <w:rsid w:val="00CD7EB6"/>
    <w:rsid w:val="00CE04DE"/>
    <w:rsid w:val="00CE0E84"/>
    <w:rsid w:val="00CE10B1"/>
    <w:rsid w:val="00CE14D6"/>
    <w:rsid w:val="00CE153D"/>
    <w:rsid w:val="00CE1D7B"/>
    <w:rsid w:val="00CE2118"/>
    <w:rsid w:val="00CE2339"/>
    <w:rsid w:val="00CE243F"/>
    <w:rsid w:val="00CE3175"/>
    <w:rsid w:val="00CE3293"/>
    <w:rsid w:val="00CE3C6D"/>
    <w:rsid w:val="00CE3C82"/>
    <w:rsid w:val="00CE3D3C"/>
    <w:rsid w:val="00CE43B1"/>
    <w:rsid w:val="00CE45DB"/>
    <w:rsid w:val="00CE537D"/>
    <w:rsid w:val="00CE55AA"/>
    <w:rsid w:val="00CE6D9E"/>
    <w:rsid w:val="00CE77DC"/>
    <w:rsid w:val="00CE794B"/>
    <w:rsid w:val="00CE7C39"/>
    <w:rsid w:val="00CF05EA"/>
    <w:rsid w:val="00CF0FB9"/>
    <w:rsid w:val="00CF248F"/>
    <w:rsid w:val="00CF3522"/>
    <w:rsid w:val="00CF3F37"/>
    <w:rsid w:val="00CF4A46"/>
    <w:rsid w:val="00CF4ADE"/>
    <w:rsid w:val="00CF4BD8"/>
    <w:rsid w:val="00CF5506"/>
    <w:rsid w:val="00CF55E0"/>
    <w:rsid w:val="00CF581A"/>
    <w:rsid w:val="00CF6248"/>
    <w:rsid w:val="00CF63D1"/>
    <w:rsid w:val="00CF69E8"/>
    <w:rsid w:val="00CF7091"/>
    <w:rsid w:val="00CF74C0"/>
    <w:rsid w:val="00CF7897"/>
    <w:rsid w:val="00CF7997"/>
    <w:rsid w:val="00D009E0"/>
    <w:rsid w:val="00D00AB4"/>
    <w:rsid w:val="00D013D9"/>
    <w:rsid w:val="00D01E38"/>
    <w:rsid w:val="00D026AB"/>
    <w:rsid w:val="00D0283B"/>
    <w:rsid w:val="00D02ABB"/>
    <w:rsid w:val="00D03A98"/>
    <w:rsid w:val="00D03BB9"/>
    <w:rsid w:val="00D03D4D"/>
    <w:rsid w:val="00D03E69"/>
    <w:rsid w:val="00D03F6C"/>
    <w:rsid w:val="00D0415C"/>
    <w:rsid w:val="00D04983"/>
    <w:rsid w:val="00D04C13"/>
    <w:rsid w:val="00D056B3"/>
    <w:rsid w:val="00D05778"/>
    <w:rsid w:val="00D070FF"/>
    <w:rsid w:val="00D075A4"/>
    <w:rsid w:val="00D07D94"/>
    <w:rsid w:val="00D1058E"/>
    <w:rsid w:val="00D106F5"/>
    <w:rsid w:val="00D11E1B"/>
    <w:rsid w:val="00D12059"/>
    <w:rsid w:val="00D1239D"/>
    <w:rsid w:val="00D125DE"/>
    <w:rsid w:val="00D12DF5"/>
    <w:rsid w:val="00D13777"/>
    <w:rsid w:val="00D13AFE"/>
    <w:rsid w:val="00D13BB6"/>
    <w:rsid w:val="00D13C2D"/>
    <w:rsid w:val="00D1459C"/>
    <w:rsid w:val="00D151F0"/>
    <w:rsid w:val="00D15437"/>
    <w:rsid w:val="00D15F8E"/>
    <w:rsid w:val="00D15FC1"/>
    <w:rsid w:val="00D1690E"/>
    <w:rsid w:val="00D16A78"/>
    <w:rsid w:val="00D172D8"/>
    <w:rsid w:val="00D173A5"/>
    <w:rsid w:val="00D178E9"/>
    <w:rsid w:val="00D17B3F"/>
    <w:rsid w:val="00D17F1D"/>
    <w:rsid w:val="00D201AE"/>
    <w:rsid w:val="00D219D5"/>
    <w:rsid w:val="00D21BFA"/>
    <w:rsid w:val="00D2203E"/>
    <w:rsid w:val="00D2231C"/>
    <w:rsid w:val="00D23513"/>
    <w:rsid w:val="00D237C9"/>
    <w:rsid w:val="00D23CE2"/>
    <w:rsid w:val="00D245E2"/>
    <w:rsid w:val="00D24A53"/>
    <w:rsid w:val="00D24C69"/>
    <w:rsid w:val="00D251CF"/>
    <w:rsid w:val="00D252B8"/>
    <w:rsid w:val="00D267D6"/>
    <w:rsid w:val="00D26BEC"/>
    <w:rsid w:val="00D2729A"/>
    <w:rsid w:val="00D27506"/>
    <w:rsid w:val="00D27E6C"/>
    <w:rsid w:val="00D300EE"/>
    <w:rsid w:val="00D30F5A"/>
    <w:rsid w:val="00D3198D"/>
    <w:rsid w:val="00D32414"/>
    <w:rsid w:val="00D3275A"/>
    <w:rsid w:val="00D32EAB"/>
    <w:rsid w:val="00D3357B"/>
    <w:rsid w:val="00D33953"/>
    <w:rsid w:val="00D34338"/>
    <w:rsid w:val="00D34688"/>
    <w:rsid w:val="00D35601"/>
    <w:rsid w:val="00D35F3B"/>
    <w:rsid w:val="00D36027"/>
    <w:rsid w:val="00D362CE"/>
    <w:rsid w:val="00D36337"/>
    <w:rsid w:val="00D36522"/>
    <w:rsid w:val="00D366B7"/>
    <w:rsid w:val="00D367F5"/>
    <w:rsid w:val="00D36C23"/>
    <w:rsid w:val="00D36FB2"/>
    <w:rsid w:val="00D375C7"/>
    <w:rsid w:val="00D3769E"/>
    <w:rsid w:val="00D40EAF"/>
    <w:rsid w:val="00D41034"/>
    <w:rsid w:val="00D411A8"/>
    <w:rsid w:val="00D413DA"/>
    <w:rsid w:val="00D41409"/>
    <w:rsid w:val="00D41B99"/>
    <w:rsid w:val="00D42249"/>
    <w:rsid w:val="00D4244A"/>
    <w:rsid w:val="00D42487"/>
    <w:rsid w:val="00D4341B"/>
    <w:rsid w:val="00D44CC7"/>
    <w:rsid w:val="00D44DB9"/>
    <w:rsid w:val="00D45867"/>
    <w:rsid w:val="00D4595F"/>
    <w:rsid w:val="00D45CE3"/>
    <w:rsid w:val="00D45F6F"/>
    <w:rsid w:val="00D46157"/>
    <w:rsid w:val="00D4632C"/>
    <w:rsid w:val="00D4646A"/>
    <w:rsid w:val="00D466A8"/>
    <w:rsid w:val="00D46A18"/>
    <w:rsid w:val="00D46BEF"/>
    <w:rsid w:val="00D47187"/>
    <w:rsid w:val="00D472EC"/>
    <w:rsid w:val="00D4751A"/>
    <w:rsid w:val="00D475C8"/>
    <w:rsid w:val="00D47859"/>
    <w:rsid w:val="00D50011"/>
    <w:rsid w:val="00D500F2"/>
    <w:rsid w:val="00D5017E"/>
    <w:rsid w:val="00D508E4"/>
    <w:rsid w:val="00D50B2C"/>
    <w:rsid w:val="00D519D2"/>
    <w:rsid w:val="00D52284"/>
    <w:rsid w:val="00D5322C"/>
    <w:rsid w:val="00D533BF"/>
    <w:rsid w:val="00D53841"/>
    <w:rsid w:val="00D53C05"/>
    <w:rsid w:val="00D546B8"/>
    <w:rsid w:val="00D55294"/>
    <w:rsid w:val="00D55AAA"/>
    <w:rsid w:val="00D56ACF"/>
    <w:rsid w:val="00D57152"/>
    <w:rsid w:val="00D57692"/>
    <w:rsid w:val="00D57AF1"/>
    <w:rsid w:val="00D57CBB"/>
    <w:rsid w:val="00D60234"/>
    <w:rsid w:val="00D60236"/>
    <w:rsid w:val="00D60B43"/>
    <w:rsid w:val="00D60C45"/>
    <w:rsid w:val="00D60C93"/>
    <w:rsid w:val="00D614C7"/>
    <w:rsid w:val="00D61E9C"/>
    <w:rsid w:val="00D61F3D"/>
    <w:rsid w:val="00D61F93"/>
    <w:rsid w:val="00D623A8"/>
    <w:rsid w:val="00D62545"/>
    <w:rsid w:val="00D62EEF"/>
    <w:rsid w:val="00D6312F"/>
    <w:rsid w:val="00D63A3E"/>
    <w:rsid w:val="00D63D69"/>
    <w:rsid w:val="00D640F2"/>
    <w:rsid w:val="00D64236"/>
    <w:rsid w:val="00D642AD"/>
    <w:rsid w:val="00D64A40"/>
    <w:rsid w:val="00D64BD4"/>
    <w:rsid w:val="00D64E02"/>
    <w:rsid w:val="00D65132"/>
    <w:rsid w:val="00D654E8"/>
    <w:rsid w:val="00D654FB"/>
    <w:rsid w:val="00D65619"/>
    <w:rsid w:val="00D656CC"/>
    <w:rsid w:val="00D65CE3"/>
    <w:rsid w:val="00D66300"/>
    <w:rsid w:val="00D66C42"/>
    <w:rsid w:val="00D67216"/>
    <w:rsid w:val="00D672AC"/>
    <w:rsid w:val="00D67780"/>
    <w:rsid w:val="00D701C2"/>
    <w:rsid w:val="00D7055C"/>
    <w:rsid w:val="00D70681"/>
    <w:rsid w:val="00D709B0"/>
    <w:rsid w:val="00D71468"/>
    <w:rsid w:val="00D7160C"/>
    <w:rsid w:val="00D71741"/>
    <w:rsid w:val="00D71C1F"/>
    <w:rsid w:val="00D71CE6"/>
    <w:rsid w:val="00D72304"/>
    <w:rsid w:val="00D727B3"/>
    <w:rsid w:val="00D73210"/>
    <w:rsid w:val="00D73AD4"/>
    <w:rsid w:val="00D74862"/>
    <w:rsid w:val="00D756D2"/>
    <w:rsid w:val="00D75879"/>
    <w:rsid w:val="00D75908"/>
    <w:rsid w:val="00D75ECA"/>
    <w:rsid w:val="00D766A9"/>
    <w:rsid w:val="00D771B3"/>
    <w:rsid w:val="00D775CD"/>
    <w:rsid w:val="00D8005C"/>
    <w:rsid w:val="00D806BD"/>
    <w:rsid w:val="00D80A72"/>
    <w:rsid w:val="00D81003"/>
    <w:rsid w:val="00D8102B"/>
    <w:rsid w:val="00D81129"/>
    <w:rsid w:val="00D81A7D"/>
    <w:rsid w:val="00D8202C"/>
    <w:rsid w:val="00D82F39"/>
    <w:rsid w:val="00D8378B"/>
    <w:rsid w:val="00D846D9"/>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B6"/>
    <w:rsid w:val="00D94506"/>
    <w:rsid w:val="00D94C19"/>
    <w:rsid w:val="00D94FA6"/>
    <w:rsid w:val="00D9590E"/>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67B"/>
    <w:rsid w:val="00DA7705"/>
    <w:rsid w:val="00DA7878"/>
    <w:rsid w:val="00DA7D78"/>
    <w:rsid w:val="00DA7F35"/>
    <w:rsid w:val="00DB005E"/>
    <w:rsid w:val="00DB0592"/>
    <w:rsid w:val="00DB0B44"/>
    <w:rsid w:val="00DB3023"/>
    <w:rsid w:val="00DB3613"/>
    <w:rsid w:val="00DB3DB1"/>
    <w:rsid w:val="00DB3E6A"/>
    <w:rsid w:val="00DB3FDB"/>
    <w:rsid w:val="00DB4D86"/>
    <w:rsid w:val="00DB514B"/>
    <w:rsid w:val="00DB5712"/>
    <w:rsid w:val="00DB5C0E"/>
    <w:rsid w:val="00DB5D10"/>
    <w:rsid w:val="00DB5E0E"/>
    <w:rsid w:val="00DB6379"/>
    <w:rsid w:val="00DB64AA"/>
    <w:rsid w:val="00DB657F"/>
    <w:rsid w:val="00DB65C2"/>
    <w:rsid w:val="00DB70EE"/>
    <w:rsid w:val="00DB75A4"/>
    <w:rsid w:val="00DB7827"/>
    <w:rsid w:val="00DB7BF9"/>
    <w:rsid w:val="00DC00C7"/>
    <w:rsid w:val="00DC0554"/>
    <w:rsid w:val="00DC07F1"/>
    <w:rsid w:val="00DC1828"/>
    <w:rsid w:val="00DC1A6F"/>
    <w:rsid w:val="00DC2DC5"/>
    <w:rsid w:val="00DC30EA"/>
    <w:rsid w:val="00DC33EC"/>
    <w:rsid w:val="00DC3F9B"/>
    <w:rsid w:val="00DC4D22"/>
    <w:rsid w:val="00DC5B2D"/>
    <w:rsid w:val="00DC70CD"/>
    <w:rsid w:val="00DC7E6F"/>
    <w:rsid w:val="00DD00EA"/>
    <w:rsid w:val="00DD1BD3"/>
    <w:rsid w:val="00DD1EFE"/>
    <w:rsid w:val="00DD20DE"/>
    <w:rsid w:val="00DD2410"/>
    <w:rsid w:val="00DD2C33"/>
    <w:rsid w:val="00DD3B6A"/>
    <w:rsid w:val="00DD405B"/>
    <w:rsid w:val="00DD4974"/>
    <w:rsid w:val="00DD553E"/>
    <w:rsid w:val="00DD5FF4"/>
    <w:rsid w:val="00DD638A"/>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6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85"/>
    <w:rsid w:val="00DF20CE"/>
    <w:rsid w:val="00DF20EA"/>
    <w:rsid w:val="00DF2974"/>
    <w:rsid w:val="00DF33BA"/>
    <w:rsid w:val="00DF3422"/>
    <w:rsid w:val="00DF3E3B"/>
    <w:rsid w:val="00DF45FF"/>
    <w:rsid w:val="00DF4CEB"/>
    <w:rsid w:val="00DF79A3"/>
    <w:rsid w:val="00E00282"/>
    <w:rsid w:val="00E0043E"/>
    <w:rsid w:val="00E00A75"/>
    <w:rsid w:val="00E0156F"/>
    <w:rsid w:val="00E01C97"/>
    <w:rsid w:val="00E027C2"/>
    <w:rsid w:val="00E02F4E"/>
    <w:rsid w:val="00E03034"/>
    <w:rsid w:val="00E045EF"/>
    <w:rsid w:val="00E0476D"/>
    <w:rsid w:val="00E052C4"/>
    <w:rsid w:val="00E05CBA"/>
    <w:rsid w:val="00E0621A"/>
    <w:rsid w:val="00E064FB"/>
    <w:rsid w:val="00E06561"/>
    <w:rsid w:val="00E06583"/>
    <w:rsid w:val="00E0766D"/>
    <w:rsid w:val="00E10090"/>
    <w:rsid w:val="00E102DD"/>
    <w:rsid w:val="00E10331"/>
    <w:rsid w:val="00E10935"/>
    <w:rsid w:val="00E10C1D"/>
    <w:rsid w:val="00E10D76"/>
    <w:rsid w:val="00E11A6C"/>
    <w:rsid w:val="00E11AE0"/>
    <w:rsid w:val="00E12585"/>
    <w:rsid w:val="00E126E5"/>
    <w:rsid w:val="00E1421F"/>
    <w:rsid w:val="00E14305"/>
    <w:rsid w:val="00E14A2C"/>
    <w:rsid w:val="00E14C3C"/>
    <w:rsid w:val="00E15680"/>
    <w:rsid w:val="00E1644C"/>
    <w:rsid w:val="00E16730"/>
    <w:rsid w:val="00E16852"/>
    <w:rsid w:val="00E16DB7"/>
    <w:rsid w:val="00E177F1"/>
    <w:rsid w:val="00E179C4"/>
    <w:rsid w:val="00E17CD3"/>
    <w:rsid w:val="00E17D33"/>
    <w:rsid w:val="00E203ED"/>
    <w:rsid w:val="00E20CD7"/>
    <w:rsid w:val="00E20D09"/>
    <w:rsid w:val="00E2106E"/>
    <w:rsid w:val="00E21495"/>
    <w:rsid w:val="00E21AD7"/>
    <w:rsid w:val="00E22D0F"/>
    <w:rsid w:val="00E23557"/>
    <w:rsid w:val="00E24B81"/>
    <w:rsid w:val="00E24C2A"/>
    <w:rsid w:val="00E251C3"/>
    <w:rsid w:val="00E25EB1"/>
    <w:rsid w:val="00E26382"/>
    <w:rsid w:val="00E264C0"/>
    <w:rsid w:val="00E267AA"/>
    <w:rsid w:val="00E26870"/>
    <w:rsid w:val="00E273E5"/>
    <w:rsid w:val="00E27FB8"/>
    <w:rsid w:val="00E30064"/>
    <w:rsid w:val="00E301E4"/>
    <w:rsid w:val="00E3078A"/>
    <w:rsid w:val="00E319E0"/>
    <w:rsid w:val="00E32209"/>
    <w:rsid w:val="00E3275C"/>
    <w:rsid w:val="00E327B1"/>
    <w:rsid w:val="00E327B9"/>
    <w:rsid w:val="00E32A5E"/>
    <w:rsid w:val="00E32E66"/>
    <w:rsid w:val="00E331E4"/>
    <w:rsid w:val="00E3328F"/>
    <w:rsid w:val="00E33DEF"/>
    <w:rsid w:val="00E3413D"/>
    <w:rsid w:val="00E34633"/>
    <w:rsid w:val="00E3470A"/>
    <w:rsid w:val="00E34CED"/>
    <w:rsid w:val="00E35CBE"/>
    <w:rsid w:val="00E35DC5"/>
    <w:rsid w:val="00E36239"/>
    <w:rsid w:val="00E374E2"/>
    <w:rsid w:val="00E37695"/>
    <w:rsid w:val="00E37830"/>
    <w:rsid w:val="00E37F55"/>
    <w:rsid w:val="00E40453"/>
    <w:rsid w:val="00E4059C"/>
    <w:rsid w:val="00E405F0"/>
    <w:rsid w:val="00E40680"/>
    <w:rsid w:val="00E40C1A"/>
    <w:rsid w:val="00E41014"/>
    <w:rsid w:val="00E421F2"/>
    <w:rsid w:val="00E428CB"/>
    <w:rsid w:val="00E4423D"/>
    <w:rsid w:val="00E447FB"/>
    <w:rsid w:val="00E449C3"/>
    <w:rsid w:val="00E45020"/>
    <w:rsid w:val="00E4528A"/>
    <w:rsid w:val="00E45C08"/>
    <w:rsid w:val="00E46502"/>
    <w:rsid w:val="00E4665D"/>
    <w:rsid w:val="00E46F6A"/>
    <w:rsid w:val="00E471E6"/>
    <w:rsid w:val="00E476E0"/>
    <w:rsid w:val="00E47CF0"/>
    <w:rsid w:val="00E47DDE"/>
    <w:rsid w:val="00E50124"/>
    <w:rsid w:val="00E519D8"/>
    <w:rsid w:val="00E51DD3"/>
    <w:rsid w:val="00E5209E"/>
    <w:rsid w:val="00E5271E"/>
    <w:rsid w:val="00E52BC4"/>
    <w:rsid w:val="00E5334A"/>
    <w:rsid w:val="00E536C6"/>
    <w:rsid w:val="00E53B8E"/>
    <w:rsid w:val="00E53F0F"/>
    <w:rsid w:val="00E543EE"/>
    <w:rsid w:val="00E54422"/>
    <w:rsid w:val="00E548D1"/>
    <w:rsid w:val="00E54D9C"/>
    <w:rsid w:val="00E54E59"/>
    <w:rsid w:val="00E55EA3"/>
    <w:rsid w:val="00E55FAC"/>
    <w:rsid w:val="00E56130"/>
    <w:rsid w:val="00E56574"/>
    <w:rsid w:val="00E56D19"/>
    <w:rsid w:val="00E5737A"/>
    <w:rsid w:val="00E57704"/>
    <w:rsid w:val="00E5776E"/>
    <w:rsid w:val="00E57954"/>
    <w:rsid w:val="00E57C07"/>
    <w:rsid w:val="00E57D82"/>
    <w:rsid w:val="00E57EE7"/>
    <w:rsid w:val="00E60ABC"/>
    <w:rsid w:val="00E60D04"/>
    <w:rsid w:val="00E6125E"/>
    <w:rsid w:val="00E612CC"/>
    <w:rsid w:val="00E617FF"/>
    <w:rsid w:val="00E62268"/>
    <w:rsid w:val="00E6294C"/>
    <w:rsid w:val="00E62B0B"/>
    <w:rsid w:val="00E63504"/>
    <w:rsid w:val="00E638BA"/>
    <w:rsid w:val="00E64509"/>
    <w:rsid w:val="00E649FC"/>
    <w:rsid w:val="00E64AAF"/>
    <w:rsid w:val="00E65838"/>
    <w:rsid w:val="00E65DDD"/>
    <w:rsid w:val="00E65EFB"/>
    <w:rsid w:val="00E66038"/>
    <w:rsid w:val="00E6668F"/>
    <w:rsid w:val="00E666DD"/>
    <w:rsid w:val="00E66B4A"/>
    <w:rsid w:val="00E671F0"/>
    <w:rsid w:val="00E70402"/>
    <w:rsid w:val="00E707EA"/>
    <w:rsid w:val="00E7123B"/>
    <w:rsid w:val="00E712EA"/>
    <w:rsid w:val="00E722A5"/>
    <w:rsid w:val="00E7292C"/>
    <w:rsid w:val="00E72D9C"/>
    <w:rsid w:val="00E73482"/>
    <w:rsid w:val="00E73537"/>
    <w:rsid w:val="00E740DA"/>
    <w:rsid w:val="00E7455D"/>
    <w:rsid w:val="00E74802"/>
    <w:rsid w:val="00E74B06"/>
    <w:rsid w:val="00E74D9F"/>
    <w:rsid w:val="00E75AAC"/>
    <w:rsid w:val="00E75D1F"/>
    <w:rsid w:val="00E75D8B"/>
    <w:rsid w:val="00E76391"/>
    <w:rsid w:val="00E76625"/>
    <w:rsid w:val="00E76C41"/>
    <w:rsid w:val="00E76F7A"/>
    <w:rsid w:val="00E775FB"/>
    <w:rsid w:val="00E77687"/>
    <w:rsid w:val="00E77DAA"/>
    <w:rsid w:val="00E804A3"/>
    <w:rsid w:val="00E80681"/>
    <w:rsid w:val="00E8086C"/>
    <w:rsid w:val="00E813F4"/>
    <w:rsid w:val="00E81919"/>
    <w:rsid w:val="00E819A8"/>
    <w:rsid w:val="00E81A7F"/>
    <w:rsid w:val="00E81FAF"/>
    <w:rsid w:val="00E826D1"/>
    <w:rsid w:val="00E828CB"/>
    <w:rsid w:val="00E8297F"/>
    <w:rsid w:val="00E838BD"/>
    <w:rsid w:val="00E83AFD"/>
    <w:rsid w:val="00E83BD7"/>
    <w:rsid w:val="00E844C3"/>
    <w:rsid w:val="00E845F8"/>
    <w:rsid w:val="00E846DB"/>
    <w:rsid w:val="00E85157"/>
    <w:rsid w:val="00E85784"/>
    <w:rsid w:val="00E86555"/>
    <w:rsid w:val="00E8695C"/>
    <w:rsid w:val="00E86FEA"/>
    <w:rsid w:val="00E87559"/>
    <w:rsid w:val="00E87DDD"/>
    <w:rsid w:val="00E9006C"/>
    <w:rsid w:val="00E9023B"/>
    <w:rsid w:val="00E9047A"/>
    <w:rsid w:val="00E90609"/>
    <w:rsid w:val="00E913B3"/>
    <w:rsid w:val="00E918B7"/>
    <w:rsid w:val="00E92565"/>
    <w:rsid w:val="00E9260C"/>
    <w:rsid w:val="00E9266C"/>
    <w:rsid w:val="00E932D1"/>
    <w:rsid w:val="00E93C7E"/>
    <w:rsid w:val="00E93EB9"/>
    <w:rsid w:val="00E94DAA"/>
    <w:rsid w:val="00E9526E"/>
    <w:rsid w:val="00E96468"/>
    <w:rsid w:val="00E964A8"/>
    <w:rsid w:val="00E96F68"/>
    <w:rsid w:val="00E970D7"/>
    <w:rsid w:val="00E972EE"/>
    <w:rsid w:val="00E978CC"/>
    <w:rsid w:val="00E97B84"/>
    <w:rsid w:val="00E97F38"/>
    <w:rsid w:val="00EA0289"/>
    <w:rsid w:val="00EA07F1"/>
    <w:rsid w:val="00EA0FCE"/>
    <w:rsid w:val="00EA18A8"/>
    <w:rsid w:val="00EA2142"/>
    <w:rsid w:val="00EA2D29"/>
    <w:rsid w:val="00EA3749"/>
    <w:rsid w:val="00EA3CF5"/>
    <w:rsid w:val="00EA421C"/>
    <w:rsid w:val="00EA4BB6"/>
    <w:rsid w:val="00EA59B0"/>
    <w:rsid w:val="00EA5BCD"/>
    <w:rsid w:val="00EA6094"/>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4BEB"/>
    <w:rsid w:val="00EB5287"/>
    <w:rsid w:val="00EB6405"/>
    <w:rsid w:val="00EB6587"/>
    <w:rsid w:val="00EB66AC"/>
    <w:rsid w:val="00EB69B4"/>
    <w:rsid w:val="00EB7059"/>
    <w:rsid w:val="00EB7932"/>
    <w:rsid w:val="00EB7E38"/>
    <w:rsid w:val="00EC0214"/>
    <w:rsid w:val="00EC04A7"/>
    <w:rsid w:val="00EC05BA"/>
    <w:rsid w:val="00EC178C"/>
    <w:rsid w:val="00EC1A16"/>
    <w:rsid w:val="00EC1D75"/>
    <w:rsid w:val="00EC20DA"/>
    <w:rsid w:val="00EC238B"/>
    <w:rsid w:val="00EC3117"/>
    <w:rsid w:val="00EC3329"/>
    <w:rsid w:val="00EC3C44"/>
    <w:rsid w:val="00EC3DC9"/>
    <w:rsid w:val="00EC478C"/>
    <w:rsid w:val="00EC517B"/>
    <w:rsid w:val="00EC5B0D"/>
    <w:rsid w:val="00EC6364"/>
    <w:rsid w:val="00EC7114"/>
    <w:rsid w:val="00EC7D15"/>
    <w:rsid w:val="00EC7DAA"/>
    <w:rsid w:val="00EC7DB0"/>
    <w:rsid w:val="00EC7EDB"/>
    <w:rsid w:val="00ED019F"/>
    <w:rsid w:val="00ED024A"/>
    <w:rsid w:val="00ED12B0"/>
    <w:rsid w:val="00ED1F83"/>
    <w:rsid w:val="00ED213F"/>
    <w:rsid w:val="00ED2540"/>
    <w:rsid w:val="00ED2DB8"/>
    <w:rsid w:val="00ED379B"/>
    <w:rsid w:val="00ED3AA3"/>
    <w:rsid w:val="00ED45E3"/>
    <w:rsid w:val="00ED4783"/>
    <w:rsid w:val="00ED49B3"/>
    <w:rsid w:val="00ED4C0D"/>
    <w:rsid w:val="00ED51DE"/>
    <w:rsid w:val="00ED53CB"/>
    <w:rsid w:val="00ED54B4"/>
    <w:rsid w:val="00ED5993"/>
    <w:rsid w:val="00ED5A24"/>
    <w:rsid w:val="00ED6222"/>
    <w:rsid w:val="00ED6F3C"/>
    <w:rsid w:val="00ED74B3"/>
    <w:rsid w:val="00ED74C3"/>
    <w:rsid w:val="00ED79B4"/>
    <w:rsid w:val="00ED7E44"/>
    <w:rsid w:val="00EE0A57"/>
    <w:rsid w:val="00EE1B4A"/>
    <w:rsid w:val="00EE1C17"/>
    <w:rsid w:val="00EE1D56"/>
    <w:rsid w:val="00EE235A"/>
    <w:rsid w:val="00EE294E"/>
    <w:rsid w:val="00EE35B8"/>
    <w:rsid w:val="00EE3EC0"/>
    <w:rsid w:val="00EE427C"/>
    <w:rsid w:val="00EE4392"/>
    <w:rsid w:val="00EE4B3F"/>
    <w:rsid w:val="00EE4DCC"/>
    <w:rsid w:val="00EE5425"/>
    <w:rsid w:val="00EE5BB3"/>
    <w:rsid w:val="00EE7273"/>
    <w:rsid w:val="00EE74FC"/>
    <w:rsid w:val="00EE7916"/>
    <w:rsid w:val="00EE793A"/>
    <w:rsid w:val="00EE7A69"/>
    <w:rsid w:val="00EE7C99"/>
    <w:rsid w:val="00EF0797"/>
    <w:rsid w:val="00EF0A64"/>
    <w:rsid w:val="00EF132F"/>
    <w:rsid w:val="00EF1392"/>
    <w:rsid w:val="00EF19D9"/>
    <w:rsid w:val="00EF2467"/>
    <w:rsid w:val="00EF4844"/>
    <w:rsid w:val="00EF4853"/>
    <w:rsid w:val="00EF4A5A"/>
    <w:rsid w:val="00EF4BA8"/>
    <w:rsid w:val="00EF4E5E"/>
    <w:rsid w:val="00EF5667"/>
    <w:rsid w:val="00EF5D5A"/>
    <w:rsid w:val="00EF5D5C"/>
    <w:rsid w:val="00EF6786"/>
    <w:rsid w:val="00EF6D04"/>
    <w:rsid w:val="00EF6D93"/>
    <w:rsid w:val="00EF6EEB"/>
    <w:rsid w:val="00EF760F"/>
    <w:rsid w:val="00F00002"/>
    <w:rsid w:val="00F003C1"/>
    <w:rsid w:val="00F00439"/>
    <w:rsid w:val="00F0069C"/>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499"/>
    <w:rsid w:val="00F04921"/>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77"/>
    <w:rsid w:val="00F147E6"/>
    <w:rsid w:val="00F14FD5"/>
    <w:rsid w:val="00F15497"/>
    <w:rsid w:val="00F15E67"/>
    <w:rsid w:val="00F15EFD"/>
    <w:rsid w:val="00F15EFE"/>
    <w:rsid w:val="00F164DE"/>
    <w:rsid w:val="00F16634"/>
    <w:rsid w:val="00F1730F"/>
    <w:rsid w:val="00F178D2"/>
    <w:rsid w:val="00F17A79"/>
    <w:rsid w:val="00F17C66"/>
    <w:rsid w:val="00F202DD"/>
    <w:rsid w:val="00F20C34"/>
    <w:rsid w:val="00F21609"/>
    <w:rsid w:val="00F21A45"/>
    <w:rsid w:val="00F21B53"/>
    <w:rsid w:val="00F2201B"/>
    <w:rsid w:val="00F22343"/>
    <w:rsid w:val="00F22404"/>
    <w:rsid w:val="00F226B6"/>
    <w:rsid w:val="00F22D6E"/>
    <w:rsid w:val="00F236D5"/>
    <w:rsid w:val="00F238EF"/>
    <w:rsid w:val="00F24B8E"/>
    <w:rsid w:val="00F24D6A"/>
    <w:rsid w:val="00F251A5"/>
    <w:rsid w:val="00F25226"/>
    <w:rsid w:val="00F25455"/>
    <w:rsid w:val="00F2574A"/>
    <w:rsid w:val="00F25763"/>
    <w:rsid w:val="00F2594A"/>
    <w:rsid w:val="00F25CA3"/>
    <w:rsid w:val="00F25FC7"/>
    <w:rsid w:val="00F2630A"/>
    <w:rsid w:val="00F263AD"/>
    <w:rsid w:val="00F264B8"/>
    <w:rsid w:val="00F26A5A"/>
    <w:rsid w:val="00F26D06"/>
    <w:rsid w:val="00F26D38"/>
    <w:rsid w:val="00F2740B"/>
    <w:rsid w:val="00F3040E"/>
    <w:rsid w:val="00F304A8"/>
    <w:rsid w:val="00F309CA"/>
    <w:rsid w:val="00F30B91"/>
    <w:rsid w:val="00F30F5D"/>
    <w:rsid w:val="00F31206"/>
    <w:rsid w:val="00F3173A"/>
    <w:rsid w:val="00F31861"/>
    <w:rsid w:val="00F32088"/>
    <w:rsid w:val="00F32913"/>
    <w:rsid w:val="00F32A66"/>
    <w:rsid w:val="00F32B61"/>
    <w:rsid w:val="00F32FCB"/>
    <w:rsid w:val="00F350C6"/>
    <w:rsid w:val="00F366FB"/>
    <w:rsid w:val="00F36C9F"/>
    <w:rsid w:val="00F3757C"/>
    <w:rsid w:val="00F375F4"/>
    <w:rsid w:val="00F378A6"/>
    <w:rsid w:val="00F3796D"/>
    <w:rsid w:val="00F37AEB"/>
    <w:rsid w:val="00F40AD0"/>
    <w:rsid w:val="00F40B27"/>
    <w:rsid w:val="00F40BE9"/>
    <w:rsid w:val="00F411C1"/>
    <w:rsid w:val="00F4123C"/>
    <w:rsid w:val="00F4131E"/>
    <w:rsid w:val="00F42164"/>
    <w:rsid w:val="00F42AC0"/>
    <w:rsid w:val="00F445FF"/>
    <w:rsid w:val="00F4463B"/>
    <w:rsid w:val="00F451D4"/>
    <w:rsid w:val="00F4541A"/>
    <w:rsid w:val="00F45BD4"/>
    <w:rsid w:val="00F45EDF"/>
    <w:rsid w:val="00F4625D"/>
    <w:rsid w:val="00F4638F"/>
    <w:rsid w:val="00F468E9"/>
    <w:rsid w:val="00F46A8E"/>
    <w:rsid w:val="00F47117"/>
    <w:rsid w:val="00F473D8"/>
    <w:rsid w:val="00F47788"/>
    <w:rsid w:val="00F47849"/>
    <w:rsid w:val="00F47ECA"/>
    <w:rsid w:val="00F51106"/>
    <w:rsid w:val="00F514E3"/>
    <w:rsid w:val="00F51A14"/>
    <w:rsid w:val="00F521AA"/>
    <w:rsid w:val="00F52501"/>
    <w:rsid w:val="00F52838"/>
    <w:rsid w:val="00F52FE8"/>
    <w:rsid w:val="00F534E0"/>
    <w:rsid w:val="00F53B78"/>
    <w:rsid w:val="00F54251"/>
    <w:rsid w:val="00F547A4"/>
    <w:rsid w:val="00F54897"/>
    <w:rsid w:val="00F54D38"/>
    <w:rsid w:val="00F55082"/>
    <w:rsid w:val="00F553BF"/>
    <w:rsid w:val="00F555A0"/>
    <w:rsid w:val="00F55BC1"/>
    <w:rsid w:val="00F55EAA"/>
    <w:rsid w:val="00F5629A"/>
    <w:rsid w:val="00F562A2"/>
    <w:rsid w:val="00F571DB"/>
    <w:rsid w:val="00F572FE"/>
    <w:rsid w:val="00F5774F"/>
    <w:rsid w:val="00F579D5"/>
    <w:rsid w:val="00F57E50"/>
    <w:rsid w:val="00F57F20"/>
    <w:rsid w:val="00F60617"/>
    <w:rsid w:val="00F60639"/>
    <w:rsid w:val="00F60F0A"/>
    <w:rsid w:val="00F61816"/>
    <w:rsid w:val="00F61C2B"/>
    <w:rsid w:val="00F61FD0"/>
    <w:rsid w:val="00F62348"/>
    <w:rsid w:val="00F625E6"/>
    <w:rsid w:val="00F62FEE"/>
    <w:rsid w:val="00F630ED"/>
    <w:rsid w:val="00F6367D"/>
    <w:rsid w:val="00F6436A"/>
    <w:rsid w:val="00F6480B"/>
    <w:rsid w:val="00F64B26"/>
    <w:rsid w:val="00F64BC9"/>
    <w:rsid w:val="00F64CE5"/>
    <w:rsid w:val="00F651FB"/>
    <w:rsid w:val="00F655F5"/>
    <w:rsid w:val="00F65A67"/>
    <w:rsid w:val="00F66042"/>
    <w:rsid w:val="00F663E4"/>
    <w:rsid w:val="00F66822"/>
    <w:rsid w:val="00F66A6E"/>
    <w:rsid w:val="00F66D44"/>
    <w:rsid w:val="00F67403"/>
    <w:rsid w:val="00F674DA"/>
    <w:rsid w:val="00F67D3F"/>
    <w:rsid w:val="00F700D8"/>
    <w:rsid w:val="00F708F1"/>
    <w:rsid w:val="00F70FDD"/>
    <w:rsid w:val="00F713E8"/>
    <w:rsid w:val="00F715E5"/>
    <w:rsid w:val="00F719CF"/>
    <w:rsid w:val="00F72845"/>
    <w:rsid w:val="00F729F1"/>
    <w:rsid w:val="00F72B73"/>
    <w:rsid w:val="00F73BCF"/>
    <w:rsid w:val="00F752A2"/>
    <w:rsid w:val="00F75AC3"/>
    <w:rsid w:val="00F75ADB"/>
    <w:rsid w:val="00F75EF5"/>
    <w:rsid w:val="00F76363"/>
    <w:rsid w:val="00F7685D"/>
    <w:rsid w:val="00F76C6C"/>
    <w:rsid w:val="00F76D4A"/>
    <w:rsid w:val="00F77119"/>
    <w:rsid w:val="00F77E63"/>
    <w:rsid w:val="00F8037E"/>
    <w:rsid w:val="00F803B7"/>
    <w:rsid w:val="00F806C9"/>
    <w:rsid w:val="00F807F7"/>
    <w:rsid w:val="00F816F6"/>
    <w:rsid w:val="00F838A8"/>
    <w:rsid w:val="00F83A8A"/>
    <w:rsid w:val="00F84A5A"/>
    <w:rsid w:val="00F85A9D"/>
    <w:rsid w:val="00F85B83"/>
    <w:rsid w:val="00F860D8"/>
    <w:rsid w:val="00F86914"/>
    <w:rsid w:val="00F86B73"/>
    <w:rsid w:val="00F870BF"/>
    <w:rsid w:val="00F8754B"/>
    <w:rsid w:val="00F90377"/>
    <w:rsid w:val="00F90B06"/>
    <w:rsid w:val="00F9176D"/>
    <w:rsid w:val="00F91D3B"/>
    <w:rsid w:val="00F91D8E"/>
    <w:rsid w:val="00F923B9"/>
    <w:rsid w:val="00F927E3"/>
    <w:rsid w:val="00F92F2C"/>
    <w:rsid w:val="00F930B6"/>
    <w:rsid w:val="00F934BB"/>
    <w:rsid w:val="00F937B9"/>
    <w:rsid w:val="00F939B6"/>
    <w:rsid w:val="00F9440D"/>
    <w:rsid w:val="00F94A68"/>
    <w:rsid w:val="00F94BC8"/>
    <w:rsid w:val="00F9640C"/>
    <w:rsid w:val="00F97990"/>
    <w:rsid w:val="00F97BCC"/>
    <w:rsid w:val="00FA057A"/>
    <w:rsid w:val="00FA1322"/>
    <w:rsid w:val="00FA1A50"/>
    <w:rsid w:val="00FA1D9A"/>
    <w:rsid w:val="00FA1F76"/>
    <w:rsid w:val="00FA26F8"/>
    <w:rsid w:val="00FA276F"/>
    <w:rsid w:val="00FA3509"/>
    <w:rsid w:val="00FA357D"/>
    <w:rsid w:val="00FA3AE6"/>
    <w:rsid w:val="00FA3C8B"/>
    <w:rsid w:val="00FA3E60"/>
    <w:rsid w:val="00FA3EC1"/>
    <w:rsid w:val="00FA40E6"/>
    <w:rsid w:val="00FA49E0"/>
    <w:rsid w:val="00FA5819"/>
    <w:rsid w:val="00FA5C9E"/>
    <w:rsid w:val="00FA6F3D"/>
    <w:rsid w:val="00FA77FB"/>
    <w:rsid w:val="00FB016A"/>
    <w:rsid w:val="00FB055C"/>
    <w:rsid w:val="00FB0A03"/>
    <w:rsid w:val="00FB0D77"/>
    <w:rsid w:val="00FB0D91"/>
    <w:rsid w:val="00FB0E86"/>
    <w:rsid w:val="00FB0F89"/>
    <w:rsid w:val="00FB1239"/>
    <w:rsid w:val="00FB274B"/>
    <w:rsid w:val="00FB326E"/>
    <w:rsid w:val="00FB39F2"/>
    <w:rsid w:val="00FB5B5B"/>
    <w:rsid w:val="00FB6CE2"/>
    <w:rsid w:val="00FB7A8F"/>
    <w:rsid w:val="00FC01EC"/>
    <w:rsid w:val="00FC051A"/>
    <w:rsid w:val="00FC1402"/>
    <w:rsid w:val="00FC15F6"/>
    <w:rsid w:val="00FC1B18"/>
    <w:rsid w:val="00FC2295"/>
    <w:rsid w:val="00FC28ED"/>
    <w:rsid w:val="00FC35FA"/>
    <w:rsid w:val="00FC3D4C"/>
    <w:rsid w:val="00FC46DF"/>
    <w:rsid w:val="00FC4846"/>
    <w:rsid w:val="00FC58D3"/>
    <w:rsid w:val="00FC6CD3"/>
    <w:rsid w:val="00FC7770"/>
    <w:rsid w:val="00FC7ED3"/>
    <w:rsid w:val="00FC7F65"/>
    <w:rsid w:val="00FD0D3F"/>
    <w:rsid w:val="00FD1298"/>
    <w:rsid w:val="00FD1AFF"/>
    <w:rsid w:val="00FD1CCA"/>
    <w:rsid w:val="00FD277B"/>
    <w:rsid w:val="00FD2A3B"/>
    <w:rsid w:val="00FD2CBA"/>
    <w:rsid w:val="00FD362E"/>
    <w:rsid w:val="00FD374B"/>
    <w:rsid w:val="00FD3816"/>
    <w:rsid w:val="00FD3ADD"/>
    <w:rsid w:val="00FD3AEE"/>
    <w:rsid w:val="00FD4281"/>
    <w:rsid w:val="00FD5DF2"/>
    <w:rsid w:val="00FD675A"/>
    <w:rsid w:val="00FD6EA3"/>
    <w:rsid w:val="00FD7514"/>
    <w:rsid w:val="00FE0940"/>
    <w:rsid w:val="00FE0E36"/>
    <w:rsid w:val="00FE1A57"/>
    <w:rsid w:val="00FE28C4"/>
    <w:rsid w:val="00FE34DC"/>
    <w:rsid w:val="00FE354B"/>
    <w:rsid w:val="00FE37E9"/>
    <w:rsid w:val="00FE3D93"/>
    <w:rsid w:val="00FE43B3"/>
    <w:rsid w:val="00FE44CB"/>
    <w:rsid w:val="00FE45BD"/>
    <w:rsid w:val="00FE4D06"/>
    <w:rsid w:val="00FE6481"/>
    <w:rsid w:val="00FE6632"/>
    <w:rsid w:val="00FE66ED"/>
    <w:rsid w:val="00FE6C64"/>
    <w:rsid w:val="00FE76FA"/>
    <w:rsid w:val="00FE77D3"/>
    <w:rsid w:val="00FF02F7"/>
    <w:rsid w:val="00FF0386"/>
    <w:rsid w:val="00FF1329"/>
    <w:rsid w:val="00FF1B15"/>
    <w:rsid w:val="00FF1CE1"/>
    <w:rsid w:val="00FF1E0B"/>
    <w:rsid w:val="00FF2021"/>
    <w:rsid w:val="00FF24A7"/>
    <w:rsid w:val="00FF2F44"/>
    <w:rsid w:val="00FF352D"/>
    <w:rsid w:val="00FF360F"/>
    <w:rsid w:val="00FF396F"/>
    <w:rsid w:val="00FF3AA1"/>
    <w:rsid w:val="00FF463E"/>
    <w:rsid w:val="00FF4ED3"/>
    <w:rsid w:val="00FF537D"/>
    <w:rsid w:val="00FF6278"/>
    <w:rsid w:val="00FF64E9"/>
    <w:rsid w:val="00FF7965"/>
    <w:rsid w:val="00FF799E"/>
    <w:rsid w:val="00FF7AC5"/>
    <w:rsid w:val="00FF7E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paragraph" w:customStyle="1" w:styleId="xmsonormal">
    <w:name w:val="x_msonormal"/>
    <w:basedOn w:val="Normal"/>
    <w:rsid w:val="00F534E0"/>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846599940">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0\December\&#1050;&#1060;&#1055;-12-202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90"/>
      <c:rAngAx val="1"/>
    </c:view3D>
    <c:floor>
      <c:thickness val="0"/>
      <c:spPr>
        <a:ln>
          <a:solidFill>
            <a:schemeClr val="tx1"/>
          </a:solidFill>
        </a:ln>
      </c:spPr>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7087012857570018"/>
          <c:y val="9.3670557440482541E-2"/>
          <c:w val="0.57988276907864356"/>
          <c:h val="0.78906581349462568"/>
        </c:manualLayout>
      </c:layout>
      <c:bar3DChart>
        <c:barDir val="bar"/>
        <c:grouping val="clustered"/>
        <c:varyColors val="0"/>
        <c:ser>
          <c:idx val="0"/>
          <c:order val="0"/>
          <c:tx>
            <c:strRef>
              <c:f>'КФП_ГРАФИКИ ПРИХОДИ И РАЗХОДИ'!$B$46</c:f>
              <c:strCache>
                <c:ptCount val="1"/>
                <c:pt idx="0">
                  <c:v>2019 г.</c:v>
                </c:pt>
              </c:strCache>
            </c:strRef>
          </c:tx>
          <c:spPr>
            <a:solidFill>
              <a:srgbClr val="531E1D"/>
            </a:solidFill>
          </c:spPr>
          <c:invertIfNegative val="0"/>
          <c:dLbls>
            <c:dLbl>
              <c:idx val="0"/>
              <c:layout>
                <c:manualLayout>
                  <c:x val="6.5734592910399476E-3"/>
                  <c:y val="-9.03342366757000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C51-46DE-854B-584271FE6959}"/>
                </c:ext>
              </c:extLst>
            </c:dLbl>
            <c:dLbl>
              <c:idx val="3"/>
              <c:layout>
                <c:manualLayout>
                  <c:x val="0"/>
                  <c:y val="1.35501355013550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51-46DE-854B-584271FE6959}"/>
                </c:ext>
              </c:extLst>
            </c:dLbl>
            <c:dLbl>
              <c:idx val="7"/>
              <c:layout>
                <c:manualLayout>
                  <c:x val="6.5189605205599327E-3"/>
                  <c:y val="-3.51593147630737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C51-46DE-854B-584271FE6959}"/>
                </c:ext>
              </c:extLst>
            </c:dLbl>
            <c:dLbl>
              <c:idx val="8"/>
              <c:layout>
                <c:manualLayout>
                  <c:x val="0"/>
                  <c:y val="1.3550135501355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C51-46DE-854B-584271FE6959}"/>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'КФП_ГРАФИКИ ПРИХОДИ И РАЗХОДИ'!$A$47:$A$55</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strRef>
          </c:cat>
          <c:val>
            <c:numRef>
              <c:f>'КФП_ГРАФИКИ ПРИХОДИ И РАЗХОДИ'!$B$47:$B$55</c:f>
              <c:numCache>
                <c:formatCode>0.0%</c:formatCode>
                <c:ptCount val="9"/>
                <c:pt idx="0" formatCode="0.00%">
                  <c:v>3.6479966878805392E-4</c:v>
                </c:pt>
                <c:pt idx="1">
                  <c:v>6.313236978148111E-2</c:v>
                </c:pt>
                <c:pt idx="2">
                  <c:v>3.1838037867703076E-2</c:v>
                </c:pt>
                <c:pt idx="3">
                  <c:v>0.14481674761666416</c:v>
                </c:pt>
                <c:pt idx="4">
                  <c:v>5.416738915149379E-3</c:v>
                </c:pt>
                <c:pt idx="5">
                  <c:v>3.8016511796680787E-2</c:v>
                </c:pt>
                <c:pt idx="6">
                  <c:v>8.3844503413770713E-2</c:v>
                </c:pt>
                <c:pt idx="7">
                  <c:v>9.9617731625647847E-3</c:v>
                </c:pt>
                <c:pt idx="8">
                  <c:v>0.37739148222280205</c:v>
                </c:pt>
              </c:numCache>
            </c:numRef>
          </c:val>
          <c:extLst xmlns:c16r2="http://schemas.microsoft.com/office/drawing/2015/06/chart">
            <c:ext xmlns:c16="http://schemas.microsoft.com/office/drawing/2014/chart" uri="{C3380CC4-5D6E-409C-BE32-E72D297353CC}">
              <c16:uniqueId val="{00000004-9C51-46DE-854B-584271FE6959}"/>
            </c:ext>
          </c:extLst>
        </c:ser>
        <c:ser>
          <c:idx val="1"/>
          <c:order val="1"/>
          <c:tx>
            <c:strRef>
              <c:f>'КФП_ГРАФИКИ ПРИХОДИ И РАЗХОДИ'!$C$46</c:f>
              <c:strCache>
                <c:ptCount val="1"/>
                <c:pt idx="0">
                  <c:v>2020 г.</c:v>
                </c:pt>
              </c:strCache>
            </c:strRef>
          </c:tx>
          <c:spPr>
            <a:pattFill prst="trellis">
              <a:fgClr>
                <a:srgbClr val="00B0F0"/>
              </a:fgClr>
              <a:bgClr>
                <a:schemeClr val="bg1"/>
              </a:bgClr>
            </a:pattFill>
            <a:ln>
              <a:solidFill>
                <a:schemeClr val="tx1">
                  <a:tint val="75000"/>
                  <a:shade val="95000"/>
                  <a:satMod val="105000"/>
                </a:schemeClr>
              </a:solidFill>
            </a:ln>
          </c:spPr>
          <c:invertIfNegative val="0"/>
          <c:dLbls>
            <c:dLbl>
              <c:idx val="0"/>
              <c:layout>
                <c:manualLayout>
                  <c:x val="2.4226718495631086E-3"/>
                  <c:y val="-1.5244850507816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C51-46DE-854B-584271FE6959}"/>
                </c:ext>
              </c:extLst>
            </c:dLbl>
            <c:dLbl>
              <c:idx val="1"/>
              <c:layout>
                <c:manualLayout>
                  <c:x val="8.680555555555575E-3"/>
                  <c:y val="-1.43369175627239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C51-46DE-854B-584271FE6959}"/>
                </c:ext>
              </c:extLst>
            </c:dLbl>
            <c:dLbl>
              <c:idx val="2"/>
              <c:layout>
                <c:manualLayout>
                  <c:x val="1.8930155854412004E-4"/>
                  <c:y val="-1.07526193372169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C51-46DE-854B-584271FE6959}"/>
                </c:ext>
              </c:extLst>
            </c:dLbl>
            <c:dLbl>
              <c:idx val="3"/>
              <c:layout>
                <c:manualLayout>
                  <c:x val="2.1701388888889749E-3"/>
                  <c:y val="-1.7921146953405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C51-46DE-854B-584271FE6959}"/>
                </c:ext>
              </c:extLst>
            </c:dLbl>
            <c:dLbl>
              <c:idx val="4"/>
              <c:layout>
                <c:manualLayout>
                  <c:x val="4.3402777777777814E-3"/>
                  <c:y val="-1.43369175627239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C51-46DE-854B-584271FE6959}"/>
                </c:ext>
              </c:extLst>
            </c:dLbl>
            <c:dLbl>
              <c:idx val="5"/>
              <c:layout>
                <c:manualLayout>
                  <c:x val="1.2625634185107392E-4"/>
                  <c:y val="-9.82011394917098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C51-46DE-854B-584271FE6959}"/>
                </c:ext>
              </c:extLst>
            </c:dLbl>
            <c:dLbl>
              <c:idx val="6"/>
              <c:layout>
                <c:manualLayout>
                  <c:x val="1.2625634185107416E-4"/>
                  <c:y val="-1.43368257829560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9C51-46DE-854B-584271FE6959}"/>
                </c:ext>
              </c:extLst>
            </c:dLbl>
            <c:dLbl>
              <c:idx val="7"/>
              <c:layout>
                <c:manualLayout>
                  <c:x val="2.1701388888888938E-3"/>
                  <c:y val="-1.43369175627239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9C51-46DE-854B-584271FE6959}"/>
                </c:ext>
              </c:extLst>
            </c:dLbl>
            <c:dLbl>
              <c:idx val="8"/>
              <c:layout>
                <c:manualLayout>
                  <c:x val="0"/>
                  <c:y val="-1.07526881720430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9C51-46DE-854B-584271FE6959}"/>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'КФП_ГРАФИКИ ПРИХОДИ И РАЗХОДИ'!$A$47:$A$55</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strRef>
          </c:cat>
          <c:val>
            <c:numRef>
              <c:f>'КФП_ГРАФИКИ ПРИХОДИ И РАЗХОДИ'!$C$47:$C$55</c:f>
              <c:numCache>
                <c:formatCode>0.0%</c:formatCode>
                <c:ptCount val="9"/>
                <c:pt idx="0" formatCode="0.00%">
                  <c:v>4.9907981700553065E-4</c:v>
                </c:pt>
                <c:pt idx="1">
                  <c:v>4.2661843399354492E-2</c:v>
                </c:pt>
                <c:pt idx="2">
                  <c:v>4.227039938963216E-2</c:v>
                </c:pt>
                <c:pt idx="3">
                  <c:v>0.16180076189310594</c:v>
                </c:pt>
                <c:pt idx="4">
                  <c:v>5.2385325698641218E-3</c:v>
                </c:pt>
                <c:pt idx="5">
                  <c:v>4.2857510649213199E-2</c:v>
                </c:pt>
                <c:pt idx="6">
                  <c:v>9.5514146031057748E-2</c:v>
                </c:pt>
                <c:pt idx="7">
                  <c:v>1.0878016887307959E-2</c:v>
                </c:pt>
                <c:pt idx="8">
                  <c:v>0.40172029063654124</c:v>
                </c:pt>
              </c:numCache>
            </c:numRef>
          </c:val>
          <c:extLst xmlns:c16r2="http://schemas.microsoft.com/office/drawing/2015/06/chart">
            <c:ext xmlns:c16="http://schemas.microsoft.com/office/drawing/2014/chart" uri="{C3380CC4-5D6E-409C-BE32-E72D297353CC}">
              <c16:uniqueId val="{0000000E-9C51-46DE-854B-584271FE6959}"/>
            </c:ext>
          </c:extLst>
        </c:ser>
        <c:dLbls>
          <c:showLegendKey val="0"/>
          <c:showVal val="0"/>
          <c:showCatName val="0"/>
          <c:showSerName val="0"/>
          <c:showPercent val="0"/>
          <c:showBubbleSize val="0"/>
        </c:dLbls>
        <c:gapWidth val="150"/>
        <c:shape val="cylinder"/>
        <c:axId val="26614784"/>
        <c:axId val="26632960"/>
        <c:axId val="0"/>
      </c:bar3DChart>
      <c:catAx>
        <c:axId val="26614784"/>
        <c:scaling>
          <c:orientation val="minMax"/>
        </c:scaling>
        <c:delete val="0"/>
        <c:axPos val="l"/>
        <c:numFmt formatCode="General" sourceLinked="1"/>
        <c:majorTickMark val="none"/>
        <c:minorTickMark val="none"/>
        <c:tickLblPos val="nextTo"/>
        <c:txPr>
          <a:bodyPr rot="0" vert="horz"/>
          <a:lstStyle/>
          <a:p>
            <a:pPr>
              <a:defRPr sz="870" b="0" i="0" u="none" strike="noStrike" baseline="0">
                <a:solidFill>
                  <a:srgbClr val="000000"/>
                </a:solidFill>
                <a:latin typeface="Times New Roman"/>
                <a:ea typeface="Times New Roman"/>
                <a:cs typeface="Times New Roman"/>
              </a:defRPr>
            </a:pPr>
            <a:endParaRPr lang="bg-BG"/>
          </a:p>
        </c:txPr>
        <c:crossAx val="26632960"/>
        <c:crosses val="autoZero"/>
        <c:auto val="1"/>
        <c:lblAlgn val="ctr"/>
        <c:lblOffset val="100"/>
        <c:noMultiLvlLbl val="0"/>
      </c:catAx>
      <c:valAx>
        <c:axId val="26632960"/>
        <c:scaling>
          <c:orientation val="minMax"/>
        </c:scaling>
        <c:delete val="0"/>
        <c:axPos val="b"/>
        <c:majorGridlines>
          <c:spPr>
            <a:ln>
              <a:noFill/>
            </a:ln>
          </c:spPr>
        </c:majorGridlines>
        <c:numFmt formatCode="0.0%" sourceLinked="0"/>
        <c:majorTickMark val="out"/>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6614784"/>
        <c:crosses val="autoZero"/>
        <c:crossBetween val="between"/>
      </c:valAx>
      <c:spPr>
        <a:noFill/>
      </c:spPr>
    </c:plotArea>
    <c:legend>
      <c:legendPos val="r"/>
      <c:layout>
        <c:manualLayout>
          <c:xMode val="edge"/>
          <c:yMode val="edge"/>
          <c:x val="1.2455231070799674E-2"/>
          <c:y val="0.94282838628911336"/>
          <c:w val="0.17954430500874891"/>
          <c:h val="5.1574520926819634E-2"/>
        </c:manualLayout>
      </c:layout>
      <c:overlay val="0"/>
      <c:txPr>
        <a:bodyPr/>
        <a:lstStyle/>
        <a:p>
          <a:pPr>
            <a:defRPr sz="90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ln>
      <a:solidFill>
        <a:schemeClr val="tx1"/>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bg-BG"/>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декември 2019 г.</c:v>
                </c:pt>
              </c:strCache>
            </c:strRef>
          </c:tx>
          <c:spPr>
            <a:pattFill prst="pct5">
              <a:fgClr>
                <a:srgbClr val="FFFFFF"/>
              </a:fgClr>
              <a:bgClr>
                <a:srgbClr val="000000"/>
              </a:bgClr>
            </a:pattFill>
            <a:ln w="12683">
              <a:solidFill>
                <a:srgbClr val="000000"/>
              </a:solidFill>
              <a:prstDash val="solid"/>
            </a:ln>
          </c:spPr>
          <c:invertIfNegative val="0"/>
          <c:dLbls>
            <c:dLbl>
              <c:idx val="0"/>
              <c:layout>
                <c:manualLayout>
                  <c:x val="-1.191112020312122E-3"/>
                  <c:y val="0.2823426664277792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E6F-4114-A707-1A6DE9781D4C}"/>
                </c:ext>
              </c:extLst>
            </c:dLbl>
            <c:dLbl>
              <c:idx val="1"/>
              <c:layout>
                <c:manualLayout>
                  <c:x val="-1.0887701537307913E-2"/>
                  <c:y val="4.713777866374297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E6F-4114-A707-1A6DE9781D4C}"/>
                </c:ext>
              </c:extLst>
            </c:dLbl>
            <c:dLbl>
              <c:idx val="2"/>
              <c:layout>
                <c:manualLayout>
                  <c:x val="-4.0234036459434923E-3"/>
                  <c:y val="3.710572923760841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F7F-429E-96A2-DF561199678A}"/>
                </c:ext>
              </c:extLst>
            </c:dLbl>
            <c:dLbl>
              <c:idx val="3"/>
              <c:layout>
                <c:manualLayout>
                  <c:x val="1.6411410112197602E-3"/>
                  <c:y val="-6.528788331838268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E6F-4114-A707-1A6DE9781D4C}"/>
                </c:ext>
              </c:extLst>
            </c:dLbl>
            <c:dLbl>
              <c:idx val="4"/>
              <c:layout>
                <c:manualLayout>
                  <c:x val="-1.6223933546759801E-4"/>
                  <c:y val="0.1824216751387088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E6F-4114-A707-1A6DE9781D4C}"/>
                </c:ext>
              </c:extLst>
            </c:dLbl>
            <c:dLbl>
              <c:idx val="5"/>
              <c:layout>
                <c:manualLayout>
                  <c:x val="2.2153355328576258E-4"/>
                  <c:y val="4.516590851363521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9485.124049</c:v>
                </c:pt>
                <c:pt idx="1">
                  <c:v>20.098599</c:v>
                </c:pt>
                <c:pt idx="2">
                  <c:v>4361.1455500000011</c:v>
                </c:pt>
                <c:pt idx="3">
                  <c:v>611.27762600000005</c:v>
                </c:pt>
                <c:pt idx="4">
                  <c:v>11252.949708</c:v>
                </c:pt>
                <c:pt idx="5">
                  <c:v>1193.143984</c:v>
                </c:pt>
              </c:numCache>
            </c:numRef>
          </c:val>
          <c:extLst xmlns:c16r2="http://schemas.microsoft.com/office/drawing/2015/06/chart">
            <c:ext xmlns:c16="http://schemas.microsoft.com/office/drawing/2014/chart" uri="{C3380CC4-5D6E-409C-BE32-E72D297353CC}">
              <c16:uniqueId val="{00000006-2E6F-4114-A707-1A6DE9781D4C}"/>
            </c:ext>
          </c:extLst>
        </c:ser>
        <c:ser>
          <c:idx val="1"/>
          <c:order val="1"/>
          <c:tx>
            <c:strRef>
              <c:f>Sheet1!$C$36</c:f>
              <c:strCache>
                <c:ptCount val="1"/>
                <c:pt idx="0">
                  <c:v>към декември  2020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1.5957659542556281E-3"/>
                  <c:y val="0.295091513608431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E6F-4114-A707-1A6DE9781D4C}"/>
                </c:ext>
              </c:extLst>
            </c:dLbl>
            <c:dLbl>
              <c:idx val="1"/>
              <c:layout>
                <c:manualLayout>
                  <c:x val="-1.3777787060437214E-3"/>
                  <c:y val="-2.245839959660220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2E6F-4114-A707-1A6DE9781D4C}"/>
                </c:ext>
              </c:extLst>
            </c:dLbl>
            <c:dLbl>
              <c:idx val="2"/>
              <c:layout>
                <c:manualLayout>
                  <c:x val="-3.8937440512244036E-5"/>
                  <c:y val="2.2060533572544134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F7F-429E-96A2-DF561199678A}"/>
                </c:ext>
              </c:extLst>
            </c:dLbl>
            <c:dLbl>
              <c:idx val="3"/>
              <c:layout>
                <c:manualLayout>
                  <c:x val="4.7141342909059365E-3"/>
                  <c:y val="-1.2333300109638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2E6F-4114-A707-1A6DE9781D4C}"/>
                </c:ext>
              </c:extLst>
            </c:dLbl>
            <c:dLbl>
              <c:idx val="4"/>
              <c:layout>
                <c:manualLayout>
                  <c:x val="2.5961277386746069E-3"/>
                  <c:y val="0.1626427084545466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2E6F-4114-A707-1A6DE9781D4C}"/>
                </c:ext>
              </c:extLst>
            </c:dLbl>
            <c:dLbl>
              <c:idx val="5"/>
              <c:layout>
                <c:manualLayout>
                  <c:x val="1.9210939978656521E-3"/>
                  <c:y val="5.694873583840072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11091.66416</c:v>
                </c:pt>
                <c:pt idx="1">
                  <c:v>37.263851000000003</c:v>
                </c:pt>
                <c:pt idx="2">
                  <c:v>2039.717304</c:v>
                </c:pt>
                <c:pt idx="3">
                  <c:v>585.26997299999994</c:v>
                </c:pt>
                <c:pt idx="4">
                  <c:v>14939.060307000002</c:v>
                </c:pt>
                <c:pt idx="5">
                  <c:v>1295.4504669999999</c:v>
                </c:pt>
              </c:numCache>
            </c:numRef>
          </c:val>
          <c:extLst xmlns:c16r2="http://schemas.microsoft.com/office/drawing/2015/06/chart">
            <c:ext xmlns:c16="http://schemas.microsoft.com/office/drawing/2014/chart" uri="{C3380CC4-5D6E-409C-BE32-E72D297353CC}">
              <c16:uniqueId val="{0000000D-2E6F-4114-A707-1A6DE9781D4C}"/>
            </c:ext>
          </c:extLst>
        </c:ser>
        <c:dLbls>
          <c:showLegendKey val="0"/>
          <c:showVal val="0"/>
          <c:showCatName val="0"/>
          <c:showSerName val="0"/>
          <c:showPercent val="0"/>
          <c:showBubbleSize val="0"/>
        </c:dLbls>
        <c:gapWidth val="150"/>
        <c:axId val="138712192"/>
        <c:axId val="138713728"/>
      </c:barChart>
      <c:catAx>
        <c:axId val="138712192"/>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38713728"/>
        <c:crosses val="autoZero"/>
        <c:auto val="1"/>
        <c:lblAlgn val="ctr"/>
        <c:lblOffset val="100"/>
        <c:tickLblSkip val="1"/>
        <c:tickMarkSkip val="1"/>
        <c:noMultiLvlLbl val="0"/>
      </c:catAx>
      <c:valAx>
        <c:axId val="138713728"/>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17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38712192"/>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0069008626966285"/>
          <c:y val="0.93587236729039158"/>
          <c:w val="0.39041922445644706"/>
          <c:h val="6.2912389115917469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0.53385</cdr:x>
      <cdr:y>0.03871</cdr:y>
    </cdr:from>
    <cdr:to>
      <cdr:x>0.6901</cdr:x>
      <cdr:y>0.10968</cdr:y>
    </cdr:to>
    <cdr:sp macro="" textlink="">
      <cdr:nvSpPr>
        <cdr:cNvPr id="2" name="TextBox 1"/>
        <cdr:cNvSpPr txBox="1"/>
      </cdr:nvSpPr>
      <cdr:spPr>
        <a:xfrm xmlns:a="http://schemas.openxmlformats.org/drawingml/2006/main">
          <a:off x="3124200" y="137160"/>
          <a:ext cx="91440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0.24089</cdr:x>
      <cdr:y>0.0258</cdr:y>
    </cdr:from>
    <cdr:to>
      <cdr:x>0.86198</cdr:x>
      <cdr:y>0.09247</cdr:y>
    </cdr:to>
    <cdr:sp macro="" textlink="">
      <cdr:nvSpPr>
        <cdr:cNvPr id="3" name="TextBox 2"/>
        <cdr:cNvSpPr txBox="1"/>
      </cdr:nvSpPr>
      <cdr:spPr>
        <a:xfrm xmlns:a="http://schemas.openxmlformats.org/drawingml/2006/main">
          <a:off x="1409700" y="91429"/>
          <a:ext cx="3634740" cy="236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bg-BG" sz="900" b="1">
              <a:latin typeface="Times New Roman" pitchFamily="18" charset="0"/>
              <a:cs typeface="Times New Roman" pitchFamily="18" charset="0"/>
            </a:rPr>
            <a:t>Разходи по КФП за 2019 г. и 2020 г., като отонсителен дял в БВП</a:t>
          </a:r>
        </a:p>
      </cdr:txBody>
    </cdr:sp>
  </cdr:relSizeAnchor>
</c:userShapes>
</file>

<file path=word/drawings/drawing2.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7AB9-C195-4231-8448-1A3677FB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31</Pages>
  <Words>17206</Words>
  <Characters>91689</Characters>
  <Application>Microsoft Office Word</Application>
  <DocSecurity>0</DocSecurity>
  <Lines>764</Lines>
  <Paragraphs>217</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650</cp:revision>
  <cp:lastPrinted>2021-02-05T12:18:00Z</cp:lastPrinted>
  <dcterms:created xsi:type="dcterms:W3CDTF">2020-08-07T06:12:00Z</dcterms:created>
  <dcterms:modified xsi:type="dcterms:W3CDTF">2021-02-05T13:26:00Z</dcterms:modified>
</cp:coreProperties>
</file>