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theme/themeOverride2.xml" ContentType="application/vnd.openxmlformats-officedocument.themeOverride+xml"/>
  <Override PartName="/word/charts/chart5.xml" ContentType="application/vnd.openxmlformats-officedocument.drawingml.chart+xml"/>
  <Override PartName="/word/theme/themeOverride3.xml" ContentType="application/vnd.openxmlformats-officedocument.themeOverride+xml"/>
  <Override PartName="/word/drawings/drawing3.xml" ContentType="application/vnd.openxmlformats-officedocument.drawingml.chartshap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3E15" w:rsidRPr="006E7134" w:rsidRDefault="00063E15" w:rsidP="008314D1">
      <w:pPr>
        <w:pStyle w:val="Title"/>
        <w:pBdr>
          <w:bottom w:val="double" w:sz="6" w:space="0" w:color="auto"/>
        </w:pBdr>
      </w:pPr>
      <w:r w:rsidRPr="006E7134">
        <w:t>М И Н И С Т Е Р С Т В О   Н А   Ф И Н А Н С И Т Е</w:t>
      </w:r>
    </w:p>
    <w:p w:rsidR="005F7245" w:rsidRPr="006E7134" w:rsidRDefault="005F7245" w:rsidP="00063E15">
      <w:pPr>
        <w:rPr>
          <w:sz w:val="16"/>
          <w:szCs w:val="16"/>
        </w:rPr>
      </w:pPr>
    </w:p>
    <w:p w:rsidR="0019151C" w:rsidRPr="006E7134" w:rsidRDefault="0019151C" w:rsidP="0019151C"/>
    <w:p w:rsidR="00E10331" w:rsidRPr="006E7134" w:rsidRDefault="00E10331" w:rsidP="0019151C"/>
    <w:p w:rsidR="00E9260C" w:rsidRPr="006E7134" w:rsidRDefault="00E9260C" w:rsidP="009B536C">
      <w:pPr>
        <w:pStyle w:val="Heading1"/>
        <w:rPr>
          <w:sz w:val="24"/>
        </w:rPr>
      </w:pPr>
      <w:r w:rsidRPr="006E7134">
        <w:rPr>
          <w:sz w:val="24"/>
        </w:rPr>
        <w:t>ИНФОРМАЦИЯ</w:t>
      </w:r>
    </w:p>
    <w:p w:rsidR="00E9260C" w:rsidRPr="006E7134" w:rsidRDefault="00E9260C" w:rsidP="009B536C">
      <w:pPr>
        <w:jc w:val="center"/>
        <w:rPr>
          <w:b/>
          <w:bCs/>
        </w:rPr>
      </w:pPr>
      <w:r w:rsidRPr="006E7134">
        <w:rPr>
          <w:b/>
          <w:bCs/>
        </w:rPr>
        <w:t xml:space="preserve">ЗА </w:t>
      </w:r>
      <w:r w:rsidR="004E7BF8" w:rsidRPr="006E7134">
        <w:rPr>
          <w:b/>
          <w:bCs/>
        </w:rPr>
        <w:t xml:space="preserve">КАСОВОТО </w:t>
      </w:r>
      <w:r w:rsidRPr="006E7134">
        <w:rPr>
          <w:b/>
          <w:bCs/>
        </w:rPr>
        <w:t xml:space="preserve">ИЗПЪЛНЕНИЕ НА </w:t>
      </w:r>
      <w:r w:rsidR="004E7BF8" w:rsidRPr="006E7134">
        <w:rPr>
          <w:b/>
          <w:bCs/>
        </w:rPr>
        <w:t>ДЪРЖАВНИЯ</w:t>
      </w:r>
      <w:r w:rsidRPr="006E7134">
        <w:rPr>
          <w:b/>
          <w:bCs/>
        </w:rPr>
        <w:t xml:space="preserve"> БЮДЖЕТ</w:t>
      </w:r>
      <w:r w:rsidR="004E7BF8" w:rsidRPr="006E7134">
        <w:rPr>
          <w:b/>
          <w:bCs/>
        </w:rPr>
        <w:t xml:space="preserve"> И НА ОСНОВНИТЕ ПОКАЗАТЕЛИ НА КОНСОЛИДИРАНАТА ФИСКАЛНА ПРОГРАМА </w:t>
      </w:r>
    </w:p>
    <w:p w:rsidR="003F47AB" w:rsidRPr="006E7134" w:rsidRDefault="003F47AB" w:rsidP="003F47AB">
      <w:pPr>
        <w:jc w:val="center"/>
        <w:rPr>
          <w:b/>
          <w:bCs/>
        </w:rPr>
      </w:pPr>
      <w:r w:rsidRPr="006E7134">
        <w:rPr>
          <w:b/>
          <w:bCs/>
        </w:rPr>
        <w:t>ЗА 20</w:t>
      </w:r>
      <w:r w:rsidR="006D5D56" w:rsidRPr="006E7134">
        <w:rPr>
          <w:b/>
          <w:bCs/>
        </w:rPr>
        <w:t>2</w:t>
      </w:r>
      <w:r w:rsidR="009A36B2" w:rsidRPr="006E7134">
        <w:rPr>
          <w:b/>
          <w:bCs/>
        </w:rPr>
        <w:t>4</w:t>
      </w:r>
      <w:r w:rsidRPr="006E7134">
        <w:rPr>
          <w:b/>
          <w:bCs/>
        </w:rPr>
        <w:t xml:space="preserve"> ГОДИНА</w:t>
      </w:r>
    </w:p>
    <w:p w:rsidR="00430A35" w:rsidRPr="006E7134" w:rsidRDefault="00430A35" w:rsidP="003A06C5">
      <w:pPr>
        <w:rPr>
          <w:b/>
          <w:bCs/>
          <w:color w:val="0070C0"/>
        </w:rPr>
      </w:pPr>
      <w:bookmarkStart w:id="0" w:name="_GoBack"/>
      <w:bookmarkEnd w:id="0"/>
    </w:p>
    <w:p w:rsidR="00E10331" w:rsidRPr="006E7134" w:rsidRDefault="00E10331" w:rsidP="003A06C5">
      <w:pPr>
        <w:rPr>
          <w:b/>
          <w:bCs/>
          <w:color w:val="0070C0"/>
        </w:rPr>
      </w:pPr>
    </w:p>
    <w:p w:rsidR="00E10331" w:rsidRPr="006E7134" w:rsidRDefault="00E10331" w:rsidP="003A06C5">
      <w:pPr>
        <w:rPr>
          <w:b/>
          <w:bCs/>
          <w:color w:val="0070C0"/>
        </w:rPr>
      </w:pPr>
    </w:p>
    <w:p w:rsidR="006B05B8" w:rsidRPr="002E3D00" w:rsidRDefault="006B05B8" w:rsidP="006B05B8">
      <w:pPr>
        <w:spacing w:after="210"/>
        <w:jc w:val="both"/>
        <w:rPr>
          <w:b/>
          <w:color w:val="000000" w:themeColor="text1"/>
          <w:u w:val="single"/>
        </w:rPr>
      </w:pPr>
      <w:bookmarkStart w:id="1" w:name="_Toc109903428"/>
      <w:r w:rsidRPr="002E3D00">
        <w:rPr>
          <w:b/>
          <w:color w:val="000000" w:themeColor="text1"/>
          <w:u w:val="single"/>
        </w:rPr>
        <w:t>Преглед на икономическата среда</w:t>
      </w:r>
    </w:p>
    <w:p w:rsidR="009C36F9" w:rsidRPr="009C36F9" w:rsidRDefault="009C36F9" w:rsidP="009C36F9">
      <w:pPr>
        <w:shd w:val="clear" w:color="auto" w:fill="FFFFFF"/>
        <w:spacing w:after="120"/>
        <w:jc w:val="both"/>
        <w:rPr>
          <w:color w:val="000000" w:themeColor="text1"/>
        </w:rPr>
      </w:pPr>
      <w:r w:rsidRPr="009C36F9">
        <w:rPr>
          <w:color w:val="000000" w:themeColor="text1"/>
        </w:rPr>
        <w:t>През деветмесечието на 2024 г. реалният растеж на брутния вътрешен продукт достигна 2,3 % и бе движен от потреблението и изменението на запасите. Потребителските разходи на домакинствата се повишиха с 4,4 %, подкрепени от нарастването на реалния разполагаем доход. При публичното потребление бе отчетен растеж от 5 %. Инвестициите в основен капитал спаднаха с 1,7 % поради намаление на публичните капиталови разходи, докато при частните инвестиции бе отчетен растеж. Износът на стоки и услуги намаля с 1,3 %, а вносът нарасна с 1,4</w:t>
      </w:r>
      <w:r w:rsidRPr="009C36F9">
        <w:rPr>
          <w:color w:val="000000" w:themeColor="text1"/>
          <w:lang w:val="en-US"/>
        </w:rPr>
        <w:t> </w:t>
      </w:r>
      <w:r w:rsidRPr="009C36F9">
        <w:rPr>
          <w:color w:val="000000" w:themeColor="text1"/>
        </w:rPr>
        <w:t>%. Динамиката на краткосрочните индикатори предполага запазване на растежа през четвърто тримесечие. При промишленото производство и търговията на дребно бе отчетено ускорение на растежа през октомври-ноември спрямо трето тримесечие. В същото време имаше намаление при индикаторите за бизнес климата и доверието на потребителите.</w:t>
      </w:r>
    </w:p>
    <w:p w:rsidR="009C36F9" w:rsidRPr="009C36F9" w:rsidRDefault="009C36F9" w:rsidP="009C36F9">
      <w:pPr>
        <w:shd w:val="clear" w:color="auto" w:fill="FFFFFF"/>
        <w:spacing w:after="120"/>
        <w:jc w:val="both"/>
        <w:rPr>
          <w:color w:val="000000" w:themeColor="text1"/>
        </w:rPr>
      </w:pPr>
      <w:r w:rsidRPr="009C36F9">
        <w:rPr>
          <w:color w:val="000000" w:themeColor="text1"/>
        </w:rPr>
        <w:t>През деветте месеца на 2024 г. броят на заетите в българската икономика продължи да нараства. За целия период януари-септември 2024 г. заетите се увеличиха с 1,1 % на годишна база, като основен принос за това имаха дейностите от сферата на услугите, където броят на заетите се увеличи с 3,1 %, и в строителството - с 5,0 %. В промишлеността и в аграрния сектор броят на заетите намаля съответно с 1,5 и с 5 %.</w:t>
      </w:r>
    </w:p>
    <w:p w:rsidR="009C36F9" w:rsidRPr="009C36F9" w:rsidRDefault="009C36F9" w:rsidP="009C36F9">
      <w:pPr>
        <w:shd w:val="clear" w:color="auto" w:fill="FFFFFF"/>
        <w:spacing w:after="120"/>
        <w:jc w:val="both"/>
        <w:rPr>
          <w:color w:val="000000" w:themeColor="text1"/>
        </w:rPr>
      </w:pPr>
      <w:r w:rsidRPr="009C36F9">
        <w:rPr>
          <w:color w:val="000000" w:themeColor="text1"/>
        </w:rPr>
        <w:t>Нивото на безработица остава относително стабилно в сравнение с предходната година. Коефициентът на безработица за деветте месеца на 2024 г. бе 4,3 % или с 0,1 пр. п. по-ниско спрямо същия период на 2023 г. Средната стойност на показателя за деветмесечието на 2024 г. за България бе с около 1,7 пр. п. по-ниска в сравнение със средното ниво в ЕС-27. Коефициентът на икономическа активност на населението във възрастовата група 15-64 г. за същия период бе 74,2</w:t>
      </w:r>
      <w:r w:rsidRPr="009C36F9">
        <w:rPr>
          <w:color w:val="000000" w:themeColor="text1"/>
          <w:lang w:val="en-US"/>
        </w:rPr>
        <w:t> </w:t>
      </w:r>
      <w:r w:rsidRPr="009C36F9">
        <w:rPr>
          <w:color w:val="000000" w:themeColor="text1"/>
        </w:rPr>
        <w:t>% и също се задържа близо до достигнатото през предходната година равнище (74,1 %). Все по-остър се очертава проблемът с недостига на работна сила като условие за разширяване на бизнес дейността, като традиционно най-силно той е заявен от предприемачите в строителството и промишлеността.</w:t>
      </w:r>
    </w:p>
    <w:p w:rsidR="009C36F9" w:rsidRPr="009C36F9" w:rsidRDefault="009C36F9" w:rsidP="009C36F9">
      <w:pPr>
        <w:shd w:val="clear" w:color="auto" w:fill="FFFFFF"/>
        <w:spacing w:after="120"/>
        <w:jc w:val="both"/>
        <w:rPr>
          <w:color w:val="000000" w:themeColor="text1"/>
        </w:rPr>
      </w:pPr>
      <w:r w:rsidRPr="009C36F9">
        <w:rPr>
          <w:color w:val="000000" w:themeColor="text1"/>
        </w:rPr>
        <w:t>В периода януари-септември 2024 г. реалният растеж на производителността на труда беше 1,2 % на годишна база, като водещ принос имаше индустрията и преработващата промишленост. С продължаващата изпреварваща тенденция на компенсацията на един нает над растежа на реалната производителност на труда, номиналните разходи за труд на единица продукция (НРТЕП) продължиха да се повишават с двуцифрен темп и достигнаха 11,5 % на годишна база. В реално изражение темпът остана положителен (3,7 %) спрямо нивото си от предходната година. През разглеждания период данните за средната работна заплата (СРЗ) показват, че нейният ръст в обществения сектор (16,9 %) е надхвърлил този в частния сектор (15,6 %). Общо за икономиката, средната работна заплата се е повишила с 15,9 % в номинално изражение, като реалният ръст на показателя бе 12,8 % (дефлиран с ХИПЦ).</w:t>
      </w:r>
    </w:p>
    <w:p w:rsidR="009C36F9" w:rsidRPr="009C36F9" w:rsidRDefault="009C36F9" w:rsidP="009C36F9">
      <w:pPr>
        <w:shd w:val="clear" w:color="auto" w:fill="FFFFFF"/>
        <w:spacing w:after="120"/>
        <w:jc w:val="both"/>
        <w:rPr>
          <w:color w:val="000000" w:themeColor="text1"/>
        </w:rPr>
      </w:pPr>
      <w:r w:rsidRPr="009C36F9">
        <w:rPr>
          <w:color w:val="000000" w:themeColor="text1"/>
        </w:rPr>
        <w:t>От четвъртото тримесечие на 2022 г. в страната се наблюдава тенденция на дезинфлация, подкрепена от спадащите цени на енергията на световните пазари и благоприятните базови ефекти. Годишният темп на инфлация продължи да се забавя и през 2024 г., като достигна 2,1 % през декември. Забавяне бе наблюдавано при всички основни компоненти на ХИПЦ. В сравнение с година по-рано цените на енергийните стоки отбелязаха спад, а неенергийните промишлени стоки останаха почти на същото равнище. Повишението в цените на услугите имаше най-голям принос и формира почти половината от инфлацията в края на годината. Средногодишната инфлация за 2024 г. беше 2,6 %.</w:t>
      </w:r>
    </w:p>
    <w:p w:rsidR="009C36F9" w:rsidRPr="009C36F9" w:rsidRDefault="009C36F9" w:rsidP="009C36F9">
      <w:pPr>
        <w:shd w:val="clear" w:color="auto" w:fill="FFFFFF"/>
        <w:spacing w:after="120"/>
        <w:jc w:val="both"/>
        <w:rPr>
          <w:color w:val="000000" w:themeColor="text1"/>
        </w:rPr>
      </w:pPr>
      <w:r w:rsidRPr="009C36F9">
        <w:rPr>
          <w:color w:val="000000" w:themeColor="text1"/>
        </w:rPr>
        <w:lastRenderedPageBreak/>
        <w:t>Външната позиция на страната остана устойчива. В периода януари-ноември салдото по текущата сметка достигна излишък от 0,9 % от прогнозния БВП, покачвайки се спрямо година по-рано, поради по-ниския изплатен доход на чуждестранни инвеститори. При търговията със стоки и услуги и при вторичния доход бе отчетено влошаване на баланса. Все още потиснатото външно търсене, основно в рамките на ЕС, се отрази в продължаваш спад на износа на стоки (-2,4 % в номинално изражение), докато нарастването на инвестициите и потреблението в България бе обвързано с минимално повишение на вноса (0,9 %). Излишъкът в търговията с услуги се понижи леко, повлиян от устойчивото нарастване на разходите на български туристи в чужбина.</w:t>
      </w:r>
    </w:p>
    <w:p w:rsidR="006B05B8" w:rsidRDefault="009C36F9" w:rsidP="009C36F9">
      <w:pPr>
        <w:shd w:val="clear" w:color="auto" w:fill="FFFFFF"/>
        <w:spacing w:after="120"/>
        <w:jc w:val="both"/>
        <w:rPr>
          <w:color w:val="000000"/>
        </w:rPr>
      </w:pPr>
      <w:r w:rsidRPr="009C36F9">
        <w:rPr>
          <w:color w:val="000000" w:themeColor="text1"/>
        </w:rPr>
        <w:t>Брутните международни валутни резерви на страната продължиха да осигуряват стабилното функциониране на Паричния съвет, като пазарната им стойност към края на 2024 г. възлезе на 42,1 млрд. евро. Кредитът за частния сектор се ускори през 2024 г. и в края на декември нарасна на годишна база с 14,7 % при 12,2 % в края на предходната година. Водеща роля за това имаха кредитите за домакинства, чийто темп на растеж достигна 20,8 % спрямо 15,9 % в края на декември 2023 г. Жилищните кредити, подкрепени от ниските лихвени проценти, ръста на доходите и не на последно място от стабилния двуцифрен ръст на цените на жилищата (16,5 % през третото тримесечие), достигнаха най-висок темп на увеличение от второто тримесечие на 2009 г. насам, а в края на годината нараснаха на годишна база с 29,1 %. Потребителските кредити отчетоха минимално забавяне през 2024 г. с ръст от 11,9 %, при 12,3 % в края на предходната година. Забавянето се случи изцяло през декември, след като този тип кредити се ускоряваха през останалите месеци, а ръстът им беше достигнал 14,8 % в края на ноември. Кредитите за нефинансови предприятия се ускориха през 2024 г. до 10,1 % в края на декември при 7,3 % в края на 2023 г. При тях ръстът се дължеше изцяло на корпоративния овърдрафт, който повиши значително темпа си на растеж през втората половина на годината до 21,0 %.</w:t>
      </w:r>
    </w:p>
    <w:p w:rsidR="006B05B8" w:rsidRPr="004E6A73" w:rsidRDefault="006B05B8" w:rsidP="006B05B8">
      <w:pPr>
        <w:spacing w:before="360"/>
        <w:jc w:val="both"/>
        <w:rPr>
          <w:b/>
          <w:color w:val="000000" w:themeColor="text1"/>
          <w:u w:val="single"/>
        </w:rPr>
      </w:pPr>
      <w:r w:rsidRPr="004E6A73">
        <w:rPr>
          <w:b/>
          <w:color w:val="000000" w:themeColor="text1"/>
          <w:u w:val="single"/>
        </w:rPr>
        <w:t>Бюджетна позиция</w:t>
      </w:r>
    </w:p>
    <w:p w:rsidR="006B05B8" w:rsidRPr="00A37900" w:rsidRDefault="006B05B8" w:rsidP="006B05B8">
      <w:pPr>
        <w:shd w:val="clear" w:color="auto" w:fill="FFFFFF"/>
        <w:spacing w:after="150"/>
        <w:jc w:val="both"/>
        <w:rPr>
          <w:color w:val="000000" w:themeColor="text1"/>
          <w:sz w:val="2"/>
          <w:szCs w:val="2"/>
        </w:rPr>
      </w:pPr>
    </w:p>
    <w:p w:rsidR="006B05B8" w:rsidRPr="003519CC" w:rsidRDefault="006B05B8" w:rsidP="006B05B8">
      <w:pPr>
        <w:shd w:val="clear" w:color="auto" w:fill="FFFFFF"/>
        <w:spacing w:after="150"/>
        <w:jc w:val="both"/>
        <w:rPr>
          <w:color w:val="000000" w:themeColor="text1"/>
        </w:rPr>
      </w:pPr>
      <w:r w:rsidRPr="003519CC">
        <w:rPr>
          <w:color w:val="000000" w:themeColor="text1"/>
        </w:rPr>
        <w:t>Фиска</w:t>
      </w:r>
      <w:r>
        <w:rPr>
          <w:color w:val="000000" w:themeColor="text1"/>
        </w:rPr>
        <w:t>лната рамка към внесения в НС в края на</w:t>
      </w:r>
      <w:r w:rsidRPr="003519CC">
        <w:rPr>
          <w:color w:val="000000" w:themeColor="text1"/>
        </w:rPr>
        <w:t xml:space="preserve"> 2023 г. законопроект за държавния бюджет за 202</w:t>
      </w:r>
      <w:r>
        <w:rPr>
          <w:color w:val="000000" w:themeColor="text1"/>
        </w:rPr>
        <w:t>4</w:t>
      </w:r>
      <w:r w:rsidRPr="003519CC">
        <w:rPr>
          <w:color w:val="000000" w:themeColor="text1"/>
        </w:rPr>
        <w:t xml:space="preserve"> г. (РМС №</w:t>
      </w:r>
      <w:r>
        <w:rPr>
          <w:color w:val="000000" w:themeColor="text1"/>
          <w:lang w:val="en-US"/>
        </w:rPr>
        <w:t>830</w:t>
      </w:r>
      <w:r w:rsidRPr="003519CC">
        <w:rPr>
          <w:color w:val="000000" w:themeColor="text1"/>
        </w:rPr>
        <w:t>/</w:t>
      </w:r>
      <w:r>
        <w:rPr>
          <w:color w:val="000000" w:themeColor="text1"/>
          <w:lang w:val="en-US"/>
        </w:rPr>
        <w:t>24</w:t>
      </w:r>
      <w:r w:rsidRPr="003519CC">
        <w:rPr>
          <w:color w:val="000000" w:themeColor="text1"/>
        </w:rPr>
        <w:t>.</w:t>
      </w:r>
      <w:r>
        <w:rPr>
          <w:color w:val="000000" w:themeColor="text1"/>
          <w:lang w:val="en-US"/>
        </w:rPr>
        <w:t>11</w:t>
      </w:r>
      <w:r w:rsidRPr="003519CC">
        <w:rPr>
          <w:color w:val="000000" w:themeColor="text1"/>
        </w:rPr>
        <w:t xml:space="preserve">.2023 г.) бе изготвена при допускане индикативният размер на салдото по КФП да възлезе на дефицит </w:t>
      </w:r>
      <w:r>
        <w:rPr>
          <w:color w:val="000000" w:themeColor="text1"/>
        </w:rPr>
        <w:t>в размер на 6 219,3 млн. лв. (</w:t>
      </w:r>
      <w:r>
        <w:rPr>
          <w:color w:val="000000" w:themeColor="text1"/>
          <w:lang w:val="en-US"/>
        </w:rPr>
        <w:t>3</w:t>
      </w:r>
      <w:r w:rsidR="007749BA">
        <w:rPr>
          <w:color w:val="000000" w:themeColor="text1"/>
        </w:rPr>
        <w:t>,</w:t>
      </w:r>
      <w:r>
        <w:rPr>
          <w:color w:val="000000" w:themeColor="text1"/>
          <w:lang w:val="en-US"/>
        </w:rPr>
        <w:t>0</w:t>
      </w:r>
      <w:r>
        <w:rPr>
          <w:color w:val="000000" w:themeColor="text1"/>
        </w:rPr>
        <w:t xml:space="preserve"> </w:t>
      </w:r>
      <w:r w:rsidRPr="003519CC">
        <w:rPr>
          <w:color w:val="000000" w:themeColor="text1"/>
        </w:rPr>
        <w:t>% от прогнозния БВП</w:t>
      </w:r>
      <w:r>
        <w:rPr>
          <w:color w:val="000000" w:themeColor="text1"/>
        </w:rPr>
        <w:t>)</w:t>
      </w:r>
      <w:r w:rsidRPr="003519CC">
        <w:rPr>
          <w:color w:val="000000" w:themeColor="text1"/>
        </w:rPr>
        <w:t xml:space="preserve">. </w:t>
      </w:r>
    </w:p>
    <w:p w:rsidR="006B05B8" w:rsidRPr="007340F5" w:rsidRDefault="006B05B8" w:rsidP="006B05B8">
      <w:pPr>
        <w:spacing w:before="120" w:after="210"/>
        <w:jc w:val="both"/>
        <w:rPr>
          <w:color w:val="000000" w:themeColor="text1"/>
        </w:rPr>
      </w:pPr>
      <w:r w:rsidRPr="007340F5">
        <w:rPr>
          <w:color w:val="000000" w:themeColor="text1"/>
        </w:rPr>
        <w:t>На база на данните от месечните отчети за касовото изпълнение на бюджетите на първостепенните разпоредители с бюджет салдото по консолидираната фискална програма за 202</w:t>
      </w:r>
      <w:r>
        <w:rPr>
          <w:color w:val="000000" w:themeColor="text1"/>
        </w:rPr>
        <w:t>4</w:t>
      </w:r>
      <w:r w:rsidRPr="007340F5">
        <w:rPr>
          <w:color w:val="000000" w:themeColor="text1"/>
        </w:rPr>
        <w:t xml:space="preserve"> г. е</w:t>
      </w:r>
      <w:r>
        <w:rPr>
          <w:color w:val="000000" w:themeColor="text1"/>
        </w:rPr>
        <w:t xml:space="preserve"> отрицателно в размер на 6 138,0</w:t>
      </w:r>
      <w:r w:rsidRPr="007340F5">
        <w:rPr>
          <w:color w:val="000000" w:themeColor="text1"/>
        </w:rPr>
        <w:t xml:space="preserve"> млн. лв. (</w:t>
      </w:r>
      <w:r>
        <w:rPr>
          <w:color w:val="000000" w:themeColor="text1"/>
        </w:rPr>
        <w:t>3,0</w:t>
      </w:r>
      <w:r w:rsidRPr="007340F5">
        <w:rPr>
          <w:color w:val="000000" w:themeColor="text1"/>
        </w:rPr>
        <w:t xml:space="preserve"> % от прогнозния БВП)</w:t>
      </w:r>
      <w:r>
        <w:rPr>
          <w:color w:val="000000" w:themeColor="text1"/>
        </w:rPr>
        <w:t xml:space="preserve"> и се формира от дефицит по националния бюджет в</w:t>
      </w:r>
      <w:r w:rsidR="009E09B3">
        <w:rPr>
          <w:color w:val="000000" w:themeColor="text1"/>
        </w:rPr>
        <w:t xml:space="preserve"> размер на 6 680,4 млн. лв. и</w:t>
      </w:r>
      <w:r>
        <w:rPr>
          <w:color w:val="000000" w:themeColor="text1"/>
        </w:rPr>
        <w:t xml:space="preserve"> излишък по европейските средства в размер на 542,</w:t>
      </w:r>
      <w:r w:rsidR="00E43367">
        <w:rPr>
          <w:color w:val="000000" w:themeColor="text1"/>
        </w:rPr>
        <w:t>3</w:t>
      </w:r>
      <w:r>
        <w:rPr>
          <w:color w:val="000000" w:themeColor="text1"/>
        </w:rPr>
        <w:t xml:space="preserve"> млн. лв. </w:t>
      </w:r>
      <w:r w:rsidRPr="007340F5">
        <w:rPr>
          <w:color w:val="000000" w:themeColor="text1"/>
        </w:rPr>
        <w:t xml:space="preserve">Бюджетното салдо по КФП за годината на касова основа съответства на предвидения ограничител във фискалното правило по чл. 27, ал. 4 </w:t>
      </w:r>
      <w:r>
        <w:rPr>
          <w:color w:val="000000" w:themeColor="text1"/>
        </w:rPr>
        <w:t>от</w:t>
      </w:r>
      <w:r w:rsidRPr="007340F5">
        <w:rPr>
          <w:color w:val="000000" w:themeColor="text1"/>
        </w:rPr>
        <w:t xml:space="preserve"> ЗПФ.</w:t>
      </w:r>
    </w:p>
    <w:p w:rsidR="006B05B8" w:rsidRDefault="006B05B8" w:rsidP="006B05B8">
      <w:pPr>
        <w:spacing w:after="210"/>
        <w:jc w:val="both"/>
        <w:rPr>
          <w:color w:val="000000" w:themeColor="text1"/>
        </w:rPr>
      </w:pPr>
      <w:r w:rsidRPr="006356E5">
        <w:rPr>
          <w:color w:val="000000" w:themeColor="text1"/>
        </w:rPr>
        <w:t>Заложените в ЗДБРБ за 202</w:t>
      </w:r>
      <w:r>
        <w:rPr>
          <w:color w:val="000000" w:themeColor="text1"/>
        </w:rPr>
        <w:t>4</w:t>
      </w:r>
      <w:r w:rsidRPr="006356E5">
        <w:rPr>
          <w:color w:val="000000" w:themeColor="text1"/>
        </w:rPr>
        <w:t xml:space="preserve"> г. ограничители по отношение на държавния дълг са спазени. </w:t>
      </w:r>
      <w:r w:rsidRPr="00C304AE">
        <w:rPr>
          <w:color w:val="000000" w:themeColor="text1"/>
        </w:rPr>
        <w:t>В номинално изражение държавният дълг към края на 2024 г. възлиза на 47,4 млрд. лв. (23,5 % от прогнозния БВП).</w:t>
      </w:r>
    </w:p>
    <w:p w:rsidR="006B05B8" w:rsidRPr="00C304AE" w:rsidRDefault="006B05B8" w:rsidP="006B05B8">
      <w:pPr>
        <w:spacing w:before="360"/>
        <w:jc w:val="both"/>
        <w:rPr>
          <w:b/>
          <w:color w:val="000000" w:themeColor="text1"/>
          <w:u w:val="single"/>
        </w:rPr>
      </w:pPr>
      <w:r w:rsidRPr="00C304AE">
        <w:rPr>
          <w:b/>
          <w:color w:val="000000" w:themeColor="text1"/>
          <w:u w:val="single"/>
        </w:rPr>
        <w:t>Основни акценти във връзка с текущото наблюдение на изпълнението на консолидираната фискална програма за 2024 г.</w:t>
      </w:r>
    </w:p>
    <w:p w:rsidR="006B05B8" w:rsidRPr="00C304AE" w:rsidRDefault="006B05B8" w:rsidP="006B05B8">
      <w:pPr>
        <w:spacing w:after="210"/>
        <w:jc w:val="both"/>
        <w:rPr>
          <w:color w:val="000000" w:themeColor="text1"/>
          <w:sz w:val="4"/>
          <w:szCs w:val="4"/>
        </w:rPr>
      </w:pPr>
    </w:p>
    <w:p w:rsidR="001C655B" w:rsidRDefault="001C655B" w:rsidP="001C655B">
      <w:pPr>
        <w:spacing w:after="120"/>
        <w:jc w:val="both"/>
      </w:pPr>
      <w:r w:rsidRPr="003A6F59">
        <w:t xml:space="preserve">През месец юни Европейската комисия и Европейската централна банка </w:t>
      </w:r>
      <w:r>
        <w:t>публикуваха</w:t>
      </w:r>
      <w:r w:rsidRPr="003A6F59">
        <w:t xml:space="preserve"> конвергентните доклади за 2024 г., в които представ</w:t>
      </w:r>
      <w:r>
        <w:t>иха</w:t>
      </w:r>
      <w:r w:rsidRPr="003A6F59">
        <w:t xml:space="preserve"> оценката си за напредъка по пътя към еврозоната, постигнат от шестте държави членки, задължени да приемат еврото: България, Чехия, Унгария, Полша, Румъния и Швеция.</w:t>
      </w:r>
      <w:r w:rsidRPr="005D4BE5">
        <w:rPr>
          <w:lang w:val="ru-RU"/>
        </w:rPr>
        <w:t xml:space="preserve"> </w:t>
      </w:r>
      <w:r>
        <w:t>Според докладите с</w:t>
      </w:r>
      <w:r w:rsidRPr="003A6F59">
        <w:t>траната ни изпълнява три от четирите числови критерия за членство</w:t>
      </w:r>
      <w:r>
        <w:t xml:space="preserve"> в еврозоната</w:t>
      </w:r>
      <w:r w:rsidRPr="003A6F59">
        <w:t>, а именно</w:t>
      </w:r>
      <w:r>
        <w:t>:</w:t>
      </w:r>
      <w:r w:rsidRPr="003A6F59">
        <w:t xml:space="preserve"> стабилност на публичните финанси (бюджетно салдо и държавен дълг), </w:t>
      </w:r>
      <w:r>
        <w:t>в</w:t>
      </w:r>
      <w:r w:rsidRPr="003A6F59">
        <w:t>алут</w:t>
      </w:r>
      <w:r>
        <w:t>е</w:t>
      </w:r>
      <w:r w:rsidRPr="003A6F59">
        <w:t>н курс и  дългосроч</w:t>
      </w:r>
      <w:r>
        <w:t>е</w:t>
      </w:r>
      <w:r w:rsidRPr="003A6F59">
        <w:t xml:space="preserve">н лихвен процент. България не изпълнява единствено критерия за ценова стабилност, като очакванията </w:t>
      </w:r>
      <w:r>
        <w:t xml:space="preserve">и на двете европейски институции </w:t>
      </w:r>
      <w:r w:rsidRPr="003A6F59">
        <w:t xml:space="preserve">са инфлацията да се понижи през следващите месеци, което би позволило </w:t>
      </w:r>
      <w:r>
        <w:t>изпълнение и на този критерий</w:t>
      </w:r>
      <w:r w:rsidRPr="003A6F59">
        <w:t>.</w:t>
      </w:r>
      <w:r>
        <w:t xml:space="preserve"> </w:t>
      </w:r>
    </w:p>
    <w:p w:rsidR="001C655B" w:rsidRPr="00864A5B" w:rsidRDefault="001C655B" w:rsidP="001C655B">
      <w:pPr>
        <w:spacing w:after="120"/>
        <w:jc w:val="both"/>
      </w:pPr>
      <w:r>
        <w:lastRenderedPageBreak/>
        <w:t>България продълж</w:t>
      </w:r>
      <w:r w:rsidR="005712B1">
        <w:t>ава</w:t>
      </w:r>
      <w:r w:rsidRPr="003A6F59">
        <w:t xml:space="preserve"> активно да работ</w:t>
      </w:r>
      <w:r>
        <w:t>и</w:t>
      </w:r>
      <w:r w:rsidRPr="003A6F59">
        <w:t xml:space="preserve"> за изпълнението на всички критерии за членство в еврозоната, както и за подобряване на бизнес средата и институционалната рамка за постигане на устойчиво сближаване с еврозоната. </w:t>
      </w:r>
    </w:p>
    <w:p w:rsidR="001C655B" w:rsidRPr="00AF7401" w:rsidRDefault="001C655B" w:rsidP="001C655B">
      <w:pPr>
        <w:spacing w:after="120"/>
        <w:jc w:val="both"/>
        <w:rPr>
          <w:color w:val="000000" w:themeColor="text1"/>
        </w:rPr>
      </w:pPr>
      <w:r w:rsidRPr="00AF7401">
        <w:rPr>
          <w:color w:val="000000" w:themeColor="text1"/>
        </w:rPr>
        <w:t xml:space="preserve">Фискалните развития през 2024 г. бяха доминирани от множество фактори, влияещи разнопосочно върху бюджетните показатели. От една страна, завръщането към нормалния бюджетен процес и приемането на закона за бюджета преди началото на бюджетната година повиши предвидимостта за икономиката. Тенденцията на </w:t>
      </w:r>
      <w:r>
        <w:rPr>
          <w:color w:val="000000" w:themeColor="text1"/>
        </w:rPr>
        <w:t xml:space="preserve">забавяне и </w:t>
      </w:r>
      <w:r w:rsidRPr="00AF7401">
        <w:rPr>
          <w:color w:val="000000" w:themeColor="text1"/>
        </w:rPr>
        <w:t>спад при инфлацията продължи</w:t>
      </w:r>
      <w:r w:rsidRPr="00670ABA">
        <w:rPr>
          <w:color w:val="000000" w:themeColor="text1"/>
        </w:rPr>
        <w:t xml:space="preserve"> </w:t>
      </w:r>
      <w:r w:rsidRPr="00AF7401">
        <w:rPr>
          <w:color w:val="000000" w:themeColor="text1"/>
        </w:rPr>
        <w:t xml:space="preserve">през цялата година, а безработицата остана на ниско равнище. От друга страна обаче, страната отново се завърна към период на политическа нестабилност, което съответно води до по-голяма неопределеност сред икономическите субекти за политиките и приоритетите, които ще бъдат следвани в краткосрочен и средносрочен план. Върху фиска продължиха да оказват влияние цените на международните пазари на суровините и енергоносителите, нарушените вериги за доставка, наложените санкции поради войната в Украйна и други. </w:t>
      </w:r>
    </w:p>
    <w:p w:rsidR="001C655B" w:rsidRPr="007B165F" w:rsidRDefault="001C655B" w:rsidP="001C655B">
      <w:pPr>
        <w:spacing w:after="120"/>
        <w:jc w:val="both"/>
        <w:rPr>
          <w:color w:val="000000" w:themeColor="text1"/>
        </w:rPr>
      </w:pPr>
      <w:r w:rsidRPr="00390F68">
        <w:rPr>
          <w:color w:val="000000" w:themeColor="text1"/>
        </w:rPr>
        <w:t>От страна на приходите се наблюдаваше нарастване на данъчните приходи, докато приходите в частта на помощите и даренията (основно грантове по програмите и фондовете на ЕС) и неданъчните приходи се свиват спрямо отчетените за предходната година. В номинално изражение приходите по КФП възлязоха на 72,0 млрд. лв.</w:t>
      </w:r>
      <w:r>
        <w:rPr>
          <w:color w:val="000000" w:themeColor="text1"/>
        </w:rPr>
        <w:t>, което представлява 95,6 на сто от планираните приходи и помощи с разчетите към ЗДБРБ за 2024 г.</w:t>
      </w:r>
      <w:r w:rsidRPr="007B165F">
        <w:rPr>
          <w:color w:val="000000" w:themeColor="text1"/>
        </w:rPr>
        <w:t xml:space="preserve"> Неизпълнението на разчетите по приходите по КФП се дължи основно на получените по-ниски от планираните приходи от помощи и дарения по сметките за средства от ЕС (поради непостъпване на втория и третия транш по Плана за въ</w:t>
      </w:r>
      <w:r>
        <w:rPr>
          <w:color w:val="000000" w:themeColor="text1"/>
        </w:rPr>
        <w:t>з</w:t>
      </w:r>
      <w:r w:rsidRPr="007B165F">
        <w:rPr>
          <w:color w:val="000000" w:themeColor="text1"/>
        </w:rPr>
        <w:t xml:space="preserve">становяване и устойчивост). Приходите по националния бюджет са близки до плана за годината, като преизпълнението на разчетите при данъчните приходи компенсира </w:t>
      </w:r>
      <w:r>
        <w:rPr>
          <w:color w:val="000000" w:themeColor="text1"/>
        </w:rPr>
        <w:t>изцяло</w:t>
      </w:r>
      <w:r w:rsidRPr="007B165F">
        <w:rPr>
          <w:color w:val="000000" w:themeColor="text1"/>
        </w:rPr>
        <w:t xml:space="preserve"> неизпълнението на разчетите при неданъчните приходи.</w:t>
      </w:r>
      <w:r>
        <w:rPr>
          <w:color w:val="000000" w:themeColor="text1"/>
        </w:rPr>
        <w:t xml:space="preserve"> </w:t>
      </w:r>
      <w:r w:rsidRPr="007B165F">
        <w:rPr>
          <w:color w:val="000000" w:themeColor="text1"/>
        </w:rPr>
        <w:t>Данъчните приходи по КФП (вкл. приходите от осигурителни вноски) са в размер на 58,7 млрд. лв., което представлява изпълнение 101,3 на сто спрямо разчета за годината. Съпоставено с 2023 г., приходите в групата нарастват в номинално изражение с 6,4 млрд. лв. (12,2 на сто). Неданъчните приходи са в размер на около 9,7</w:t>
      </w:r>
      <w:r>
        <w:rPr>
          <w:color w:val="000000" w:themeColor="text1"/>
          <w:lang w:val="en-US"/>
        </w:rPr>
        <w:t> </w:t>
      </w:r>
      <w:r w:rsidRPr="007B165F">
        <w:rPr>
          <w:color w:val="000000" w:themeColor="text1"/>
        </w:rPr>
        <w:t>млрд. лв., като остават по-ниски от планираните с разчетите към ЗДБРБ за 2024 г.</w:t>
      </w:r>
      <w:r>
        <w:rPr>
          <w:color w:val="000000" w:themeColor="text1"/>
        </w:rPr>
        <w:t xml:space="preserve"> (10,3 млрд. лв.)</w:t>
      </w:r>
      <w:r w:rsidRPr="00A90A83">
        <w:rPr>
          <w:color w:val="000000" w:themeColor="text1"/>
        </w:rPr>
        <w:t xml:space="preserve">, което се дължи основно на по-ниски от планираните постъпления от продажба на квоти за емисии на парникови газове по бюджета на Фонд „Сигурност на електроенергийната система“ (ФСЕС), по-ниски приходи от държавни и общински такси и други. </w:t>
      </w:r>
      <w:r w:rsidRPr="007B165F">
        <w:rPr>
          <w:color w:val="000000" w:themeColor="text1"/>
        </w:rPr>
        <w:t>Приходите в частта на помощите и даренията (основно грантове по програмите и фондовете на ЕС) са в размер на около 3,6 млрд. лв., като остават значително под заложените в разчета към ЗДБРБ за 2024 г. (7,1 млрд. лв.). Това се дължи на непостъпване на планираните втори и трети транш по Плана за възстановяване и устойчивост и част от планираните приходи по оперативните програми на ЕС (неизпълнение на разчетите по приходите от помощи и дарения по КФП с около 3,5 млрд. лв.)</w:t>
      </w:r>
    </w:p>
    <w:p w:rsidR="001C655B" w:rsidRPr="00670ABA" w:rsidRDefault="005712B1" w:rsidP="001C655B">
      <w:pPr>
        <w:spacing w:after="120"/>
        <w:jc w:val="both"/>
        <w:rPr>
          <w:color w:val="000000" w:themeColor="text1"/>
        </w:rPr>
      </w:pPr>
      <w:r>
        <w:rPr>
          <w:color w:val="000000" w:themeColor="text1"/>
        </w:rPr>
        <w:t>С</w:t>
      </w:r>
      <w:r w:rsidR="00FB0EB0">
        <w:rPr>
          <w:color w:val="000000" w:themeColor="text1"/>
        </w:rPr>
        <w:t>лед месец април</w:t>
      </w:r>
      <w:r w:rsidR="00667C28" w:rsidRPr="00667C28">
        <w:rPr>
          <w:color w:val="000000" w:themeColor="text1"/>
        </w:rPr>
        <w:t xml:space="preserve"> бяха положени значителни усилия за повишаване на събираемостта на приходите, подобряване спазването на данъчното законодателство, превенция и противодействие на данъчните измами и отклонението от данъчно облагане. Особено активно се работеше по линия на укрепване на фискалния контрол на стоки с висок фискален риск, което води до по-ефективна превенция и противодействие срещу данъчните измами и укриването и невнасянето</w:t>
      </w:r>
      <w:r w:rsidR="00667C28">
        <w:rPr>
          <w:color w:val="000000" w:themeColor="text1"/>
        </w:rPr>
        <w:t xml:space="preserve"> на данъци. Подсилен бе и обменът</w:t>
      </w:r>
      <w:r w:rsidR="00667C28" w:rsidRPr="00667C28">
        <w:rPr>
          <w:color w:val="000000" w:themeColor="text1"/>
        </w:rPr>
        <w:t xml:space="preserve"> на информация за трансграничните плащания, произхождащи от държави членки и за получателя на тези трансгранични плащания, с цел правилното отчитане и облагане с ДД</w:t>
      </w:r>
      <w:r w:rsidR="00667C28">
        <w:rPr>
          <w:color w:val="000000" w:themeColor="text1"/>
        </w:rPr>
        <w:t>С на електронната търговия в ЕС; засилен бе контролът</w:t>
      </w:r>
      <w:r w:rsidR="00667C28" w:rsidRPr="00667C28">
        <w:rPr>
          <w:color w:val="000000" w:themeColor="text1"/>
        </w:rPr>
        <w:t xml:space="preserve"> на акцизните складове и други. Резултатите от работата на приходните администраци</w:t>
      </w:r>
      <w:r w:rsidR="00195F70">
        <w:rPr>
          <w:color w:val="000000" w:themeColor="text1"/>
        </w:rPr>
        <w:t>и в тази насока се потвърждават</w:t>
      </w:r>
      <w:r w:rsidR="00667C28" w:rsidRPr="00667C28">
        <w:rPr>
          <w:color w:val="000000" w:themeColor="text1"/>
        </w:rPr>
        <w:t xml:space="preserve"> както от преизпълнението на годишните разчети в частта на данъчните и осигурителните приходи, така и от номиналния им ръст спрямо предходната година, който надвишава ръста на БВП и годишната инфлация в страната.</w:t>
      </w:r>
    </w:p>
    <w:p w:rsidR="006B05B8" w:rsidRPr="007A3447" w:rsidRDefault="006B05B8" w:rsidP="006B05B8">
      <w:pPr>
        <w:spacing w:after="120"/>
        <w:jc w:val="both"/>
        <w:rPr>
          <w:color w:val="000000" w:themeColor="text1"/>
          <w:lang w:val="en-US"/>
        </w:rPr>
      </w:pPr>
      <w:r w:rsidRPr="005F4DE8">
        <w:rPr>
          <w:color w:val="000000" w:themeColor="text1"/>
        </w:rPr>
        <w:t xml:space="preserve">Изпълнението на разчетите в частта на помощите е ниско, основно поради забавянето на </w:t>
      </w:r>
      <w:r w:rsidRPr="007A3447">
        <w:rPr>
          <w:color w:val="000000" w:themeColor="text1"/>
        </w:rPr>
        <w:t xml:space="preserve">постъпленията по втория, респективно третия транш по Механизма за възстановяване и устойчивост (МВУ). </w:t>
      </w:r>
    </w:p>
    <w:p w:rsidR="006B05B8" w:rsidRPr="00D55B7E" w:rsidRDefault="006B05B8" w:rsidP="006B05B8">
      <w:pPr>
        <w:spacing w:after="120"/>
        <w:jc w:val="both"/>
        <w:rPr>
          <w:color w:val="000000" w:themeColor="text1"/>
        </w:rPr>
      </w:pPr>
      <w:r w:rsidRPr="007A3447">
        <w:rPr>
          <w:color w:val="000000" w:themeColor="text1"/>
        </w:rPr>
        <w:t>Разходите по КФП (вкл. вноската на Република България в бюджета на ЕС) за 2024 г. са в размер на 78,1 млрд. лв., което представлява 95,9 % от планираните с разчетите към ЗДБРБ за 202</w:t>
      </w:r>
      <w:r w:rsidR="00864D1D" w:rsidRPr="007A3447">
        <w:rPr>
          <w:color w:val="000000" w:themeColor="text1"/>
        </w:rPr>
        <w:t>4</w:t>
      </w:r>
      <w:r w:rsidRPr="007A3447">
        <w:rPr>
          <w:color w:val="000000" w:themeColor="text1"/>
        </w:rPr>
        <w:t xml:space="preserve"> г. По-</w:t>
      </w:r>
      <w:r w:rsidRPr="007A3447">
        <w:rPr>
          <w:color w:val="000000" w:themeColor="text1"/>
        </w:rPr>
        <w:lastRenderedPageBreak/>
        <w:t>ниски от планираните са разходите основно по сметките за средства от ЕС, докато разходите по</w:t>
      </w:r>
      <w:r w:rsidRPr="00D55B7E">
        <w:rPr>
          <w:color w:val="000000" w:themeColor="text1"/>
        </w:rPr>
        <w:t xml:space="preserve"> националния бюджет превишават разчетите за годината, което се дължи на по-високи от планираните разходи по бюджетите на общините. </w:t>
      </w:r>
      <w:r>
        <w:rPr>
          <w:color w:val="000000" w:themeColor="text1"/>
        </w:rPr>
        <w:t>По-ниско от планираното е усвояването на планираните средства по ПВУ, както и при някои от оперативните програми по новия програмен период, което изцяло компенсира неизпълнението в частта на приходите и помощите, представено по-горе.</w:t>
      </w:r>
    </w:p>
    <w:p w:rsidR="006B05B8" w:rsidRPr="00E37254" w:rsidRDefault="006B05B8" w:rsidP="006B05B8">
      <w:pPr>
        <w:spacing w:after="120"/>
        <w:jc w:val="both"/>
        <w:rPr>
          <w:color w:val="000000" w:themeColor="text1"/>
        </w:rPr>
      </w:pPr>
      <w:r w:rsidRPr="00E37254">
        <w:rPr>
          <w:color w:val="000000" w:themeColor="text1"/>
        </w:rPr>
        <w:t xml:space="preserve">При отделните елементи на разходите, съпоставено с предходната година, най-значителен номинален ръст се отчита при социалните и здравноосигурителните разходи (4,7 млрд. лв. или 15,7 на сто), в т. ч. разходите за пенсии нарастват с 2,6 млрд. лв. (13,3 на сто). </w:t>
      </w:r>
    </w:p>
    <w:p w:rsidR="00152CC7" w:rsidRPr="00E37254" w:rsidRDefault="006B05B8" w:rsidP="00152CC7">
      <w:pPr>
        <w:autoSpaceDE w:val="0"/>
        <w:autoSpaceDN w:val="0"/>
        <w:adjustRightInd w:val="0"/>
        <w:spacing w:after="120"/>
        <w:jc w:val="both"/>
        <w:rPr>
          <w:color w:val="000000" w:themeColor="text1"/>
        </w:rPr>
      </w:pPr>
      <w:r w:rsidRPr="00E37254">
        <w:rPr>
          <w:color w:val="000000" w:themeColor="text1"/>
        </w:rPr>
        <w:t xml:space="preserve">Друг елемент на разходите, при който се отчита съществено нарастване </w:t>
      </w:r>
      <w:r>
        <w:rPr>
          <w:color w:val="000000" w:themeColor="text1"/>
        </w:rPr>
        <w:t>спрямо предходната година (с 3,0</w:t>
      </w:r>
      <w:r w:rsidRPr="00E37254">
        <w:rPr>
          <w:color w:val="000000" w:themeColor="text1"/>
        </w:rPr>
        <w:t xml:space="preserve"> млрд. лв. или </w:t>
      </w:r>
      <w:r>
        <w:rPr>
          <w:color w:val="000000" w:themeColor="text1"/>
        </w:rPr>
        <w:t>17,5</w:t>
      </w:r>
      <w:r w:rsidRPr="00E37254">
        <w:rPr>
          <w:color w:val="000000" w:themeColor="text1"/>
        </w:rPr>
        <w:t xml:space="preserve"> на сто) са разходите за персонал. Разгледани по съставни бюджети, най-съществена част от номиналното нарастване на разходите за персонал се формира по бюджетите на общин</w:t>
      </w:r>
      <w:r>
        <w:rPr>
          <w:color w:val="000000" w:themeColor="text1"/>
        </w:rPr>
        <w:t>ите, които нарастват с близо 1,3</w:t>
      </w:r>
      <w:r w:rsidRPr="00E37254">
        <w:rPr>
          <w:color w:val="000000" w:themeColor="text1"/>
        </w:rPr>
        <w:t xml:space="preserve"> млрд. лв. (</w:t>
      </w:r>
      <w:r>
        <w:rPr>
          <w:color w:val="000000" w:themeColor="text1"/>
        </w:rPr>
        <w:t>18</w:t>
      </w:r>
      <w:r w:rsidRPr="00E37254">
        <w:rPr>
          <w:color w:val="000000" w:themeColor="text1"/>
        </w:rPr>
        <w:t>,</w:t>
      </w:r>
      <w:r>
        <w:rPr>
          <w:color w:val="000000" w:themeColor="text1"/>
        </w:rPr>
        <w:t>5</w:t>
      </w:r>
      <w:r w:rsidRPr="00E37254">
        <w:rPr>
          <w:color w:val="000000" w:themeColor="text1"/>
        </w:rPr>
        <w:t xml:space="preserve"> на сто), следвани от разходите за персонал по държавния бюджет, където те нарастват с 1,</w:t>
      </w:r>
      <w:r>
        <w:rPr>
          <w:color w:val="000000" w:themeColor="text1"/>
        </w:rPr>
        <w:t>4</w:t>
      </w:r>
      <w:r w:rsidRPr="00E37254">
        <w:rPr>
          <w:color w:val="000000" w:themeColor="text1"/>
        </w:rPr>
        <w:t xml:space="preserve"> млрд. лв. (</w:t>
      </w:r>
      <w:r>
        <w:rPr>
          <w:color w:val="000000" w:themeColor="text1"/>
        </w:rPr>
        <w:t>15</w:t>
      </w:r>
      <w:r w:rsidRPr="00E37254">
        <w:rPr>
          <w:color w:val="000000" w:themeColor="text1"/>
        </w:rPr>
        <w:t>,</w:t>
      </w:r>
      <w:r>
        <w:rPr>
          <w:color w:val="000000" w:themeColor="text1"/>
        </w:rPr>
        <w:t>9</w:t>
      </w:r>
      <w:r w:rsidRPr="00E37254">
        <w:rPr>
          <w:color w:val="000000" w:themeColor="text1"/>
        </w:rPr>
        <w:t xml:space="preserve"> на сто). </w:t>
      </w:r>
      <w:r w:rsidR="0015761C" w:rsidRPr="00E37254">
        <w:rPr>
          <w:color w:val="000000" w:themeColor="text1"/>
        </w:rPr>
        <w:t>В разходите за персонал по бюджетите на общините се включват и разходи за други възнаграждения, които се изплащат за сметка на трансфери от бюджета на МТСП за осъществявани социални услуги</w:t>
      </w:r>
      <w:r w:rsidR="0082191B">
        <w:rPr>
          <w:color w:val="000000" w:themeColor="text1"/>
        </w:rPr>
        <w:t>.</w:t>
      </w:r>
      <w:r w:rsidR="0015761C" w:rsidRPr="00E37254">
        <w:rPr>
          <w:color w:val="000000" w:themeColor="text1"/>
        </w:rPr>
        <w:t xml:space="preserve"> </w:t>
      </w:r>
      <w:r w:rsidR="00152CC7" w:rsidRPr="00E37254">
        <w:rPr>
          <w:color w:val="000000" w:themeColor="text1"/>
        </w:rPr>
        <w:t xml:space="preserve">Нарастването на разходите </w:t>
      </w:r>
      <w:r w:rsidR="00152CC7">
        <w:rPr>
          <w:color w:val="000000" w:themeColor="text1"/>
        </w:rPr>
        <w:t xml:space="preserve">в частта на заплатите </w:t>
      </w:r>
      <w:r w:rsidR="00152CC7" w:rsidRPr="00E37254">
        <w:rPr>
          <w:color w:val="000000" w:themeColor="text1"/>
        </w:rPr>
        <w:t>се дължи основно на увеличение на размера на възнагражденията със ЗДБРБ за 2023</w:t>
      </w:r>
      <w:r w:rsidR="00152CC7">
        <w:rPr>
          <w:color w:val="000000" w:themeColor="text1"/>
          <w:lang w:val="en-US"/>
        </w:rPr>
        <w:t> </w:t>
      </w:r>
      <w:r w:rsidR="00152CC7" w:rsidRPr="00E37254">
        <w:rPr>
          <w:color w:val="000000" w:themeColor="text1"/>
        </w:rPr>
        <w:t>г. и 2024 г., както и на редица законодателни промени и актове на Министерския съвет, които бяха одобрени през второто полугодие на 2023</w:t>
      </w:r>
      <w:r w:rsidR="00152CC7">
        <w:rPr>
          <w:color w:val="000000" w:themeColor="text1"/>
        </w:rPr>
        <w:t xml:space="preserve"> г. и през</w:t>
      </w:r>
      <w:r w:rsidR="00152CC7" w:rsidRPr="00E37254">
        <w:rPr>
          <w:color w:val="000000" w:themeColor="text1"/>
        </w:rPr>
        <w:t xml:space="preserve"> 2024 г.</w:t>
      </w:r>
      <w:r w:rsidR="00152CC7">
        <w:rPr>
          <w:color w:val="000000" w:themeColor="text1"/>
        </w:rPr>
        <w:t xml:space="preserve">, вкл. одобреното </w:t>
      </w:r>
      <w:r w:rsidR="00152CC7" w:rsidRPr="008620BB">
        <w:rPr>
          <w:color w:val="000000" w:themeColor="text1"/>
        </w:rPr>
        <w:t>увеличение на възнагражденията на лицата от академичния състав в държавните висши училища за достигане на средната брутна заплата до не по-малко от 180 на сто от средната брутна заплата за страната, което бе одобрено с промени в Закона за висшето образование.</w:t>
      </w:r>
      <w:r w:rsidR="00152CC7" w:rsidRPr="00E37254">
        <w:rPr>
          <w:color w:val="000000" w:themeColor="text1"/>
        </w:rPr>
        <w:t xml:space="preserve"> </w:t>
      </w:r>
    </w:p>
    <w:p w:rsidR="006B05B8" w:rsidRPr="00ED0545" w:rsidRDefault="006B05B8" w:rsidP="00152CC7">
      <w:pPr>
        <w:autoSpaceDE w:val="0"/>
        <w:autoSpaceDN w:val="0"/>
        <w:adjustRightInd w:val="0"/>
        <w:spacing w:after="120"/>
        <w:jc w:val="both"/>
        <w:rPr>
          <w:color w:val="000000" w:themeColor="text1"/>
          <w:lang w:val="en-US"/>
        </w:rPr>
      </w:pPr>
      <w:r w:rsidRPr="00AB0679">
        <w:rPr>
          <w:color w:val="000000" w:themeColor="text1"/>
        </w:rPr>
        <w:t xml:space="preserve">Разходите за издръжка и субсидии остават близки до отчетените </w:t>
      </w:r>
      <w:r>
        <w:rPr>
          <w:color w:val="000000" w:themeColor="text1"/>
        </w:rPr>
        <w:t>за 2023 г., докато капиталовите разходи отчитат значително свиване, поради базов ефект в предходната година от по-високите разходи по приключилите проекти по предходния програмен период 2013-2020 г., допустими за разплащане до края на 2023 г. Това концентрира значителни по размер разходи по сметките за средства от ЕС в края на 2023 г., докато през 2024 година усвояването на разходите по програмите и фондовете на ЕС е по-равномерно и такава концентрация на разходи не се наблюдава.</w:t>
      </w:r>
      <w:r w:rsidR="003C72A1">
        <w:rPr>
          <w:color w:val="000000" w:themeColor="text1"/>
          <w:lang w:val="en-US"/>
        </w:rPr>
        <w:t xml:space="preserve"> </w:t>
      </w:r>
      <w:r w:rsidR="00441344">
        <w:rPr>
          <w:color w:val="000000" w:themeColor="text1"/>
        </w:rPr>
        <w:t>Съпоставено с разчетите към ЗДБРБ за 2024 г. усвояването на разходите по сметката за средства от ЕС на Национален фонд се запазва ниско. Отчетените разходи са 44,4 % спрямо заложените разчети.</w:t>
      </w:r>
      <w:r w:rsidR="00441344" w:rsidRPr="003D0413">
        <w:t xml:space="preserve"> </w:t>
      </w:r>
      <w:r w:rsidR="00441344" w:rsidRPr="003D0413">
        <w:rPr>
          <w:color w:val="000000" w:themeColor="text1"/>
        </w:rPr>
        <w:t xml:space="preserve">Изпълнението на разходите по </w:t>
      </w:r>
      <w:r w:rsidR="00441344">
        <w:rPr>
          <w:color w:val="000000" w:themeColor="text1"/>
        </w:rPr>
        <w:t>оперативните програми от програмен период 2014-2020 г. и програмите от програмен период 2021-2027 г. (включително и програмите за трансгранично сътрудничество по външни граници на ЕС)</w:t>
      </w:r>
      <w:r w:rsidR="00441344" w:rsidRPr="003D0413">
        <w:rPr>
          <w:color w:val="000000" w:themeColor="text1"/>
        </w:rPr>
        <w:t xml:space="preserve"> е </w:t>
      </w:r>
      <w:r w:rsidR="00441344">
        <w:rPr>
          <w:color w:val="000000" w:themeColor="text1"/>
        </w:rPr>
        <w:t>71,1</w:t>
      </w:r>
      <w:r w:rsidR="00441344" w:rsidRPr="003D0413">
        <w:rPr>
          <w:color w:val="000000" w:themeColor="text1"/>
        </w:rPr>
        <w:t xml:space="preserve">%, </w:t>
      </w:r>
      <w:r w:rsidR="00441344">
        <w:rPr>
          <w:color w:val="000000" w:themeColor="text1"/>
        </w:rPr>
        <w:t xml:space="preserve">което се дължи основно на наваксване на </w:t>
      </w:r>
      <w:r w:rsidR="00441344" w:rsidRPr="003D0413">
        <w:rPr>
          <w:color w:val="000000" w:themeColor="text1"/>
        </w:rPr>
        <w:t>изпълнение</w:t>
      </w:r>
      <w:r w:rsidR="00441344">
        <w:rPr>
          <w:color w:val="000000" w:themeColor="text1"/>
        </w:rPr>
        <w:t>то</w:t>
      </w:r>
      <w:r w:rsidR="00441344" w:rsidRPr="003D0413">
        <w:rPr>
          <w:color w:val="000000" w:themeColor="text1"/>
        </w:rPr>
        <w:t xml:space="preserve"> </w:t>
      </w:r>
      <w:r w:rsidR="00441344">
        <w:rPr>
          <w:color w:val="000000" w:themeColor="text1"/>
        </w:rPr>
        <w:t xml:space="preserve">на програмите от </w:t>
      </w:r>
      <w:r w:rsidR="00441344" w:rsidRPr="003D0413">
        <w:rPr>
          <w:color w:val="000000" w:themeColor="text1"/>
        </w:rPr>
        <w:t>ПП 2021-2027</w:t>
      </w:r>
      <w:r w:rsidR="00441344">
        <w:rPr>
          <w:color w:val="000000" w:themeColor="text1"/>
        </w:rPr>
        <w:t>. Основното неизпълнение на заложените разходи за 2024 г. е в частта на НПВУ - усвояването е 29,9</w:t>
      </w:r>
      <w:r w:rsidR="00AE6C6F">
        <w:rPr>
          <w:color w:val="000000" w:themeColor="text1"/>
        </w:rPr>
        <w:t xml:space="preserve"> </w:t>
      </w:r>
      <w:r w:rsidR="00441344">
        <w:rPr>
          <w:color w:val="000000" w:themeColor="text1"/>
        </w:rPr>
        <w:t>%, причина за което е късното стартиране и все още слабия ритъм за изпълнение върху които влияе и предоговарянето на Плана по линия на чл. 21 от Регламент (EU) 2021/241. Принципа на изпълнение на Механизма за възстановяване и устойчивост, а именно постигане на резултат, комплексно по инвестиции и реформи, и не прякото му обвързване с разходи създава затруднения при необходимост от адаптиране на изпълнението на инвестициите води до несигурност по отношение на финансирането, което ще бъде получено от ЕС за извършените разходи.</w:t>
      </w:r>
    </w:p>
    <w:p w:rsidR="006B05B8" w:rsidRPr="00143A96" w:rsidRDefault="006B05B8" w:rsidP="006B05B8">
      <w:pPr>
        <w:spacing w:before="360"/>
        <w:jc w:val="both"/>
        <w:rPr>
          <w:b/>
          <w:color w:val="000000" w:themeColor="text1"/>
          <w:u w:val="single"/>
        </w:rPr>
      </w:pPr>
      <w:r w:rsidRPr="00143A96">
        <w:rPr>
          <w:b/>
          <w:color w:val="000000" w:themeColor="text1"/>
          <w:u w:val="single"/>
        </w:rPr>
        <w:t>Основните предизвикателства в хода на бюджетното изпълнение</w:t>
      </w:r>
      <w:r>
        <w:rPr>
          <w:b/>
          <w:color w:val="000000" w:themeColor="text1"/>
          <w:u w:val="single"/>
        </w:rPr>
        <w:t xml:space="preserve"> и потенциални ефекти върху бюджета за 2025 г.</w:t>
      </w:r>
    </w:p>
    <w:p w:rsidR="006B05B8" w:rsidRPr="00D94155" w:rsidRDefault="006B05B8" w:rsidP="006B05B8">
      <w:pPr>
        <w:spacing w:after="120"/>
        <w:jc w:val="both"/>
        <w:rPr>
          <w:color w:val="000000" w:themeColor="text1"/>
          <w:sz w:val="8"/>
          <w:szCs w:val="8"/>
        </w:rPr>
      </w:pPr>
    </w:p>
    <w:p w:rsidR="006B05B8" w:rsidRDefault="006B05B8" w:rsidP="006B05B8">
      <w:pPr>
        <w:spacing w:after="120"/>
        <w:jc w:val="both"/>
        <w:rPr>
          <w:color w:val="000000" w:themeColor="text1"/>
        </w:rPr>
      </w:pPr>
      <w:r>
        <w:rPr>
          <w:color w:val="000000" w:themeColor="text1"/>
        </w:rPr>
        <w:t>Основните предизвикателства, пред които бе изправено изпълнението на бюджета бяха по няколко направления:</w:t>
      </w:r>
    </w:p>
    <w:p w:rsidR="006B05B8" w:rsidRDefault="006B05B8" w:rsidP="00544370">
      <w:pPr>
        <w:pStyle w:val="ListParagraph"/>
        <w:numPr>
          <w:ilvl w:val="0"/>
          <w:numId w:val="47"/>
        </w:numPr>
        <w:spacing w:line="240" w:lineRule="auto"/>
        <w:rPr>
          <w:rFonts w:ascii="Times New Roman" w:hAnsi="Times New Roman"/>
          <w:color w:val="000000" w:themeColor="text1"/>
        </w:rPr>
      </w:pPr>
      <w:r>
        <w:rPr>
          <w:rFonts w:ascii="Times New Roman" w:hAnsi="Times New Roman"/>
          <w:color w:val="000000" w:themeColor="text1"/>
        </w:rPr>
        <w:t xml:space="preserve">Непостъпването на </w:t>
      </w:r>
      <w:r w:rsidRPr="009479A1">
        <w:rPr>
          <w:rFonts w:ascii="Times New Roman" w:hAnsi="Times New Roman"/>
          <w:color w:val="000000" w:themeColor="text1"/>
        </w:rPr>
        <w:t>втория, респе</w:t>
      </w:r>
      <w:r>
        <w:rPr>
          <w:rFonts w:ascii="Times New Roman" w:hAnsi="Times New Roman"/>
          <w:color w:val="000000" w:themeColor="text1"/>
        </w:rPr>
        <w:t>ктивно третия транш по МВУ</w:t>
      </w:r>
      <w:r w:rsidR="00C47AA6">
        <w:rPr>
          <w:rFonts w:ascii="Times New Roman" w:hAnsi="Times New Roman"/>
          <w:color w:val="000000" w:themeColor="text1"/>
        </w:rPr>
        <w:t>,</w:t>
      </w:r>
      <w:r>
        <w:rPr>
          <w:rFonts w:ascii="Times New Roman" w:hAnsi="Times New Roman"/>
          <w:color w:val="000000" w:themeColor="text1"/>
        </w:rPr>
        <w:t xml:space="preserve"> доведоха до неизпълнение на разчетите по приходите и помощите по КФП за 2024 г. в значителен размер (</w:t>
      </w:r>
      <w:r w:rsidR="00B408A5" w:rsidRPr="00B408A5">
        <w:rPr>
          <w:rFonts w:ascii="Times New Roman" w:hAnsi="Times New Roman"/>
          <w:color w:val="000000" w:themeColor="text1"/>
        </w:rPr>
        <w:t xml:space="preserve">близо </w:t>
      </w:r>
      <w:r>
        <w:rPr>
          <w:rFonts w:ascii="Times New Roman" w:hAnsi="Times New Roman"/>
          <w:color w:val="000000" w:themeColor="text1"/>
        </w:rPr>
        <w:t>3,</w:t>
      </w:r>
      <w:r w:rsidR="009A20DB">
        <w:rPr>
          <w:rFonts w:ascii="Times New Roman" w:hAnsi="Times New Roman"/>
          <w:color w:val="000000" w:themeColor="text1"/>
          <w:lang w:val="en-US"/>
        </w:rPr>
        <w:t>3</w:t>
      </w:r>
      <w:r w:rsidR="00EF0F4F">
        <w:rPr>
          <w:rFonts w:ascii="Times New Roman" w:hAnsi="Times New Roman"/>
          <w:color w:val="000000" w:themeColor="text1"/>
          <w:lang w:val="en-US"/>
        </w:rPr>
        <w:t> </w:t>
      </w:r>
      <w:r>
        <w:rPr>
          <w:rFonts w:ascii="Times New Roman" w:hAnsi="Times New Roman"/>
          <w:color w:val="000000" w:themeColor="text1"/>
        </w:rPr>
        <w:t xml:space="preserve">млрд. лв.). </w:t>
      </w:r>
      <w:r w:rsidR="00544370" w:rsidRPr="00544370">
        <w:rPr>
          <w:rFonts w:ascii="Times New Roman" w:hAnsi="Times New Roman"/>
          <w:color w:val="000000" w:themeColor="text1"/>
        </w:rPr>
        <w:t xml:space="preserve">Забавянето при изпълнението на целите и реформите по плана се отрази и в по-ниско от планираното усвояване на разходите по сметките за средства от ЕС, което позволи негативният ефект в приходите изцяло да бъде компенсиран от по-ниски от </w:t>
      </w:r>
      <w:r w:rsidR="00544370" w:rsidRPr="00544370">
        <w:rPr>
          <w:rFonts w:ascii="Times New Roman" w:hAnsi="Times New Roman"/>
          <w:color w:val="000000" w:themeColor="text1"/>
        </w:rPr>
        <w:lastRenderedPageBreak/>
        <w:t>планираните разходи, основно в частта на капиталовите разходи</w:t>
      </w:r>
      <w:r>
        <w:rPr>
          <w:rFonts w:ascii="Times New Roman" w:hAnsi="Times New Roman"/>
          <w:color w:val="000000" w:themeColor="text1"/>
        </w:rPr>
        <w:t xml:space="preserve">. </w:t>
      </w:r>
      <w:r w:rsidR="00913A2D">
        <w:rPr>
          <w:rFonts w:ascii="Times New Roman" w:hAnsi="Times New Roman"/>
          <w:color w:val="000000" w:themeColor="text1"/>
        </w:rPr>
        <w:t>От гледна точка на бюджета за 2025 г. и 2026 г. последното създава натиск върху разходите, поради изключително кратките срокове за приключване на проектите по НПВУ. Неусвояването на разходите по сметките за средства от ЕС през 2024 г. измества и концентрира значителни по размер плащания в 2025 г. и първата половина на 2026 г., което от своя страна е възможно да повлияе върху националния бюджет с потенциално по-високо ниво на финансиране по вече започнали дейности по Плана и свиване на националните разходи за спазване на фискалното правило по чл. 27, ал. 4 на ЗПФ</w:t>
      </w:r>
      <w:r w:rsidR="00D57109">
        <w:rPr>
          <w:rFonts w:ascii="Times New Roman" w:hAnsi="Times New Roman"/>
          <w:color w:val="000000" w:themeColor="text1"/>
        </w:rPr>
        <w:t>.</w:t>
      </w:r>
    </w:p>
    <w:p w:rsidR="006B05B8" w:rsidRPr="00AC6D5D" w:rsidRDefault="006B05B8" w:rsidP="00B84457">
      <w:pPr>
        <w:pStyle w:val="ListParagraph"/>
        <w:numPr>
          <w:ilvl w:val="0"/>
          <w:numId w:val="47"/>
        </w:numPr>
        <w:spacing w:line="240" w:lineRule="auto"/>
        <w:rPr>
          <w:color w:val="0070C0"/>
        </w:rPr>
      </w:pPr>
      <w:r w:rsidRPr="00D94155">
        <w:rPr>
          <w:rFonts w:ascii="Times New Roman" w:hAnsi="Times New Roman"/>
          <w:color w:val="000000" w:themeColor="text1"/>
        </w:rPr>
        <w:t>Със свое решение от 26 юли 2</w:t>
      </w:r>
      <w:r w:rsidR="00785436">
        <w:rPr>
          <w:rFonts w:ascii="Times New Roman" w:hAnsi="Times New Roman"/>
          <w:color w:val="000000" w:themeColor="text1"/>
        </w:rPr>
        <w:t>024 г. (ДВ, бр. 64 от 2024 г.)</w:t>
      </w:r>
      <w:r w:rsidR="00785436">
        <w:rPr>
          <w:rFonts w:ascii="Times New Roman" w:hAnsi="Times New Roman"/>
          <w:color w:val="000000" w:themeColor="text1"/>
          <w:lang w:val="en-US"/>
        </w:rPr>
        <w:t xml:space="preserve"> </w:t>
      </w:r>
      <w:r w:rsidRPr="00D94155">
        <w:rPr>
          <w:rFonts w:ascii="Times New Roman" w:hAnsi="Times New Roman"/>
          <w:color w:val="000000" w:themeColor="text1"/>
        </w:rPr>
        <w:t>Народното събрание възложи на Министерския съвет в срок от 7 дни да приеме Програма за предоставяне на компенсации, свързани с цените на електрическата енергия на небитовите крайни клиенти съгласно чл. 36б, ал. 1, т. 4 от Закона за енергетиката, за периода от 1 юли 2024 г. до 31 декември 2024</w:t>
      </w:r>
      <w:r w:rsidR="006073BB">
        <w:rPr>
          <w:rFonts w:ascii="Times New Roman" w:hAnsi="Times New Roman"/>
          <w:color w:val="000000" w:themeColor="text1"/>
          <w:lang w:val="en-US"/>
        </w:rPr>
        <w:t> </w:t>
      </w:r>
      <w:r w:rsidRPr="00D94155">
        <w:rPr>
          <w:rFonts w:ascii="Times New Roman" w:hAnsi="Times New Roman"/>
          <w:color w:val="000000" w:themeColor="text1"/>
        </w:rPr>
        <w:t xml:space="preserve">г. В Решението на Народното събрание бе фиксиран и нов по-нисък от прилагания праг за изплащане на компенсации, като средномесечната цена на БНЕБ за сегмента „ден напред“, над която се изплащат компенсации бе променена от 200 лева MWh на 180 лева на MWh. Прилагането на този по-нисък праг за изплащане на компенсации води до недостиг за финансиране на плащанията по програмата с приходи от целеви вноски и съответно натиск върху държавния бюджет за осигуряване на средства. </w:t>
      </w:r>
      <w:r w:rsidR="00B84457" w:rsidRPr="00B84457">
        <w:rPr>
          <w:rFonts w:ascii="Times New Roman" w:hAnsi="Times New Roman"/>
          <w:color w:val="000000" w:themeColor="text1"/>
        </w:rPr>
        <w:t>Запазването на тези параметри при новото удължаване на програмата води до допълнителен дефицит в бюджета за 2025 г</w:t>
      </w:r>
      <w:r w:rsidRPr="00D94155">
        <w:rPr>
          <w:rFonts w:ascii="Times New Roman" w:hAnsi="Times New Roman"/>
          <w:color w:val="000000" w:themeColor="text1"/>
        </w:rPr>
        <w:t>.</w:t>
      </w:r>
    </w:p>
    <w:p w:rsidR="006B05B8" w:rsidRPr="00AC6D5D" w:rsidRDefault="006B05B8" w:rsidP="006B05B8">
      <w:pPr>
        <w:pStyle w:val="ListParagraph"/>
        <w:numPr>
          <w:ilvl w:val="0"/>
          <w:numId w:val="47"/>
        </w:numPr>
        <w:spacing w:line="240" w:lineRule="auto"/>
        <w:ind w:left="709" w:hanging="425"/>
        <w:rPr>
          <w:rFonts w:ascii="Times New Roman" w:hAnsi="Times New Roman"/>
          <w:color w:val="000000" w:themeColor="text1"/>
        </w:rPr>
      </w:pPr>
      <w:r w:rsidRPr="00AC6D5D">
        <w:rPr>
          <w:rFonts w:ascii="Times New Roman" w:hAnsi="Times New Roman"/>
          <w:color w:val="000000" w:themeColor="text1"/>
        </w:rPr>
        <w:t>Натиск върху разходите през 2024 г. оказаха редица непланирани с разчетите към ЗДБРБ за 2024 г. разходи, в т.ч. за провеждането на два пъти на парламентарни избори (около 200 млн. лв.); за изплащането на т.</w:t>
      </w:r>
      <w:r w:rsidR="00347EB7">
        <w:rPr>
          <w:rFonts w:ascii="Times New Roman" w:hAnsi="Times New Roman"/>
          <w:color w:val="000000" w:themeColor="text1"/>
        </w:rPr>
        <w:t xml:space="preserve"> </w:t>
      </w:r>
      <w:r w:rsidRPr="00AC6D5D">
        <w:rPr>
          <w:rFonts w:ascii="Times New Roman" w:hAnsi="Times New Roman"/>
          <w:color w:val="000000" w:themeColor="text1"/>
        </w:rPr>
        <w:t>н. помощ за Украйна на земеделските производители, (650</w:t>
      </w:r>
      <w:r w:rsidR="00064DF4">
        <w:rPr>
          <w:rFonts w:ascii="Times New Roman" w:hAnsi="Times New Roman"/>
          <w:color w:val="000000" w:themeColor="text1"/>
          <w:lang w:val="en-US"/>
        </w:rPr>
        <w:t> </w:t>
      </w:r>
      <w:r w:rsidRPr="00AC6D5D">
        <w:rPr>
          <w:rFonts w:ascii="Times New Roman" w:hAnsi="Times New Roman"/>
          <w:color w:val="000000" w:themeColor="text1"/>
        </w:rPr>
        <w:t xml:space="preserve">млн. лв.), </w:t>
      </w:r>
      <w:r w:rsidR="00A56A83" w:rsidRPr="00A56A83">
        <w:rPr>
          <w:rFonts w:ascii="Times New Roman" w:hAnsi="Times New Roman"/>
          <w:color w:val="000000" w:themeColor="text1"/>
        </w:rPr>
        <w:t>за увеличение на възнагражденията на академичния състав и на лицата по чл.</w:t>
      </w:r>
      <w:r w:rsidR="00E70C62">
        <w:rPr>
          <w:rFonts w:ascii="Times New Roman" w:hAnsi="Times New Roman"/>
          <w:color w:val="000000" w:themeColor="text1"/>
          <w:lang w:val="en-US"/>
        </w:rPr>
        <w:t xml:space="preserve"> </w:t>
      </w:r>
      <w:r w:rsidR="00A56A83" w:rsidRPr="00A56A83">
        <w:rPr>
          <w:rFonts w:ascii="Times New Roman" w:hAnsi="Times New Roman"/>
          <w:color w:val="000000" w:themeColor="text1"/>
        </w:rPr>
        <w:t xml:space="preserve">53, ал.1 от Закона за висшето образование в държавните висши училища и научните организации, прието с промени в </w:t>
      </w:r>
      <w:r w:rsidR="00E70C62">
        <w:rPr>
          <w:rFonts w:ascii="Times New Roman" w:hAnsi="Times New Roman"/>
          <w:color w:val="000000" w:themeColor="text1"/>
        </w:rPr>
        <w:t>Закона за висшето образование (</w:t>
      </w:r>
      <w:r w:rsidR="00A56A83" w:rsidRPr="00A56A83">
        <w:rPr>
          <w:rFonts w:ascii="Times New Roman" w:hAnsi="Times New Roman"/>
          <w:color w:val="000000" w:themeColor="text1"/>
        </w:rPr>
        <w:t xml:space="preserve">184 млн. лв.) и други. </w:t>
      </w:r>
      <w:r w:rsidRPr="00AC6D5D">
        <w:rPr>
          <w:rFonts w:ascii="Times New Roman" w:hAnsi="Times New Roman"/>
          <w:color w:val="000000" w:themeColor="text1"/>
        </w:rPr>
        <w:t xml:space="preserve"> </w:t>
      </w:r>
      <w:r>
        <w:rPr>
          <w:rFonts w:ascii="Times New Roman" w:hAnsi="Times New Roman"/>
          <w:color w:val="000000" w:themeColor="text1"/>
        </w:rPr>
        <w:t>Н</w:t>
      </w:r>
      <w:r w:rsidRPr="00AC6D5D">
        <w:rPr>
          <w:rFonts w:ascii="Times New Roman" w:hAnsi="Times New Roman"/>
          <w:color w:val="000000" w:themeColor="text1"/>
        </w:rPr>
        <w:t xml:space="preserve">еобходимият ресурс за </w:t>
      </w:r>
      <w:r>
        <w:rPr>
          <w:rFonts w:ascii="Times New Roman" w:hAnsi="Times New Roman"/>
          <w:color w:val="000000" w:themeColor="text1"/>
        </w:rPr>
        <w:t>тези непланирани разходи</w:t>
      </w:r>
      <w:r w:rsidRPr="00AC6D5D">
        <w:rPr>
          <w:rFonts w:ascii="Times New Roman" w:hAnsi="Times New Roman"/>
          <w:color w:val="000000" w:themeColor="text1"/>
        </w:rPr>
        <w:t xml:space="preserve"> се наложи да бъде осигурен в рамките на одобрените разходи и трансфери по държавния бюджет</w:t>
      </w:r>
      <w:r>
        <w:rPr>
          <w:rFonts w:ascii="Times New Roman" w:hAnsi="Times New Roman"/>
          <w:color w:val="000000" w:themeColor="text1"/>
        </w:rPr>
        <w:t xml:space="preserve"> със ЗДБРБ за 2024 г</w:t>
      </w:r>
      <w:r w:rsidRPr="00AC6D5D">
        <w:rPr>
          <w:rFonts w:ascii="Times New Roman" w:hAnsi="Times New Roman"/>
          <w:color w:val="000000" w:themeColor="text1"/>
        </w:rPr>
        <w:t>.</w:t>
      </w:r>
      <w:r>
        <w:rPr>
          <w:rFonts w:ascii="Times New Roman" w:hAnsi="Times New Roman"/>
          <w:color w:val="000000" w:themeColor="text1"/>
        </w:rPr>
        <w:t>, чрез преструктуриране на разходите.</w:t>
      </w:r>
    </w:p>
    <w:p w:rsidR="006B05B8" w:rsidRDefault="006B05B8" w:rsidP="006B05B8">
      <w:pPr>
        <w:pStyle w:val="ListParagraph"/>
        <w:numPr>
          <w:ilvl w:val="0"/>
          <w:numId w:val="47"/>
        </w:numPr>
        <w:spacing w:line="240" w:lineRule="auto"/>
        <w:ind w:left="714" w:hanging="357"/>
        <w:rPr>
          <w:rFonts w:ascii="Times New Roman" w:hAnsi="Times New Roman"/>
          <w:color w:val="000000" w:themeColor="text1"/>
        </w:rPr>
      </w:pPr>
      <w:r w:rsidRPr="00D94155">
        <w:rPr>
          <w:rFonts w:ascii="Times New Roman" w:hAnsi="Times New Roman"/>
          <w:color w:val="000000" w:themeColor="text1"/>
        </w:rPr>
        <w:t>Следва също така да се отбележи, че индикативният размер на прогнозния бюджет по проекти на Инвестиционната програма в Приложение № 2 и 3 към чл. 106 и 107 на ЗДБРБ за 2024 г. е по-висок от заложените разходи в разчетите към закона за бюджета за година</w:t>
      </w:r>
      <w:r w:rsidR="00616758">
        <w:rPr>
          <w:rFonts w:ascii="Times New Roman" w:hAnsi="Times New Roman"/>
          <w:color w:val="000000" w:themeColor="text1"/>
        </w:rPr>
        <w:t>та</w:t>
      </w:r>
      <w:r w:rsidRPr="00D94155">
        <w:rPr>
          <w:rFonts w:ascii="Times New Roman" w:hAnsi="Times New Roman"/>
          <w:color w:val="000000" w:themeColor="text1"/>
        </w:rPr>
        <w:t>. При реализиране и финализиране за 2024 г. на проекти с по-голям бюджет от заложените разходи в разчетите на ЗДБРБ за 2024 г. това би могло да доведе до възникване на нови задължения за разходи, които</w:t>
      </w:r>
      <w:r>
        <w:rPr>
          <w:rFonts w:ascii="Times New Roman" w:hAnsi="Times New Roman"/>
          <w:color w:val="000000" w:themeColor="text1"/>
        </w:rPr>
        <w:t xml:space="preserve"> при други равни условия</w:t>
      </w:r>
      <w:r w:rsidRPr="00D94155">
        <w:rPr>
          <w:rFonts w:ascii="Times New Roman" w:hAnsi="Times New Roman"/>
          <w:color w:val="000000" w:themeColor="text1"/>
        </w:rPr>
        <w:t xml:space="preserve"> водят до влошаване салдото на сектор „Държавно управление“</w:t>
      </w:r>
      <w:r>
        <w:rPr>
          <w:rFonts w:ascii="Times New Roman" w:hAnsi="Times New Roman"/>
          <w:color w:val="000000" w:themeColor="text1"/>
        </w:rPr>
        <w:t xml:space="preserve"> за 2024 г</w:t>
      </w:r>
      <w:r w:rsidRPr="00D94155">
        <w:rPr>
          <w:rFonts w:ascii="Times New Roman" w:hAnsi="Times New Roman"/>
          <w:color w:val="000000" w:themeColor="text1"/>
        </w:rPr>
        <w:t xml:space="preserve">. </w:t>
      </w:r>
      <w:r>
        <w:rPr>
          <w:rFonts w:ascii="Times New Roman" w:hAnsi="Times New Roman"/>
          <w:color w:val="000000" w:themeColor="text1"/>
        </w:rPr>
        <w:t>Тези задължения също така оказват натиск върху бюджета за 2025 г.</w:t>
      </w:r>
    </w:p>
    <w:p w:rsidR="006B05B8" w:rsidRPr="0083429A" w:rsidRDefault="006B05B8" w:rsidP="006B05B8">
      <w:pPr>
        <w:pStyle w:val="ListParagraph"/>
        <w:numPr>
          <w:ilvl w:val="0"/>
          <w:numId w:val="47"/>
        </w:numPr>
        <w:spacing w:line="240" w:lineRule="auto"/>
        <w:ind w:left="714" w:hanging="357"/>
        <w:rPr>
          <w:rFonts w:ascii="Times New Roman" w:hAnsi="Times New Roman"/>
          <w:color w:val="000000" w:themeColor="text1"/>
        </w:rPr>
      </w:pPr>
      <w:r w:rsidRPr="0083429A">
        <w:rPr>
          <w:rFonts w:ascii="Times New Roman" w:hAnsi="Times New Roman"/>
          <w:color w:val="000000" w:themeColor="text1"/>
        </w:rPr>
        <w:t>Разходите по бюджетите на общините значително надвишават планираните за 2024 г., което наложи по държавния бюджет да бъдат обезпечени компенсиращи мерки в значителен размер.</w:t>
      </w:r>
      <w:bookmarkEnd w:id="1"/>
    </w:p>
    <w:p w:rsidR="00173D90" w:rsidRPr="00050762" w:rsidRDefault="00173D90" w:rsidP="00173D90">
      <w:pPr>
        <w:keepNext/>
        <w:keepLines/>
        <w:spacing w:before="240"/>
        <w:jc w:val="both"/>
        <w:outlineLvl w:val="2"/>
        <w:rPr>
          <w:b/>
          <w:lang w:eastAsia="bg-BG"/>
        </w:rPr>
      </w:pPr>
      <w:r w:rsidRPr="00050762">
        <w:rPr>
          <w:b/>
          <w:lang w:eastAsia="bg-BG"/>
        </w:rPr>
        <w:lastRenderedPageBreak/>
        <w:t>Информация за разходите за хуманитарна помощ, както и за справяне с последствията във връзка с военните действия в Украйна</w:t>
      </w:r>
    </w:p>
    <w:p w:rsidR="009772DA" w:rsidRPr="006E7134" w:rsidRDefault="009772DA" w:rsidP="009772DA">
      <w:pPr>
        <w:keepNext/>
        <w:keepLines/>
        <w:spacing w:before="120"/>
        <w:jc w:val="both"/>
        <w:outlineLvl w:val="2"/>
        <w:rPr>
          <w:bCs/>
          <w:color w:val="0070C0"/>
          <w:lang w:eastAsia="bg-BG"/>
        </w:rPr>
      </w:pPr>
      <w:r w:rsidRPr="00050762">
        <w:rPr>
          <w:lang w:eastAsia="bg-BG"/>
        </w:rPr>
        <w:t xml:space="preserve">Отчетените от ПРБ разходи към </w:t>
      </w:r>
      <w:r w:rsidR="00F71ADC">
        <w:rPr>
          <w:lang w:eastAsia="bg-BG"/>
        </w:rPr>
        <w:t>31</w:t>
      </w:r>
      <w:r w:rsidRPr="00050762">
        <w:rPr>
          <w:lang w:eastAsia="bg-BG"/>
        </w:rPr>
        <w:t>.</w:t>
      </w:r>
      <w:r w:rsidR="00F71ADC">
        <w:rPr>
          <w:lang w:eastAsia="bg-BG"/>
        </w:rPr>
        <w:t>12</w:t>
      </w:r>
      <w:r w:rsidRPr="00050762">
        <w:rPr>
          <w:lang w:eastAsia="bg-BG"/>
        </w:rPr>
        <w:t xml:space="preserve">.2024 г. по бюджетите им за финансиране на дейности по оказване на незабавна хуманитарна помощ на живеещите в Украйна български граждани и българи с украинско гражданство, включително при необходимост от евакуация, за предоставяне на хуманитарна помощ за Украйна, както и за извършване на разходи за справяне с последствията от военните действия срещу Украйна са в размер на </w:t>
      </w:r>
      <w:r w:rsidR="00050762" w:rsidRPr="00050762">
        <w:rPr>
          <w:lang w:val="en-US" w:eastAsia="bg-BG"/>
        </w:rPr>
        <w:t>736</w:t>
      </w:r>
      <w:r w:rsidR="004A6F03" w:rsidRPr="00050762">
        <w:rPr>
          <w:lang w:eastAsia="bg-BG"/>
        </w:rPr>
        <w:t>,</w:t>
      </w:r>
      <w:r w:rsidR="00050762" w:rsidRPr="00050762">
        <w:rPr>
          <w:lang w:val="en-US" w:eastAsia="bg-BG"/>
        </w:rPr>
        <w:t>7</w:t>
      </w:r>
      <w:r w:rsidRPr="00050762">
        <w:rPr>
          <w:lang w:eastAsia="bg-BG"/>
        </w:rPr>
        <w:t xml:space="preserve"> млн.</w:t>
      </w:r>
      <w:r w:rsidRPr="00050762">
        <w:rPr>
          <w:bCs/>
          <w:lang w:eastAsia="bg-BG"/>
        </w:rPr>
        <w:t xml:space="preserve"> лв. за сметка на националния бюджет</w:t>
      </w:r>
      <w:r w:rsidR="000C5F1B">
        <w:rPr>
          <w:bCs/>
          <w:lang w:eastAsia="bg-BG"/>
        </w:rPr>
        <w:t xml:space="preserve"> </w:t>
      </w:r>
      <w:r w:rsidRPr="00050762">
        <w:rPr>
          <w:bCs/>
          <w:lang w:eastAsia="bg-BG"/>
        </w:rPr>
        <w:t>и 19,5 млн. лв. за сметка на средства от ЕС.</w:t>
      </w:r>
      <w:r w:rsidR="0019204E" w:rsidRPr="00050762">
        <w:rPr>
          <w:bCs/>
          <w:lang w:val="en-US" w:eastAsia="bg-BG"/>
        </w:rPr>
        <w:t xml:space="preserve"> </w:t>
      </w:r>
      <w:r w:rsidR="0019204E" w:rsidRPr="00050762">
        <w:rPr>
          <w:bCs/>
          <w:lang w:eastAsia="bg-BG"/>
        </w:rPr>
        <w:t xml:space="preserve">По бюджетите на общините отчетените разходи са в размер на </w:t>
      </w:r>
      <w:r w:rsidR="00050762" w:rsidRPr="00050762">
        <w:rPr>
          <w:bCs/>
          <w:lang w:val="en-US" w:eastAsia="bg-BG"/>
        </w:rPr>
        <w:t>1</w:t>
      </w:r>
      <w:r w:rsidR="0019204E" w:rsidRPr="00050762">
        <w:rPr>
          <w:bCs/>
          <w:lang w:eastAsia="bg-BG"/>
        </w:rPr>
        <w:t>,</w:t>
      </w:r>
      <w:r w:rsidR="00050762" w:rsidRPr="00050762">
        <w:rPr>
          <w:bCs/>
          <w:lang w:val="en-US" w:eastAsia="bg-BG"/>
        </w:rPr>
        <w:t>0</w:t>
      </w:r>
      <w:r w:rsidR="0019204E" w:rsidRPr="00050762">
        <w:rPr>
          <w:bCs/>
          <w:lang w:eastAsia="bg-BG"/>
        </w:rPr>
        <w:t xml:space="preserve"> млн. лв., като това основно са разходи за справяне с последствията от военните действия срещу Украйна.</w:t>
      </w:r>
    </w:p>
    <w:p w:rsidR="00F6514B" w:rsidRPr="00D95F70" w:rsidRDefault="00F6514B" w:rsidP="00F6514B">
      <w:pPr>
        <w:keepNext/>
        <w:keepLines/>
        <w:spacing w:before="120"/>
        <w:jc w:val="both"/>
        <w:outlineLvl w:val="2"/>
        <w:rPr>
          <w:color w:val="000000"/>
        </w:rPr>
      </w:pPr>
      <w:r>
        <w:rPr>
          <w:bCs/>
          <w:lang w:eastAsia="bg-BG"/>
        </w:rPr>
        <w:t>С най-голяма тежест в тези разходи са и</w:t>
      </w:r>
      <w:r w:rsidRPr="000C0CE1">
        <w:rPr>
          <w:rFonts w:eastAsia="MS Minngs"/>
          <w:bCs/>
        </w:rPr>
        <w:t>зплатените средства от ДФ „Земеделие“ по схема</w:t>
      </w:r>
      <w:r>
        <w:rPr>
          <w:rFonts w:eastAsia="MS Minngs"/>
          <w:bCs/>
        </w:rPr>
        <w:t>та</w:t>
      </w:r>
      <w:r w:rsidRPr="000C0CE1">
        <w:rPr>
          <w:rFonts w:eastAsia="MS Minngs"/>
          <w:bCs/>
        </w:rPr>
        <w:t xml:space="preserve"> на държавна помощ „Помощ в подкрепа на ликвидността на земеделски стопани за преодоляване на негативното икономическо въздействие на руската агресия срещу Украйна“ през 2023 г. и по схеми на държавна помощ „Помощ в подкрепа на ликвидността на земеделски стопани за преодоляване на негативното икономическо въздействие на руската агресия срещу Украйна“ и „Помощ в подкрепа на ликвидността на земеделски стопани, производители на зърнени и маслодайни култури, за преодоляване на негативното икономическо въздействие на руската агресия срещу Украйна“ за 2024 г., разработени при спазване на правилата Временната рамка за мерки за държавна помощ при кризи в подкрепа на икономиката след агресията на Русия срещу Украйна, в общ размер на 653,1 млн. лв.</w:t>
      </w:r>
      <w:r>
        <w:rPr>
          <w:rFonts w:eastAsia="MS Minngs"/>
          <w:bCs/>
        </w:rPr>
        <w:t xml:space="preserve">, следвани от разходите </w:t>
      </w:r>
      <w:r w:rsidRPr="000C0CE1">
        <w:rPr>
          <w:color w:val="000000"/>
        </w:rPr>
        <w:t>за изпълнение на Схема за държавна помощ „Помощ в подкрепа на разходи за стабилизиране на транспортния отрасъл в Република България“</w:t>
      </w:r>
      <w:r>
        <w:rPr>
          <w:color w:val="000000"/>
        </w:rPr>
        <w:t xml:space="preserve"> по бюджета на МРРБ в размер на 50 млн. лв., и други.</w:t>
      </w:r>
    </w:p>
    <w:p w:rsidR="00173D90" w:rsidRPr="006E7134" w:rsidRDefault="0092690F" w:rsidP="00323229">
      <w:pPr>
        <w:keepNext/>
        <w:keepLines/>
        <w:spacing w:before="360"/>
        <w:jc w:val="both"/>
        <w:outlineLvl w:val="2"/>
        <w:rPr>
          <w:b/>
          <w:color w:val="0070C0"/>
          <w:lang w:eastAsia="bg-BG"/>
        </w:rPr>
      </w:pPr>
      <w:r w:rsidRPr="000C0CE1">
        <w:rPr>
          <w:b/>
        </w:rPr>
        <w:t xml:space="preserve">Информация за разходите по програмите </w:t>
      </w:r>
      <w:r w:rsidRPr="000C0CE1">
        <w:rPr>
          <w:b/>
          <w:color w:val="000000"/>
        </w:rPr>
        <w:t>за компенсиране на разходите на небитови крайни клиенти за електрическа енергия и на операторите на електропреносната и електроразпределителните мрежи за закупуване на количества електрическа енергия, потребена за технологични разходи</w:t>
      </w:r>
      <w:r w:rsidR="00173D90" w:rsidRPr="006E7134">
        <w:rPr>
          <w:b/>
          <w:color w:val="0070C0"/>
          <w:lang w:eastAsia="bg-BG"/>
        </w:rPr>
        <w:t xml:space="preserve">  </w:t>
      </w:r>
    </w:p>
    <w:p w:rsidR="00D61C6D" w:rsidRPr="006E7134" w:rsidRDefault="0092690F" w:rsidP="00D61C6D">
      <w:pPr>
        <w:spacing w:before="120"/>
        <w:jc w:val="both"/>
        <w:rPr>
          <w:color w:val="0070C0"/>
        </w:rPr>
      </w:pPr>
      <w:r w:rsidRPr="000C0CE1">
        <w:t>Към 31.12.2024 г. МС е одобрил (приел) програми с общ индикативен бюджет (ИБ) 877 млн. лв., в т.ч. с РМС № 294 от 23.04.2024 г. (изменено с РМС № 481</w:t>
      </w:r>
      <w:r>
        <w:t>/</w:t>
      </w:r>
      <w:r w:rsidRPr="000C0CE1">
        <w:t xml:space="preserve">2024 г.) </w:t>
      </w:r>
      <w:r>
        <w:t xml:space="preserve">- </w:t>
      </w:r>
      <w:r w:rsidRPr="000C0CE1">
        <w:t>Програма за компенсиране на разходи на крайни клиенти за електрическа енергия за периода от 01.01.2024 г. до 31.12.2024</w:t>
      </w:r>
      <w:r w:rsidR="008C6F17">
        <w:rPr>
          <w:lang w:val="en-US"/>
        </w:rPr>
        <w:t> </w:t>
      </w:r>
      <w:r w:rsidRPr="000C0CE1">
        <w:t>г. (50 млн. лв. ИБ), с РМС № 489</w:t>
      </w:r>
      <w:r>
        <w:t>/</w:t>
      </w:r>
      <w:r w:rsidRPr="000C0CE1">
        <w:t>2024 г. (изменено с РМС № 542</w:t>
      </w:r>
      <w:r>
        <w:t>/</w:t>
      </w:r>
      <w:r w:rsidRPr="000C0CE1">
        <w:t>2024 г.)</w:t>
      </w:r>
      <w:r>
        <w:t xml:space="preserve"> -</w:t>
      </w:r>
      <w:r w:rsidRPr="000C0CE1">
        <w:t xml:space="preserve"> Програма за предоставяне на компенсации за предприятия, нагнетили природен газ в подземното газово хранилище (ПГХ) „Чирен“ в периода от 1 май 2022 г. до 11 октомври 2022 г. (278 млн. лв. ИБ) и с РМС № 546</w:t>
      </w:r>
      <w:r>
        <w:t>/</w:t>
      </w:r>
      <w:r w:rsidRPr="000C0CE1">
        <w:t>2024</w:t>
      </w:r>
      <w:r w:rsidR="008C6F17">
        <w:rPr>
          <w:lang w:val="en-US"/>
        </w:rPr>
        <w:t> </w:t>
      </w:r>
      <w:r w:rsidRPr="000C0CE1">
        <w:t>г. (изменено с РМС № 654</w:t>
      </w:r>
      <w:r>
        <w:t>/</w:t>
      </w:r>
      <w:r w:rsidRPr="000C0CE1">
        <w:t>2024 г.)</w:t>
      </w:r>
      <w:r>
        <w:t xml:space="preserve"> -</w:t>
      </w:r>
      <w:r w:rsidRPr="000C0CE1">
        <w:t xml:space="preserve"> Програма за компенсиране на разходите на небитови крайни клиенти за електрическа енергия за периода от 1 юли 2024 г. до 31 декември 2024 г. (549 млн. лв. ИБ).</w:t>
      </w:r>
      <w:r>
        <w:t xml:space="preserve"> </w:t>
      </w:r>
    </w:p>
    <w:p w:rsidR="0066260D" w:rsidRPr="0066260D" w:rsidRDefault="0066260D" w:rsidP="0066260D">
      <w:pPr>
        <w:tabs>
          <w:tab w:val="left" w:pos="709"/>
          <w:tab w:val="left" w:pos="1560"/>
        </w:tabs>
        <w:ind w:firstLine="426"/>
        <w:jc w:val="both"/>
      </w:pPr>
      <w:r w:rsidRPr="0066260D">
        <w:t xml:space="preserve">През </w:t>
      </w:r>
      <w:r>
        <w:t>годината</w:t>
      </w:r>
      <w:r w:rsidRPr="0066260D">
        <w:t xml:space="preserve"> са изплатени общо 761,4 млн. лв., от които 343,2 млн. лв. от сметката за чужди средства и 418,2 млн. лв. (без отразено намаление с 10,1 млн. лв. възстановени разходи за компенсации от ОП) от постъпилите през 2024 г. приходи за тази цел. Изплатените разходи по програми са, както следва:</w:t>
      </w:r>
    </w:p>
    <w:p w:rsidR="0066260D" w:rsidRPr="0066260D" w:rsidRDefault="0066260D" w:rsidP="0066260D">
      <w:pPr>
        <w:numPr>
          <w:ilvl w:val="0"/>
          <w:numId w:val="26"/>
        </w:numPr>
        <w:tabs>
          <w:tab w:val="left" w:pos="709"/>
          <w:tab w:val="left" w:pos="1134"/>
        </w:tabs>
        <w:ind w:left="0" w:firstLine="426"/>
        <w:contextualSpacing/>
        <w:jc w:val="both"/>
      </w:pPr>
      <w:r w:rsidRPr="0066260D">
        <w:t xml:space="preserve"> 0,3 млн. лв. по одобрената с РМС № 688</w:t>
      </w:r>
      <w:r>
        <w:t>/</w:t>
      </w:r>
      <w:r w:rsidRPr="0066260D">
        <w:t>2023 г. Програма за компенсиране на разходите на небитови крайни клиенти за електрическа енергия и на операторите на електропреносната и на електроразпределителните мрежи за закупуване на количествата електрическа енергия, потребена за технологични разходи за периода от 1 септември 2023 г. до 31 декември 2023 г.;</w:t>
      </w:r>
    </w:p>
    <w:p w:rsidR="0066260D" w:rsidRPr="0066260D" w:rsidRDefault="0066260D" w:rsidP="0066260D">
      <w:pPr>
        <w:numPr>
          <w:ilvl w:val="0"/>
          <w:numId w:val="26"/>
        </w:numPr>
        <w:tabs>
          <w:tab w:val="left" w:pos="709"/>
          <w:tab w:val="left" w:pos="1134"/>
        </w:tabs>
        <w:ind w:left="0" w:firstLine="426"/>
        <w:contextualSpacing/>
        <w:jc w:val="both"/>
      </w:pPr>
      <w:r w:rsidRPr="0066260D">
        <w:t xml:space="preserve"> 1,6 млн. лв. по одобрената с РМС 294</w:t>
      </w:r>
      <w:r>
        <w:t>/</w:t>
      </w:r>
      <w:r w:rsidRPr="0066260D">
        <w:t>2024 г. (изменена с РМС № 481</w:t>
      </w:r>
      <w:r>
        <w:t>/</w:t>
      </w:r>
      <w:r w:rsidRPr="0066260D">
        <w:t>2024 г.) Програма за компенсиране на разходи на крайни клиенти за електрическа енергия за периода от 1 януари 2024 г. до 31 декември 2024 г.;</w:t>
      </w:r>
    </w:p>
    <w:p w:rsidR="0066260D" w:rsidRDefault="0066260D" w:rsidP="0066260D">
      <w:pPr>
        <w:numPr>
          <w:ilvl w:val="0"/>
          <w:numId w:val="26"/>
        </w:numPr>
        <w:tabs>
          <w:tab w:val="left" w:pos="709"/>
          <w:tab w:val="left" w:pos="1134"/>
        </w:tabs>
        <w:ind w:left="0" w:firstLine="426"/>
        <w:contextualSpacing/>
        <w:jc w:val="both"/>
      </w:pPr>
      <w:r w:rsidRPr="0066260D">
        <w:t>228,6 млн. лв. по одобрената с РМС № 489</w:t>
      </w:r>
      <w:r>
        <w:t>/</w:t>
      </w:r>
      <w:r w:rsidRPr="0066260D">
        <w:t>2024 г. (изменена с РМС № 542</w:t>
      </w:r>
      <w:r>
        <w:t>/</w:t>
      </w:r>
      <w:r w:rsidRPr="0066260D">
        <w:t>2024 г.) Програма за предоставяне на компенсации за предприятия, нагнетили природен газ в подземното газово хранилище (ПГХ) „Чирен“ в периода от 1 май 2022 г. до 11 октомври 2022 г.;</w:t>
      </w:r>
    </w:p>
    <w:p w:rsidR="0066260D" w:rsidRPr="0066260D" w:rsidRDefault="0066260D" w:rsidP="0066260D">
      <w:pPr>
        <w:numPr>
          <w:ilvl w:val="0"/>
          <w:numId w:val="26"/>
        </w:numPr>
        <w:tabs>
          <w:tab w:val="left" w:pos="709"/>
          <w:tab w:val="left" w:pos="1134"/>
        </w:tabs>
        <w:ind w:left="0" w:firstLine="426"/>
        <w:contextualSpacing/>
        <w:jc w:val="both"/>
      </w:pPr>
      <w:r w:rsidRPr="0066260D">
        <w:rPr>
          <w:lang w:eastAsia="bg-BG"/>
        </w:rPr>
        <w:t>530,9 млн. лв. по одобрената с РМС № 546</w:t>
      </w:r>
      <w:r>
        <w:rPr>
          <w:lang w:eastAsia="bg-BG"/>
        </w:rPr>
        <w:t>/</w:t>
      </w:r>
      <w:r w:rsidRPr="0066260D">
        <w:rPr>
          <w:lang w:eastAsia="bg-BG"/>
        </w:rPr>
        <w:t>2024 г. (актуализирана с РМС № 654</w:t>
      </w:r>
      <w:r>
        <w:rPr>
          <w:lang w:eastAsia="bg-BG"/>
        </w:rPr>
        <w:t>/</w:t>
      </w:r>
      <w:r w:rsidRPr="0066260D">
        <w:rPr>
          <w:lang w:eastAsia="bg-BG"/>
        </w:rPr>
        <w:t>2024 г.) Програма за компенсиране на разходите на крайни клиенти за електрическа енергия от 01.07.2024</w:t>
      </w:r>
      <w:r w:rsidR="008C6F17">
        <w:rPr>
          <w:lang w:val="en-US" w:eastAsia="bg-BG"/>
        </w:rPr>
        <w:t> </w:t>
      </w:r>
      <w:r w:rsidRPr="0066260D">
        <w:rPr>
          <w:lang w:eastAsia="bg-BG"/>
        </w:rPr>
        <w:t>г. до 31.12.2024 г.</w:t>
      </w:r>
    </w:p>
    <w:p w:rsidR="00136E89" w:rsidRPr="00136E89" w:rsidRDefault="00136E89" w:rsidP="00136E89">
      <w:pPr>
        <w:spacing w:after="120"/>
        <w:jc w:val="both"/>
        <w:rPr>
          <w:rFonts w:ascii="Calibri" w:eastAsia="Calibri" w:hAnsi="Calibri"/>
          <w:color w:val="943634" w:themeColor="accent2" w:themeShade="BF"/>
          <w:sz w:val="22"/>
          <w:szCs w:val="22"/>
          <w:lang w:val="ru-RU"/>
        </w:rPr>
      </w:pPr>
      <w:r w:rsidRPr="00136E89">
        <w:rPr>
          <w:rFonts w:ascii="Calibri" w:eastAsia="Calibri" w:hAnsi="Calibri"/>
          <w:color w:val="943634" w:themeColor="accent2" w:themeShade="BF"/>
          <w:sz w:val="22"/>
          <w:szCs w:val="22"/>
          <w:lang w:val="ru-RU"/>
        </w:rPr>
        <w:lastRenderedPageBreak/>
        <w:br w:type="page"/>
      </w:r>
    </w:p>
    <w:p w:rsidR="00136E89" w:rsidRDefault="00136E89" w:rsidP="00136E89">
      <w:pPr>
        <w:jc w:val="both"/>
        <w:rPr>
          <w:color w:val="0070C0"/>
        </w:rPr>
      </w:pPr>
    </w:p>
    <w:p w:rsidR="00E74802" w:rsidRPr="00D75DA5" w:rsidRDefault="00E74802" w:rsidP="00E86EAF">
      <w:pPr>
        <w:pStyle w:val="Heading1"/>
        <w:numPr>
          <w:ilvl w:val="0"/>
          <w:numId w:val="8"/>
        </w:numPr>
        <w:ind w:right="-108"/>
        <w:jc w:val="both"/>
        <w:rPr>
          <w:sz w:val="24"/>
        </w:rPr>
      </w:pPr>
      <w:r w:rsidRPr="00D75DA5">
        <w:rPr>
          <w:sz w:val="24"/>
        </w:rPr>
        <w:t>Основни показатели по консолидираната фискална програма</w:t>
      </w:r>
      <w:r w:rsidRPr="00D75DA5">
        <w:rPr>
          <w:rStyle w:val="FootnoteReference"/>
          <w:sz w:val="24"/>
        </w:rPr>
        <w:footnoteReference w:id="2"/>
      </w:r>
      <w:r w:rsidRPr="00D75DA5">
        <w:rPr>
          <w:sz w:val="24"/>
        </w:rPr>
        <w:t xml:space="preserve"> за 20</w:t>
      </w:r>
      <w:r w:rsidR="001F7F82" w:rsidRPr="00D75DA5">
        <w:rPr>
          <w:sz w:val="24"/>
        </w:rPr>
        <w:t>2</w:t>
      </w:r>
      <w:r w:rsidR="00DC0AEF" w:rsidRPr="00D75DA5">
        <w:rPr>
          <w:sz w:val="24"/>
        </w:rPr>
        <w:t>4</w:t>
      </w:r>
      <w:r w:rsidRPr="00D75DA5">
        <w:rPr>
          <w:sz w:val="24"/>
        </w:rPr>
        <w:t> г.</w:t>
      </w:r>
    </w:p>
    <w:p w:rsidR="00430A35" w:rsidRPr="00DB1B2D" w:rsidRDefault="00430A35" w:rsidP="00430A35">
      <w:pPr>
        <w:rPr>
          <w:color w:val="0070C0"/>
          <w:sz w:val="6"/>
          <w:szCs w:val="12"/>
          <w:highlight w:val="yellow"/>
        </w:rPr>
      </w:pPr>
    </w:p>
    <w:p w:rsidR="00D75DA5" w:rsidRDefault="00D75DA5" w:rsidP="00D75DA5">
      <w:pPr>
        <w:pStyle w:val="BodyText"/>
        <w:spacing w:before="120"/>
        <w:rPr>
          <w:color w:val="0070C0"/>
        </w:rPr>
      </w:pPr>
      <w:r w:rsidRPr="00547775">
        <w:rPr>
          <w:b/>
        </w:rPr>
        <w:t>Постъпилите приходи, помощи и дарения по</w:t>
      </w:r>
      <w:r w:rsidRPr="00547775">
        <w:t xml:space="preserve"> </w:t>
      </w:r>
      <w:r w:rsidRPr="00547775">
        <w:rPr>
          <w:b/>
        </w:rPr>
        <w:t>КФП за 202</w:t>
      </w:r>
      <w:r w:rsidR="00A4224C" w:rsidRPr="00547775">
        <w:rPr>
          <w:b/>
        </w:rPr>
        <w:t>4</w:t>
      </w:r>
      <w:r w:rsidRPr="00547775">
        <w:rPr>
          <w:b/>
        </w:rPr>
        <w:t xml:space="preserve"> г. </w:t>
      </w:r>
      <w:r w:rsidRPr="00547775">
        <w:t xml:space="preserve">представляват </w:t>
      </w:r>
      <w:r w:rsidRPr="00547775">
        <w:rPr>
          <w:b/>
        </w:rPr>
        <w:t>35,</w:t>
      </w:r>
      <w:r w:rsidR="00547775" w:rsidRPr="00547775">
        <w:rPr>
          <w:b/>
          <w:lang w:val="en-US"/>
        </w:rPr>
        <w:t>7</w:t>
      </w:r>
      <w:r w:rsidRPr="00547775">
        <w:rPr>
          <w:b/>
        </w:rPr>
        <w:t xml:space="preserve"> % от </w:t>
      </w:r>
      <w:r w:rsidRPr="00E270EA">
        <w:rPr>
          <w:b/>
        </w:rPr>
        <w:t xml:space="preserve">прогнозния БВП. </w:t>
      </w:r>
      <w:r w:rsidRPr="00E270EA">
        <w:t>За сравнение</w:t>
      </w:r>
      <w:r w:rsidRPr="00E270EA">
        <w:rPr>
          <w:b/>
        </w:rPr>
        <w:t xml:space="preserve">  </w:t>
      </w:r>
      <w:r w:rsidRPr="00E270EA">
        <w:t>през предходната година приходите и помощите</w:t>
      </w:r>
      <w:r w:rsidRPr="00E270EA">
        <w:rPr>
          <w:b/>
        </w:rPr>
        <w:t xml:space="preserve"> </w:t>
      </w:r>
      <w:r w:rsidRPr="00E270EA">
        <w:t xml:space="preserve">са </w:t>
      </w:r>
      <w:r w:rsidR="00E270EA" w:rsidRPr="00E270EA">
        <w:rPr>
          <w:b/>
          <w:lang w:val="en-US"/>
        </w:rPr>
        <w:t>36</w:t>
      </w:r>
      <w:r w:rsidR="00E270EA" w:rsidRPr="00E270EA">
        <w:rPr>
          <w:b/>
        </w:rPr>
        <w:t>,</w:t>
      </w:r>
      <w:r w:rsidR="00521378">
        <w:rPr>
          <w:b/>
          <w:lang w:val="en-US"/>
        </w:rPr>
        <w:t>2</w:t>
      </w:r>
      <w:r w:rsidRPr="00E270EA">
        <w:rPr>
          <w:b/>
        </w:rPr>
        <w:t xml:space="preserve"> % от БВП.</w:t>
      </w:r>
    </w:p>
    <w:p w:rsidR="009A1999" w:rsidRDefault="009A1999" w:rsidP="00D75DA5">
      <w:pPr>
        <w:pStyle w:val="BodyText"/>
        <w:spacing w:before="120"/>
        <w:rPr>
          <w:color w:val="0070C0"/>
        </w:rPr>
      </w:pPr>
      <w:r>
        <w:rPr>
          <w:noProof/>
          <w:lang w:eastAsia="bg-BG"/>
        </w:rPr>
        <w:drawing>
          <wp:inline distT="0" distB="0" distL="0" distR="0" wp14:anchorId="45FC9B5C" wp14:editId="69BB8BCD">
            <wp:extent cx="6123305" cy="2655570"/>
            <wp:effectExtent l="0" t="0" r="10795" b="1143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bl>
      <w:tblPr>
        <w:tblW w:w="10357" w:type="dxa"/>
        <w:tblLook w:val="04A0" w:firstRow="1" w:lastRow="0" w:firstColumn="1" w:lastColumn="0" w:noHBand="0" w:noVBand="1"/>
      </w:tblPr>
      <w:tblGrid>
        <w:gridCol w:w="10357"/>
      </w:tblGrid>
      <w:tr w:rsidR="00D75DA5" w:rsidRPr="00D75DA5" w:rsidTr="00050762">
        <w:tc>
          <w:tcPr>
            <w:tcW w:w="10357" w:type="dxa"/>
            <w:hideMark/>
          </w:tcPr>
          <w:p w:rsidR="00D75DA5" w:rsidRPr="00D75DA5" w:rsidRDefault="00D75DA5" w:rsidP="00050762">
            <w:pPr>
              <w:jc w:val="both"/>
              <w:rPr>
                <w:color w:val="0070C0"/>
                <w:sz w:val="4"/>
                <w:szCs w:val="4"/>
                <w:lang w:val="en-US"/>
              </w:rPr>
            </w:pPr>
          </w:p>
        </w:tc>
      </w:tr>
    </w:tbl>
    <w:p w:rsidR="00D75DA5" w:rsidRPr="00D75DA5" w:rsidRDefault="00D75DA5" w:rsidP="00D75DA5">
      <w:pPr>
        <w:ind w:left="360"/>
        <w:jc w:val="both"/>
        <w:rPr>
          <w:color w:val="0070C0"/>
          <w:sz w:val="8"/>
          <w:szCs w:val="18"/>
        </w:rPr>
      </w:pPr>
    </w:p>
    <w:p w:rsidR="00D75DA5" w:rsidRPr="00D47351" w:rsidRDefault="00D75DA5" w:rsidP="00D75DA5">
      <w:pPr>
        <w:ind w:left="360"/>
        <w:jc w:val="both"/>
        <w:rPr>
          <w:sz w:val="18"/>
          <w:szCs w:val="18"/>
        </w:rPr>
      </w:pPr>
      <w:r w:rsidRPr="00D47351">
        <w:rPr>
          <w:sz w:val="18"/>
          <w:szCs w:val="18"/>
        </w:rPr>
        <w:t>*В частта на преките данъци са включени и други данъци</w:t>
      </w:r>
    </w:p>
    <w:p w:rsidR="00D75DA5" w:rsidRPr="00D75DA5" w:rsidRDefault="00D75DA5" w:rsidP="00D75DA5">
      <w:pPr>
        <w:jc w:val="both"/>
        <w:rPr>
          <w:b/>
          <w:color w:val="0070C0"/>
          <w:sz w:val="16"/>
          <w:highlight w:val="yellow"/>
        </w:rPr>
      </w:pPr>
    </w:p>
    <w:p w:rsidR="00D75DA5" w:rsidRDefault="00D75DA5" w:rsidP="00D75DA5">
      <w:pPr>
        <w:pStyle w:val="BodyText"/>
        <w:spacing w:before="120"/>
      </w:pPr>
      <w:r w:rsidRPr="00077157">
        <w:rPr>
          <w:b/>
        </w:rPr>
        <w:t>Разходите по КФП за 202</w:t>
      </w:r>
      <w:r w:rsidR="00077157" w:rsidRPr="00077157">
        <w:rPr>
          <w:b/>
        </w:rPr>
        <w:t>4</w:t>
      </w:r>
      <w:r w:rsidRPr="00077157">
        <w:rPr>
          <w:b/>
        </w:rPr>
        <w:t xml:space="preserve"> г. </w:t>
      </w:r>
      <w:r w:rsidRPr="00077157">
        <w:t>(включително вноската на Република България в общия бюджет на ЕС)</w:t>
      </w:r>
      <w:r w:rsidRPr="00077157">
        <w:rPr>
          <w:b/>
        </w:rPr>
        <w:t xml:space="preserve"> </w:t>
      </w:r>
      <w:r w:rsidRPr="00077157">
        <w:t xml:space="preserve">представляват </w:t>
      </w:r>
      <w:r w:rsidRPr="00077157">
        <w:rPr>
          <w:b/>
        </w:rPr>
        <w:t>38,</w:t>
      </w:r>
      <w:r w:rsidR="00077157" w:rsidRPr="00077157">
        <w:rPr>
          <w:b/>
        </w:rPr>
        <w:t>8</w:t>
      </w:r>
      <w:r w:rsidRPr="00077157">
        <w:rPr>
          <w:b/>
        </w:rPr>
        <w:t xml:space="preserve"> % от прогнозния БВП </w:t>
      </w:r>
      <w:r w:rsidRPr="00077157">
        <w:t xml:space="preserve">и отбелязват намаление с </w:t>
      </w:r>
      <w:r w:rsidR="00077157" w:rsidRPr="00077157">
        <w:rPr>
          <w:lang w:val="en-US"/>
        </w:rPr>
        <w:t>0</w:t>
      </w:r>
      <w:r w:rsidR="00077157" w:rsidRPr="00077157">
        <w:t>,</w:t>
      </w:r>
      <w:r w:rsidR="00EE2249">
        <w:t>4</w:t>
      </w:r>
      <w:r w:rsidRPr="00077157">
        <w:t> пр. п. спрямо отчетените за 202</w:t>
      </w:r>
      <w:r w:rsidR="00077157" w:rsidRPr="00077157">
        <w:t>3</w:t>
      </w:r>
      <w:r w:rsidRPr="00077157">
        <w:t xml:space="preserve"> г. (39,</w:t>
      </w:r>
      <w:r w:rsidR="00EE2249">
        <w:t>2</w:t>
      </w:r>
      <w:r w:rsidRPr="00077157">
        <w:t> % от БВП).</w:t>
      </w:r>
    </w:p>
    <w:p w:rsidR="0031070F" w:rsidRDefault="0031070F" w:rsidP="00D75DA5">
      <w:pPr>
        <w:pStyle w:val="BodyText"/>
        <w:spacing w:before="120"/>
      </w:pPr>
      <w:r>
        <w:rPr>
          <w:noProof/>
          <w:lang w:eastAsia="bg-BG"/>
        </w:rPr>
        <w:drawing>
          <wp:inline distT="0" distB="0" distL="0" distR="0" wp14:anchorId="7CCA8884" wp14:editId="09639B61">
            <wp:extent cx="6123305" cy="2981325"/>
            <wp:effectExtent l="0" t="0" r="10795" b="952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75DA5" w:rsidRPr="00D75DA5" w:rsidRDefault="00D75DA5" w:rsidP="00D75DA5">
      <w:pPr>
        <w:ind w:firstLine="142"/>
        <w:jc w:val="both"/>
        <w:rPr>
          <w:color w:val="0070C0"/>
          <w:sz w:val="6"/>
          <w:szCs w:val="8"/>
        </w:rPr>
      </w:pPr>
      <w:bookmarkStart w:id="2" w:name="_MON_1608125583"/>
      <w:bookmarkStart w:id="3" w:name="_MON_1608125674"/>
      <w:bookmarkStart w:id="4" w:name="_MON_1608126274"/>
      <w:bookmarkStart w:id="5" w:name="_MON_1608124882"/>
      <w:bookmarkStart w:id="6" w:name="_MON_1608126650"/>
      <w:bookmarkStart w:id="7" w:name="_MON_1608126890"/>
      <w:bookmarkStart w:id="8" w:name="_MON_1608126952"/>
      <w:bookmarkStart w:id="9" w:name="_MON_1608127244"/>
      <w:bookmarkStart w:id="10" w:name="_MON_1608124980"/>
      <w:bookmarkStart w:id="11" w:name="_MON_1608125062"/>
      <w:bookmarkStart w:id="12" w:name="_MON_1608125088"/>
      <w:bookmarkStart w:id="13" w:name="_MON_1608125406"/>
      <w:bookmarkStart w:id="14" w:name="_MON_1609599545"/>
      <w:bookmarkStart w:id="15" w:name="_MON_1609599605"/>
      <w:bookmarkStart w:id="16" w:name="_MON_1608125426"/>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rsidR="00D75DA5" w:rsidRPr="00544CFB" w:rsidRDefault="00D75DA5" w:rsidP="00D75DA5">
      <w:pPr>
        <w:ind w:left="360"/>
        <w:jc w:val="both"/>
        <w:rPr>
          <w:sz w:val="16"/>
          <w:szCs w:val="16"/>
        </w:rPr>
      </w:pPr>
      <w:r w:rsidRPr="00544CFB">
        <w:rPr>
          <w:sz w:val="18"/>
          <w:szCs w:val="16"/>
        </w:rPr>
        <w:t>*</w:t>
      </w:r>
      <w:r w:rsidRPr="00544CFB">
        <w:rPr>
          <w:sz w:val="16"/>
          <w:szCs w:val="16"/>
        </w:rPr>
        <w:t xml:space="preserve"> </w:t>
      </w:r>
      <w:r w:rsidRPr="00544CFB">
        <w:rPr>
          <w:sz w:val="18"/>
          <w:szCs w:val="16"/>
        </w:rPr>
        <w:t>Вкл. нетния прираст на държавния резерв</w:t>
      </w:r>
    </w:p>
    <w:p w:rsidR="00D75DA5" w:rsidRDefault="00D75DA5" w:rsidP="00D75DA5">
      <w:pPr>
        <w:jc w:val="both"/>
        <w:rPr>
          <w:lang w:val="ru-RU"/>
        </w:rPr>
      </w:pPr>
    </w:p>
    <w:p w:rsidR="00D75DA5" w:rsidRDefault="00D75DA5" w:rsidP="001F66D5">
      <w:pPr>
        <w:jc w:val="both"/>
        <w:rPr>
          <w:color w:val="0070C0"/>
          <w:highlight w:val="yellow"/>
        </w:rPr>
      </w:pPr>
    </w:p>
    <w:p w:rsidR="001F66D5" w:rsidRPr="00B0348B" w:rsidRDefault="001F66D5" w:rsidP="001F66D5">
      <w:pPr>
        <w:jc w:val="both"/>
      </w:pPr>
      <w:r w:rsidRPr="00B0348B">
        <w:t>Изпълнението на основните показатели по консолидираната фискална програма за 2024 г. е представено в следната таблица:</w:t>
      </w:r>
    </w:p>
    <w:p w:rsidR="001F66D5" w:rsidRPr="006E7134" w:rsidRDefault="001F66D5" w:rsidP="001F66D5">
      <w:pPr>
        <w:jc w:val="both"/>
        <w:rPr>
          <w:color w:val="0070C0"/>
          <w:sz w:val="4"/>
          <w:szCs w:val="4"/>
        </w:rPr>
      </w:pPr>
    </w:p>
    <w:p w:rsidR="001F66D5" w:rsidRPr="00203782" w:rsidRDefault="001F66D5" w:rsidP="001F66D5">
      <w:pPr>
        <w:spacing w:before="120"/>
        <w:rPr>
          <w:b/>
          <w:i/>
          <w:sz w:val="18"/>
          <w:szCs w:val="18"/>
        </w:rPr>
      </w:pPr>
      <w:r w:rsidRPr="00203782">
        <w:rPr>
          <w:b/>
          <w:i/>
          <w:sz w:val="22"/>
          <w:szCs w:val="22"/>
        </w:rPr>
        <w:lastRenderedPageBreak/>
        <w:t>Таблица</w:t>
      </w:r>
      <w:r w:rsidRPr="00203782">
        <w:rPr>
          <w:b/>
          <w:i/>
          <w:sz w:val="22"/>
          <w:szCs w:val="22"/>
          <w:vertAlign w:val="superscript"/>
        </w:rPr>
        <w:footnoteReference w:id="3"/>
      </w:r>
      <w:r w:rsidRPr="00203782">
        <w:rPr>
          <w:b/>
          <w:i/>
          <w:sz w:val="22"/>
          <w:szCs w:val="22"/>
        </w:rPr>
        <w:t xml:space="preserve"> </w:t>
      </w:r>
      <w:r w:rsidRPr="00203782">
        <w:rPr>
          <w:b/>
          <w:i/>
          <w:sz w:val="22"/>
          <w:szCs w:val="22"/>
        </w:rPr>
        <w:tab/>
      </w:r>
      <w:r w:rsidRPr="00203782">
        <w:rPr>
          <w:b/>
          <w:i/>
          <w:sz w:val="22"/>
          <w:szCs w:val="22"/>
        </w:rPr>
        <w:tab/>
      </w:r>
      <w:r w:rsidRPr="00203782">
        <w:rPr>
          <w:b/>
          <w:i/>
          <w:sz w:val="22"/>
          <w:szCs w:val="22"/>
        </w:rPr>
        <w:tab/>
      </w:r>
      <w:r w:rsidRPr="00203782">
        <w:rPr>
          <w:b/>
          <w:i/>
          <w:sz w:val="22"/>
          <w:szCs w:val="22"/>
        </w:rPr>
        <w:tab/>
      </w:r>
      <w:r w:rsidRPr="00203782">
        <w:rPr>
          <w:b/>
          <w:i/>
          <w:sz w:val="22"/>
          <w:szCs w:val="22"/>
        </w:rPr>
        <w:tab/>
      </w:r>
      <w:r w:rsidRPr="00203782">
        <w:rPr>
          <w:b/>
          <w:i/>
          <w:sz w:val="22"/>
          <w:szCs w:val="22"/>
        </w:rPr>
        <w:tab/>
      </w:r>
      <w:r w:rsidRPr="00203782">
        <w:rPr>
          <w:b/>
          <w:i/>
          <w:sz w:val="22"/>
          <w:szCs w:val="22"/>
        </w:rPr>
        <w:tab/>
      </w:r>
      <w:r w:rsidRPr="00203782">
        <w:rPr>
          <w:b/>
          <w:i/>
          <w:sz w:val="22"/>
          <w:szCs w:val="22"/>
        </w:rPr>
        <w:tab/>
      </w:r>
      <w:r w:rsidRPr="00203782">
        <w:rPr>
          <w:b/>
          <w:i/>
          <w:sz w:val="22"/>
          <w:szCs w:val="22"/>
        </w:rPr>
        <w:tab/>
      </w:r>
      <w:r w:rsidRPr="00203782">
        <w:rPr>
          <w:b/>
          <w:i/>
          <w:sz w:val="22"/>
          <w:szCs w:val="22"/>
        </w:rPr>
        <w:tab/>
      </w:r>
      <w:r w:rsidRPr="00203782">
        <w:rPr>
          <w:b/>
          <w:i/>
          <w:sz w:val="22"/>
          <w:szCs w:val="22"/>
        </w:rPr>
        <w:tab/>
      </w:r>
      <w:r w:rsidRPr="00203782">
        <w:rPr>
          <w:b/>
          <w:i/>
          <w:sz w:val="22"/>
          <w:szCs w:val="22"/>
        </w:rPr>
        <w:tab/>
      </w:r>
      <w:r w:rsidRPr="00203782">
        <w:rPr>
          <w:b/>
          <w:i/>
          <w:sz w:val="18"/>
          <w:szCs w:val="18"/>
        </w:rPr>
        <w:t>(млн. лв.)</w:t>
      </w:r>
    </w:p>
    <w:tbl>
      <w:tblPr>
        <w:tblW w:w="10254" w:type="dxa"/>
        <w:tblInd w:w="98" w:type="dxa"/>
        <w:tblLook w:val="04A0" w:firstRow="1" w:lastRow="0" w:firstColumn="1" w:lastColumn="0" w:noHBand="0" w:noVBand="1"/>
      </w:tblPr>
      <w:tblGrid>
        <w:gridCol w:w="4250"/>
        <w:gridCol w:w="1147"/>
        <w:gridCol w:w="1227"/>
        <w:gridCol w:w="1222"/>
        <w:gridCol w:w="1199"/>
        <w:gridCol w:w="1209"/>
      </w:tblGrid>
      <w:tr w:rsidR="006E7134" w:rsidRPr="006E7134" w:rsidTr="00201ED1">
        <w:trPr>
          <w:trHeight w:val="265"/>
        </w:trPr>
        <w:tc>
          <w:tcPr>
            <w:tcW w:w="4250" w:type="dxa"/>
            <w:vMerge w:val="restart"/>
            <w:tcBorders>
              <w:top w:val="single" w:sz="8" w:space="0" w:color="auto"/>
              <w:left w:val="single" w:sz="8" w:space="0" w:color="auto"/>
              <w:bottom w:val="single" w:sz="4" w:space="0" w:color="000000"/>
              <w:right w:val="nil"/>
            </w:tcBorders>
            <w:shd w:val="clear" w:color="000000" w:fill="D9D9D9"/>
            <w:noWrap/>
            <w:vAlign w:val="bottom"/>
            <w:hideMark/>
          </w:tcPr>
          <w:p w:rsidR="001F66D5" w:rsidRPr="00727072" w:rsidRDefault="001F66D5" w:rsidP="00201ED1">
            <w:pPr>
              <w:jc w:val="center"/>
              <w:rPr>
                <w:b/>
                <w:bCs/>
                <w:sz w:val="18"/>
                <w:szCs w:val="18"/>
              </w:rPr>
            </w:pPr>
            <w:r w:rsidRPr="00727072">
              <w:rPr>
                <w:b/>
                <w:bCs/>
                <w:sz w:val="18"/>
                <w:szCs w:val="18"/>
              </w:rPr>
              <w:t>ПОКАЗАТЕЛ</w:t>
            </w:r>
          </w:p>
        </w:tc>
        <w:tc>
          <w:tcPr>
            <w:tcW w:w="1147" w:type="dxa"/>
            <w:tcBorders>
              <w:top w:val="single" w:sz="8" w:space="0" w:color="auto"/>
              <w:left w:val="single" w:sz="4" w:space="0" w:color="auto"/>
              <w:bottom w:val="nil"/>
              <w:right w:val="single" w:sz="4" w:space="0" w:color="auto"/>
            </w:tcBorders>
            <w:shd w:val="clear" w:color="000000" w:fill="D9D9D9"/>
            <w:noWrap/>
            <w:vAlign w:val="bottom"/>
            <w:hideMark/>
          </w:tcPr>
          <w:p w:rsidR="001F66D5" w:rsidRPr="00727072" w:rsidRDefault="001F66D5" w:rsidP="00201ED1">
            <w:pPr>
              <w:jc w:val="center"/>
              <w:rPr>
                <w:b/>
                <w:bCs/>
                <w:sz w:val="18"/>
                <w:szCs w:val="18"/>
                <w:highlight w:val="yellow"/>
              </w:rPr>
            </w:pPr>
            <w:r w:rsidRPr="00727072">
              <w:rPr>
                <w:b/>
                <w:bCs/>
                <w:sz w:val="18"/>
                <w:szCs w:val="18"/>
              </w:rPr>
              <w:t>Разчет 20</w:t>
            </w:r>
            <w:r w:rsidRPr="00727072">
              <w:rPr>
                <w:b/>
                <w:bCs/>
                <w:sz w:val="18"/>
                <w:szCs w:val="18"/>
                <w:lang w:val="en-US"/>
              </w:rPr>
              <w:t>2</w:t>
            </w:r>
            <w:r w:rsidRPr="00727072">
              <w:rPr>
                <w:b/>
                <w:bCs/>
                <w:sz w:val="18"/>
                <w:szCs w:val="18"/>
              </w:rPr>
              <w:t>4 г.</w:t>
            </w:r>
            <w:r w:rsidRPr="00727072">
              <w:rPr>
                <w:rStyle w:val="FootnoteReference"/>
                <w:b/>
                <w:bCs/>
                <w:sz w:val="18"/>
                <w:szCs w:val="18"/>
              </w:rPr>
              <w:footnoteReference w:id="4"/>
            </w:r>
          </w:p>
        </w:tc>
        <w:tc>
          <w:tcPr>
            <w:tcW w:w="3648" w:type="dxa"/>
            <w:gridSpan w:val="3"/>
            <w:tcBorders>
              <w:top w:val="single" w:sz="8" w:space="0" w:color="auto"/>
              <w:left w:val="nil"/>
              <w:bottom w:val="single" w:sz="4" w:space="0" w:color="auto"/>
              <w:right w:val="single" w:sz="4" w:space="0" w:color="auto"/>
            </w:tcBorders>
            <w:shd w:val="clear" w:color="000000" w:fill="D9D9D9"/>
            <w:noWrap/>
            <w:vAlign w:val="center"/>
            <w:hideMark/>
          </w:tcPr>
          <w:p w:rsidR="001F66D5" w:rsidRPr="00727072" w:rsidRDefault="001F66D5" w:rsidP="00727072">
            <w:pPr>
              <w:jc w:val="center"/>
              <w:rPr>
                <w:b/>
                <w:bCs/>
                <w:sz w:val="18"/>
                <w:szCs w:val="18"/>
              </w:rPr>
            </w:pPr>
            <w:r w:rsidRPr="00727072">
              <w:rPr>
                <w:b/>
                <w:bCs/>
                <w:sz w:val="18"/>
                <w:szCs w:val="18"/>
              </w:rPr>
              <w:t xml:space="preserve">Отчет </w:t>
            </w:r>
            <w:r w:rsidR="00727072" w:rsidRPr="00727072">
              <w:rPr>
                <w:b/>
                <w:bCs/>
                <w:sz w:val="18"/>
                <w:szCs w:val="18"/>
              </w:rPr>
              <w:t>за</w:t>
            </w:r>
            <w:r w:rsidRPr="00727072">
              <w:rPr>
                <w:b/>
                <w:bCs/>
                <w:sz w:val="18"/>
                <w:szCs w:val="18"/>
              </w:rPr>
              <w:t xml:space="preserve"> 20</w:t>
            </w:r>
            <w:r w:rsidRPr="00727072">
              <w:rPr>
                <w:b/>
                <w:bCs/>
                <w:sz w:val="18"/>
                <w:szCs w:val="18"/>
                <w:lang w:val="en-US"/>
              </w:rPr>
              <w:t>24</w:t>
            </w:r>
            <w:r w:rsidRPr="00727072">
              <w:rPr>
                <w:b/>
                <w:bCs/>
                <w:sz w:val="18"/>
                <w:szCs w:val="18"/>
              </w:rPr>
              <w:t xml:space="preserve"> г.</w:t>
            </w:r>
          </w:p>
        </w:tc>
        <w:tc>
          <w:tcPr>
            <w:tcW w:w="1209" w:type="dxa"/>
            <w:tcBorders>
              <w:top w:val="single" w:sz="8" w:space="0" w:color="auto"/>
              <w:left w:val="nil"/>
              <w:bottom w:val="nil"/>
              <w:right w:val="single" w:sz="8" w:space="0" w:color="auto"/>
            </w:tcBorders>
            <w:shd w:val="clear" w:color="000000" w:fill="D9D9D9"/>
            <w:noWrap/>
            <w:vAlign w:val="bottom"/>
            <w:hideMark/>
          </w:tcPr>
          <w:p w:rsidR="001F66D5" w:rsidRPr="00727072" w:rsidRDefault="001F66D5" w:rsidP="00201ED1">
            <w:pPr>
              <w:jc w:val="center"/>
              <w:rPr>
                <w:b/>
                <w:bCs/>
                <w:sz w:val="18"/>
                <w:szCs w:val="18"/>
              </w:rPr>
            </w:pPr>
            <w:r w:rsidRPr="00727072">
              <w:rPr>
                <w:b/>
                <w:bCs/>
                <w:sz w:val="18"/>
                <w:szCs w:val="18"/>
              </w:rPr>
              <w:t>Изпълнение</w:t>
            </w:r>
          </w:p>
        </w:tc>
      </w:tr>
      <w:tr w:rsidR="006E7134" w:rsidRPr="006E7134" w:rsidTr="00201ED1">
        <w:trPr>
          <w:trHeight w:val="250"/>
        </w:trPr>
        <w:tc>
          <w:tcPr>
            <w:tcW w:w="4250" w:type="dxa"/>
            <w:vMerge/>
            <w:tcBorders>
              <w:top w:val="single" w:sz="8" w:space="0" w:color="auto"/>
              <w:left w:val="single" w:sz="8" w:space="0" w:color="auto"/>
              <w:bottom w:val="single" w:sz="4" w:space="0" w:color="000000"/>
              <w:right w:val="nil"/>
            </w:tcBorders>
            <w:vAlign w:val="center"/>
            <w:hideMark/>
          </w:tcPr>
          <w:p w:rsidR="001F66D5" w:rsidRPr="00727072" w:rsidRDefault="001F66D5" w:rsidP="00201ED1">
            <w:pPr>
              <w:rPr>
                <w:b/>
                <w:bCs/>
                <w:sz w:val="18"/>
                <w:szCs w:val="18"/>
              </w:rPr>
            </w:pPr>
          </w:p>
        </w:tc>
        <w:tc>
          <w:tcPr>
            <w:tcW w:w="1147" w:type="dxa"/>
            <w:tcBorders>
              <w:top w:val="nil"/>
              <w:left w:val="single" w:sz="4" w:space="0" w:color="auto"/>
              <w:bottom w:val="single" w:sz="4" w:space="0" w:color="auto"/>
              <w:right w:val="single" w:sz="4" w:space="0" w:color="auto"/>
            </w:tcBorders>
            <w:shd w:val="clear" w:color="000000" w:fill="D9D9D9"/>
            <w:noWrap/>
            <w:vAlign w:val="bottom"/>
            <w:hideMark/>
          </w:tcPr>
          <w:p w:rsidR="001F66D5" w:rsidRPr="00727072" w:rsidRDefault="001F66D5" w:rsidP="00201ED1">
            <w:pPr>
              <w:jc w:val="center"/>
              <w:rPr>
                <w:b/>
                <w:bCs/>
                <w:sz w:val="18"/>
                <w:szCs w:val="18"/>
              </w:rPr>
            </w:pPr>
            <w:r w:rsidRPr="00727072">
              <w:rPr>
                <w:b/>
                <w:bCs/>
                <w:sz w:val="18"/>
                <w:szCs w:val="18"/>
              </w:rPr>
              <w:t xml:space="preserve"> КФП</w:t>
            </w:r>
          </w:p>
        </w:tc>
        <w:tc>
          <w:tcPr>
            <w:tcW w:w="1227" w:type="dxa"/>
            <w:tcBorders>
              <w:top w:val="nil"/>
              <w:left w:val="nil"/>
              <w:bottom w:val="single" w:sz="4" w:space="0" w:color="auto"/>
              <w:right w:val="single" w:sz="4" w:space="0" w:color="auto"/>
            </w:tcBorders>
            <w:shd w:val="clear" w:color="000000" w:fill="D9D9D9"/>
            <w:noWrap/>
            <w:vAlign w:val="bottom"/>
            <w:hideMark/>
          </w:tcPr>
          <w:p w:rsidR="001F66D5" w:rsidRPr="00727072" w:rsidRDefault="001F66D5" w:rsidP="00201ED1">
            <w:pPr>
              <w:jc w:val="center"/>
              <w:rPr>
                <w:b/>
                <w:bCs/>
                <w:sz w:val="18"/>
                <w:szCs w:val="18"/>
              </w:rPr>
            </w:pPr>
            <w:r w:rsidRPr="00727072">
              <w:rPr>
                <w:b/>
                <w:bCs/>
                <w:sz w:val="18"/>
                <w:szCs w:val="18"/>
              </w:rPr>
              <w:t xml:space="preserve"> КФП</w:t>
            </w:r>
          </w:p>
        </w:tc>
        <w:tc>
          <w:tcPr>
            <w:tcW w:w="1222" w:type="dxa"/>
            <w:tcBorders>
              <w:top w:val="nil"/>
              <w:left w:val="nil"/>
              <w:bottom w:val="single" w:sz="4" w:space="0" w:color="auto"/>
              <w:right w:val="single" w:sz="4" w:space="0" w:color="auto"/>
            </w:tcBorders>
            <w:shd w:val="clear" w:color="000000" w:fill="D9D9D9"/>
            <w:noWrap/>
            <w:vAlign w:val="bottom"/>
            <w:hideMark/>
          </w:tcPr>
          <w:p w:rsidR="001F66D5" w:rsidRPr="00727072" w:rsidRDefault="001F66D5" w:rsidP="00201ED1">
            <w:pPr>
              <w:jc w:val="center"/>
              <w:rPr>
                <w:b/>
                <w:bCs/>
                <w:sz w:val="18"/>
                <w:szCs w:val="18"/>
              </w:rPr>
            </w:pPr>
            <w:r w:rsidRPr="00727072">
              <w:rPr>
                <w:b/>
                <w:bCs/>
                <w:sz w:val="18"/>
                <w:szCs w:val="18"/>
              </w:rPr>
              <w:t>Национален бюджет</w:t>
            </w:r>
          </w:p>
        </w:tc>
        <w:tc>
          <w:tcPr>
            <w:tcW w:w="1199" w:type="dxa"/>
            <w:tcBorders>
              <w:top w:val="nil"/>
              <w:left w:val="nil"/>
              <w:bottom w:val="single" w:sz="4" w:space="0" w:color="auto"/>
              <w:right w:val="single" w:sz="4" w:space="0" w:color="auto"/>
            </w:tcBorders>
            <w:shd w:val="clear" w:color="000000" w:fill="D9D9D9"/>
            <w:noWrap/>
            <w:vAlign w:val="bottom"/>
            <w:hideMark/>
          </w:tcPr>
          <w:p w:rsidR="001F66D5" w:rsidRPr="00727072" w:rsidRDefault="001F66D5" w:rsidP="00201ED1">
            <w:pPr>
              <w:jc w:val="center"/>
              <w:rPr>
                <w:b/>
                <w:bCs/>
                <w:sz w:val="18"/>
                <w:szCs w:val="18"/>
              </w:rPr>
            </w:pPr>
            <w:r w:rsidRPr="00727072">
              <w:rPr>
                <w:b/>
                <w:bCs/>
                <w:sz w:val="18"/>
                <w:szCs w:val="18"/>
              </w:rPr>
              <w:t>Европейски средства</w:t>
            </w:r>
          </w:p>
        </w:tc>
        <w:tc>
          <w:tcPr>
            <w:tcW w:w="1209" w:type="dxa"/>
            <w:tcBorders>
              <w:top w:val="nil"/>
              <w:left w:val="nil"/>
              <w:bottom w:val="single" w:sz="4" w:space="0" w:color="auto"/>
              <w:right w:val="single" w:sz="8" w:space="0" w:color="auto"/>
            </w:tcBorders>
            <w:shd w:val="clear" w:color="000000" w:fill="D9D9D9"/>
            <w:noWrap/>
            <w:vAlign w:val="bottom"/>
            <w:hideMark/>
          </w:tcPr>
          <w:p w:rsidR="001F66D5" w:rsidRPr="00727072" w:rsidRDefault="001F66D5" w:rsidP="00201ED1">
            <w:pPr>
              <w:jc w:val="center"/>
              <w:rPr>
                <w:b/>
                <w:bCs/>
                <w:sz w:val="18"/>
                <w:szCs w:val="18"/>
              </w:rPr>
            </w:pPr>
            <w:r w:rsidRPr="00727072">
              <w:rPr>
                <w:b/>
                <w:bCs/>
                <w:sz w:val="18"/>
                <w:szCs w:val="18"/>
              </w:rPr>
              <w:t>спрямо разчет</w:t>
            </w:r>
          </w:p>
        </w:tc>
      </w:tr>
      <w:tr w:rsidR="006E7134" w:rsidRPr="006E7134" w:rsidTr="00201ED1">
        <w:trPr>
          <w:trHeight w:val="265"/>
        </w:trPr>
        <w:tc>
          <w:tcPr>
            <w:tcW w:w="4250" w:type="dxa"/>
            <w:tcBorders>
              <w:top w:val="nil"/>
              <w:left w:val="single" w:sz="8" w:space="0" w:color="auto"/>
              <w:bottom w:val="single" w:sz="8" w:space="0" w:color="auto"/>
              <w:right w:val="nil"/>
            </w:tcBorders>
            <w:shd w:val="clear" w:color="000000" w:fill="D9D9D9"/>
            <w:noWrap/>
            <w:vAlign w:val="bottom"/>
            <w:hideMark/>
          </w:tcPr>
          <w:p w:rsidR="001F66D5" w:rsidRPr="00727072" w:rsidRDefault="001F66D5" w:rsidP="00201ED1">
            <w:pPr>
              <w:jc w:val="center"/>
              <w:rPr>
                <w:sz w:val="18"/>
                <w:szCs w:val="18"/>
              </w:rPr>
            </w:pPr>
            <w:r w:rsidRPr="00727072">
              <w:rPr>
                <w:sz w:val="18"/>
                <w:szCs w:val="18"/>
              </w:rPr>
              <w:t>к.1</w:t>
            </w:r>
          </w:p>
        </w:tc>
        <w:tc>
          <w:tcPr>
            <w:tcW w:w="1147" w:type="dxa"/>
            <w:tcBorders>
              <w:top w:val="nil"/>
              <w:left w:val="single" w:sz="4" w:space="0" w:color="auto"/>
              <w:bottom w:val="single" w:sz="8" w:space="0" w:color="auto"/>
              <w:right w:val="single" w:sz="4" w:space="0" w:color="auto"/>
            </w:tcBorders>
            <w:shd w:val="clear" w:color="000000" w:fill="D9D9D9"/>
            <w:noWrap/>
            <w:vAlign w:val="bottom"/>
            <w:hideMark/>
          </w:tcPr>
          <w:p w:rsidR="001F66D5" w:rsidRPr="00727072" w:rsidRDefault="001F66D5" w:rsidP="00201ED1">
            <w:pPr>
              <w:jc w:val="center"/>
              <w:rPr>
                <w:bCs/>
                <w:sz w:val="18"/>
                <w:szCs w:val="18"/>
              </w:rPr>
            </w:pPr>
            <w:r w:rsidRPr="00727072">
              <w:rPr>
                <w:bCs/>
                <w:sz w:val="18"/>
                <w:szCs w:val="18"/>
              </w:rPr>
              <w:t>к.2</w:t>
            </w:r>
          </w:p>
        </w:tc>
        <w:tc>
          <w:tcPr>
            <w:tcW w:w="1227" w:type="dxa"/>
            <w:tcBorders>
              <w:top w:val="nil"/>
              <w:left w:val="nil"/>
              <w:bottom w:val="single" w:sz="8" w:space="0" w:color="auto"/>
              <w:right w:val="single" w:sz="4" w:space="0" w:color="auto"/>
            </w:tcBorders>
            <w:shd w:val="clear" w:color="000000" w:fill="D9D9D9"/>
            <w:noWrap/>
            <w:vAlign w:val="bottom"/>
            <w:hideMark/>
          </w:tcPr>
          <w:p w:rsidR="001F66D5" w:rsidRPr="00727072" w:rsidRDefault="001F66D5" w:rsidP="00201ED1">
            <w:pPr>
              <w:jc w:val="center"/>
              <w:rPr>
                <w:sz w:val="18"/>
                <w:szCs w:val="18"/>
              </w:rPr>
            </w:pPr>
            <w:r w:rsidRPr="00727072">
              <w:rPr>
                <w:sz w:val="18"/>
                <w:szCs w:val="18"/>
              </w:rPr>
              <w:t>к.3=к.4+к.5</w:t>
            </w:r>
          </w:p>
        </w:tc>
        <w:tc>
          <w:tcPr>
            <w:tcW w:w="1222" w:type="dxa"/>
            <w:tcBorders>
              <w:top w:val="nil"/>
              <w:left w:val="nil"/>
              <w:bottom w:val="single" w:sz="8" w:space="0" w:color="auto"/>
              <w:right w:val="single" w:sz="4" w:space="0" w:color="auto"/>
            </w:tcBorders>
            <w:shd w:val="clear" w:color="000000" w:fill="D9D9D9"/>
            <w:noWrap/>
            <w:vAlign w:val="bottom"/>
            <w:hideMark/>
          </w:tcPr>
          <w:p w:rsidR="001F66D5" w:rsidRPr="00727072" w:rsidRDefault="001F66D5" w:rsidP="00201ED1">
            <w:pPr>
              <w:jc w:val="center"/>
              <w:rPr>
                <w:sz w:val="18"/>
                <w:szCs w:val="18"/>
              </w:rPr>
            </w:pPr>
            <w:r w:rsidRPr="00727072">
              <w:rPr>
                <w:sz w:val="18"/>
                <w:szCs w:val="18"/>
              </w:rPr>
              <w:t>к.4</w:t>
            </w:r>
          </w:p>
        </w:tc>
        <w:tc>
          <w:tcPr>
            <w:tcW w:w="1199" w:type="dxa"/>
            <w:tcBorders>
              <w:top w:val="nil"/>
              <w:left w:val="nil"/>
              <w:bottom w:val="single" w:sz="8" w:space="0" w:color="auto"/>
              <w:right w:val="single" w:sz="4" w:space="0" w:color="auto"/>
            </w:tcBorders>
            <w:shd w:val="clear" w:color="000000" w:fill="D9D9D9"/>
            <w:noWrap/>
            <w:vAlign w:val="bottom"/>
            <w:hideMark/>
          </w:tcPr>
          <w:p w:rsidR="001F66D5" w:rsidRPr="00727072" w:rsidRDefault="001F66D5" w:rsidP="00201ED1">
            <w:pPr>
              <w:jc w:val="center"/>
              <w:rPr>
                <w:sz w:val="18"/>
                <w:szCs w:val="18"/>
              </w:rPr>
            </w:pPr>
            <w:r w:rsidRPr="00727072">
              <w:rPr>
                <w:sz w:val="18"/>
                <w:szCs w:val="18"/>
              </w:rPr>
              <w:t>к.5</w:t>
            </w:r>
          </w:p>
        </w:tc>
        <w:tc>
          <w:tcPr>
            <w:tcW w:w="1209" w:type="dxa"/>
            <w:tcBorders>
              <w:top w:val="nil"/>
              <w:left w:val="nil"/>
              <w:bottom w:val="single" w:sz="8" w:space="0" w:color="auto"/>
              <w:right w:val="single" w:sz="8" w:space="0" w:color="auto"/>
            </w:tcBorders>
            <w:shd w:val="clear" w:color="000000" w:fill="D9D9D9"/>
            <w:noWrap/>
            <w:vAlign w:val="bottom"/>
            <w:hideMark/>
          </w:tcPr>
          <w:p w:rsidR="001F66D5" w:rsidRPr="00727072" w:rsidRDefault="001F66D5" w:rsidP="00201ED1">
            <w:pPr>
              <w:jc w:val="center"/>
              <w:rPr>
                <w:bCs/>
                <w:sz w:val="18"/>
                <w:szCs w:val="18"/>
              </w:rPr>
            </w:pPr>
            <w:r w:rsidRPr="00727072">
              <w:rPr>
                <w:bCs/>
                <w:sz w:val="18"/>
                <w:szCs w:val="18"/>
              </w:rPr>
              <w:t>к.6=к.3:к.2</w:t>
            </w:r>
          </w:p>
        </w:tc>
      </w:tr>
      <w:tr w:rsidR="00394D15" w:rsidRPr="006E7134" w:rsidTr="00201ED1">
        <w:trPr>
          <w:trHeight w:val="250"/>
        </w:trPr>
        <w:tc>
          <w:tcPr>
            <w:tcW w:w="4250" w:type="dxa"/>
            <w:tcBorders>
              <w:top w:val="single" w:sz="8" w:space="0" w:color="auto"/>
              <w:left w:val="single" w:sz="8" w:space="0" w:color="auto"/>
              <w:bottom w:val="nil"/>
              <w:right w:val="single" w:sz="4" w:space="0" w:color="auto"/>
            </w:tcBorders>
            <w:shd w:val="clear" w:color="auto" w:fill="auto"/>
            <w:noWrap/>
            <w:vAlign w:val="bottom"/>
            <w:hideMark/>
          </w:tcPr>
          <w:p w:rsidR="00394D15" w:rsidRPr="00727072" w:rsidRDefault="00394D15" w:rsidP="00394D15">
            <w:pPr>
              <w:rPr>
                <w:b/>
                <w:bCs/>
                <w:sz w:val="18"/>
                <w:szCs w:val="18"/>
              </w:rPr>
            </w:pPr>
            <w:r w:rsidRPr="00727072">
              <w:rPr>
                <w:b/>
                <w:bCs/>
                <w:sz w:val="18"/>
                <w:szCs w:val="18"/>
              </w:rPr>
              <w:t>ПРИХОДИ, ПОМОЩИ И ДАРЕНИЯ</w:t>
            </w:r>
          </w:p>
        </w:tc>
        <w:tc>
          <w:tcPr>
            <w:tcW w:w="1147" w:type="dxa"/>
            <w:tcBorders>
              <w:top w:val="nil"/>
              <w:left w:val="nil"/>
              <w:bottom w:val="nil"/>
              <w:right w:val="nil"/>
            </w:tcBorders>
            <w:shd w:val="clear" w:color="auto" w:fill="auto"/>
            <w:noWrap/>
            <w:vAlign w:val="bottom"/>
            <w:hideMark/>
          </w:tcPr>
          <w:p w:rsidR="00394D15" w:rsidRPr="00727072" w:rsidRDefault="00394D15" w:rsidP="00394D15">
            <w:pPr>
              <w:jc w:val="right"/>
              <w:rPr>
                <w:b/>
                <w:bCs/>
                <w:sz w:val="18"/>
                <w:szCs w:val="18"/>
              </w:rPr>
            </w:pPr>
            <w:r w:rsidRPr="00727072">
              <w:rPr>
                <w:b/>
                <w:bCs/>
                <w:sz w:val="18"/>
                <w:szCs w:val="18"/>
              </w:rPr>
              <w:t>75 289,7</w:t>
            </w:r>
          </w:p>
        </w:tc>
        <w:tc>
          <w:tcPr>
            <w:tcW w:w="1227" w:type="dxa"/>
            <w:tcBorders>
              <w:top w:val="nil"/>
              <w:left w:val="nil"/>
              <w:bottom w:val="nil"/>
              <w:right w:val="nil"/>
            </w:tcBorders>
            <w:shd w:val="clear" w:color="auto" w:fill="auto"/>
            <w:noWrap/>
            <w:vAlign w:val="bottom"/>
            <w:hideMark/>
          </w:tcPr>
          <w:p w:rsidR="00394D15" w:rsidRPr="006E7134" w:rsidRDefault="00394D15" w:rsidP="00394D15">
            <w:pPr>
              <w:jc w:val="right"/>
              <w:rPr>
                <w:b/>
                <w:bCs/>
                <w:color w:val="0070C0"/>
                <w:sz w:val="18"/>
                <w:szCs w:val="18"/>
              </w:rPr>
            </w:pPr>
            <w:r>
              <w:rPr>
                <w:b/>
                <w:bCs/>
                <w:sz w:val="18"/>
                <w:szCs w:val="18"/>
              </w:rPr>
              <w:t>71 999,2</w:t>
            </w:r>
          </w:p>
        </w:tc>
        <w:tc>
          <w:tcPr>
            <w:tcW w:w="1222" w:type="dxa"/>
            <w:tcBorders>
              <w:top w:val="nil"/>
              <w:left w:val="nil"/>
              <w:bottom w:val="nil"/>
              <w:right w:val="nil"/>
            </w:tcBorders>
            <w:shd w:val="clear" w:color="auto" w:fill="auto"/>
            <w:noWrap/>
            <w:vAlign w:val="bottom"/>
            <w:hideMark/>
          </w:tcPr>
          <w:p w:rsidR="00394D15" w:rsidRPr="006E7134" w:rsidRDefault="00394D15" w:rsidP="00394D15">
            <w:pPr>
              <w:jc w:val="right"/>
              <w:rPr>
                <w:b/>
                <w:bCs/>
                <w:color w:val="0070C0"/>
                <w:sz w:val="18"/>
                <w:szCs w:val="18"/>
              </w:rPr>
            </w:pPr>
            <w:r>
              <w:rPr>
                <w:b/>
                <w:bCs/>
                <w:sz w:val="18"/>
                <w:szCs w:val="18"/>
              </w:rPr>
              <w:t>68 555,8</w:t>
            </w:r>
          </w:p>
        </w:tc>
        <w:tc>
          <w:tcPr>
            <w:tcW w:w="1199" w:type="dxa"/>
            <w:tcBorders>
              <w:top w:val="nil"/>
              <w:left w:val="nil"/>
              <w:bottom w:val="nil"/>
              <w:right w:val="nil"/>
            </w:tcBorders>
            <w:shd w:val="clear" w:color="auto" w:fill="auto"/>
            <w:noWrap/>
            <w:vAlign w:val="bottom"/>
            <w:hideMark/>
          </w:tcPr>
          <w:p w:rsidR="00394D15" w:rsidRPr="006E7134" w:rsidRDefault="00394D15" w:rsidP="00394D15">
            <w:pPr>
              <w:jc w:val="right"/>
              <w:rPr>
                <w:b/>
                <w:bCs/>
                <w:color w:val="0070C0"/>
                <w:sz w:val="18"/>
                <w:szCs w:val="18"/>
              </w:rPr>
            </w:pPr>
            <w:r>
              <w:rPr>
                <w:b/>
                <w:bCs/>
                <w:sz w:val="18"/>
                <w:szCs w:val="18"/>
              </w:rPr>
              <w:t>3 443,4</w:t>
            </w:r>
          </w:p>
        </w:tc>
        <w:tc>
          <w:tcPr>
            <w:tcW w:w="1209" w:type="dxa"/>
            <w:tcBorders>
              <w:top w:val="single" w:sz="8" w:space="0" w:color="auto"/>
              <w:left w:val="nil"/>
              <w:bottom w:val="nil"/>
              <w:right w:val="single" w:sz="8" w:space="0" w:color="auto"/>
            </w:tcBorders>
            <w:shd w:val="clear" w:color="auto" w:fill="auto"/>
            <w:noWrap/>
            <w:vAlign w:val="bottom"/>
            <w:hideMark/>
          </w:tcPr>
          <w:p w:rsidR="00394D15" w:rsidRPr="006E7134" w:rsidRDefault="00394D15" w:rsidP="00394D15">
            <w:pPr>
              <w:jc w:val="right"/>
              <w:rPr>
                <w:b/>
                <w:bCs/>
                <w:color w:val="0070C0"/>
                <w:sz w:val="18"/>
                <w:szCs w:val="18"/>
              </w:rPr>
            </w:pPr>
            <w:r>
              <w:rPr>
                <w:b/>
                <w:bCs/>
                <w:sz w:val="18"/>
                <w:szCs w:val="18"/>
              </w:rPr>
              <w:t>95,6%</w:t>
            </w:r>
          </w:p>
        </w:tc>
      </w:tr>
      <w:tr w:rsidR="00394D15" w:rsidRPr="006E7134" w:rsidTr="00201ED1">
        <w:trPr>
          <w:trHeight w:val="250"/>
        </w:trPr>
        <w:tc>
          <w:tcPr>
            <w:tcW w:w="4250" w:type="dxa"/>
            <w:tcBorders>
              <w:top w:val="nil"/>
              <w:left w:val="single" w:sz="8" w:space="0" w:color="auto"/>
              <w:bottom w:val="nil"/>
              <w:right w:val="single" w:sz="4" w:space="0" w:color="auto"/>
            </w:tcBorders>
            <w:shd w:val="clear" w:color="auto" w:fill="auto"/>
            <w:noWrap/>
            <w:vAlign w:val="bottom"/>
            <w:hideMark/>
          </w:tcPr>
          <w:p w:rsidR="00394D15" w:rsidRPr="00727072" w:rsidRDefault="00394D15" w:rsidP="00394D15">
            <w:pPr>
              <w:rPr>
                <w:sz w:val="18"/>
                <w:szCs w:val="18"/>
              </w:rPr>
            </w:pPr>
            <w:r w:rsidRPr="00727072">
              <w:rPr>
                <w:sz w:val="18"/>
                <w:szCs w:val="18"/>
              </w:rPr>
              <w:t xml:space="preserve">  Данъчни приходи</w:t>
            </w:r>
          </w:p>
        </w:tc>
        <w:tc>
          <w:tcPr>
            <w:tcW w:w="1147" w:type="dxa"/>
            <w:tcBorders>
              <w:top w:val="nil"/>
              <w:left w:val="nil"/>
              <w:bottom w:val="nil"/>
              <w:right w:val="nil"/>
            </w:tcBorders>
            <w:shd w:val="clear" w:color="auto" w:fill="auto"/>
            <w:noWrap/>
            <w:vAlign w:val="bottom"/>
            <w:hideMark/>
          </w:tcPr>
          <w:p w:rsidR="00394D15" w:rsidRPr="00727072" w:rsidRDefault="00394D15" w:rsidP="00394D15">
            <w:pPr>
              <w:jc w:val="right"/>
              <w:rPr>
                <w:sz w:val="18"/>
                <w:szCs w:val="18"/>
              </w:rPr>
            </w:pPr>
            <w:r w:rsidRPr="00727072">
              <w:rPr>
                <w:sz w:val="18"/>
                <w:szCs w:val="18"/>
              </w:rPr>
              <w:t>57 950,8</w:t>
            </w:r>
          </w:p>
        </w:tc>
        <w:tc>
          <w:tcPr>
            <w:tcW w:w="1227" w:type="dxa"/>
            <w:tcBorders>
              <w:top w:val="nil"/>
              <w:left w:val="nil"/>
              <w:bottom w:val="nil"/>
              <w:right w:val="nil"/>
            </w:tcBorders>
            <w:shd w:val="clear" w:color="auto" w:fill="auto"/>
            <w:noWrap/>
            <w:vAlign w:val="bottom"/>
            <w:hideMark/>
          </w:tcPr>
          <w:p w:rsidR="00394D15" w:rsidRPr="006E7134" w:rsidRDefault="00394D15" w:rsidP="00394D15">
            <w:pPr>
              <w:jc w:val="right"/>
              <w:rPr>
                <w:color w:val="0070C0"/>
                <w:sz w:val="18"/>
                <w:szCs w:val="18"/>
              </w:rPr>
            </w:pPr>
            <w:r>
              <w:rPr>
                <w:sz w:val="18"/>
                <w:szCs w:val="18"/>
              </w:rPr>
              <w:t>58 700,2</w:t>
            </w:r>
          </w:p>
        </w:tc>
        <w:tc>
          <w:tcPr>
            <w:tcW w:w="1222" w:type="dxa"/>
            <w:tcBorders>
              <w:top w:val="nil"/>
              <w:left w:val="nil"/>
              <w:bottom w:val="nil"/>
              <w:right w:val="nil"/>
            </w:tcBorders>
            <w:shd w:val="clear" w:color="auto" w:fill="auto"/>
            <w:noWrap/>
            <w:vAlign w:val="bottom"/>
            <w:hideMark/>
          </w:tcPr>
          <w:p w:rsidR="00394D15" w:rsidRPr="006E7134" w:rsidRDefault="00394D15" w:rsidP="00394D15">
            <w:pPr>
              <w:jc w:val="right"/>
              <w:rPr>
                <w:color w:val="0070C0"/>
                <w:sz w:val="18"/>
                <w:szCs w:val="18"/>
              </w:rPr>
            </w:pPr>
            <w:r>
              <w:rPr>
                <w:sz w:val="18"/>
                <w:szCs w:val="18"/>
              </w:rPr>
              <w:t>58 700,2</w:t>
            </w:r>
          </w:p>
        </w:tc>
        <w:tc>
          <w:tcPr>
            <w:tcW w:w="1199" w:type="dxa"/>
            <w:tcBorders>
              <w:top w:val="nil"/>
              <w:left w:val="nil"/>
              <w:bottom w:val="nil"/>
              <w:right w:val="nil"/>
            </w:tcBorders>
            <w:shd w:val="clear" w:color="auto" w:fill="auto"/>
            <w:noWrap/>
            <w:vAlign w:val="bottom"/>
            <w:hideMark/>
          </w:tcPr>
          <w:p w:rsidR="00394D15" w:rsidRPr="006E7134" w:rsidRDefault="00394D15" w:rsidP="00394D15">
            <w:pPr>
              <w:jc w:val="right"/>
              <w:rPr>
                <w:color w:val="0070C0"/>
                <w:sz w:val="18"/>
                <w:szCs w:val="18"/>
              </w:rPr>
            </w:pPr>
          </w:p>
        </w:tc>
        <w:tc>
          <w:tcPr>
            <w:tcW w:w="1209" w:type="dxa"/>
            <w:tcBorders>
              <w:top w:val="nil"/>
              <w:left w:val="nil"/>
              <w:bottom w:val="nil"/>
              <w:right w:val="single" w:sz="8" w:space="0" w:color="auto"/>
            </w:tcBorders>
            <w:shd w:val="clear" w:color="auto" w:fill="auto"/>
            <w:noWrap/>
            <w:vAlign w:val="bottom"/>
            <w:hideMark/>
          </w:tcPr>
          <w:p w:rsidR="00394D15" w:rsidRPr="006E7134" w:rsidRDefault="00394D15" w:rsidP="00394D15">
            <w:pPr>
              <w:jc w:val="right"/>
              <w:rPr>
                <w:color w:val="0070C0"/>
                <w:sz w:val="18"/>
                <w:szCs w:val="18"/>
              </w:rPr>
            </w:pPr>
            <w:r>
              <w:rPr>
                <w:sz w:val="18"/>
                <w:szCs w:val="18"/>
              </w:rPr>
              <w:t>101,3%</w:t>
            </w:r>
          </w:p>
        </w:tc>
      </w:tr>
      <w:tr w:rsidR="00394D15" w:rsidRPr="006E7134" w:rsidTr="00201ED1">
        <w:trPr>
          <w:trHeight w:val="250"/>
        </w:trPr>
        <w:tc>
          <w:tcPr>
            <w:tcW w:w="4250" w:type="dxa"/>
            <w:tcBorders>
              <w:top w:val="nil"/>
              <w:left w:val="single" w:sz="8" w:space="0" w:color="auto"/>
              <w:bottom w:val="nil"/>
              <w:right w:val="single" w:sz="4" w:space="0" w:color="auto"/>
            </w:tcBorders>
            <w:shd w:val="clear" w:color="auto" w:fill="auto"/>
            <w:noWrap/>
            <w:vAlign w:val="bottom"/>
            <w:hideMark/>
          </w:tcPr>
          <w:p w:rsidR="00394D15" w:rsidRPr="00727072" w:rsidRDefault="00394D15" w:rsidP="00394D15">
            <w:pPr>
              <w:rPr>
                <w:sz w:val="18"/>
                <w:szCs w:val="18"/>
              </w:rPr>
            </w:pPr>
            <w:r w:rsidRPr="00727072">
              <w:rPr>
                <w:sz w:val="18"/>
                <w:szCs w:val="18"/>
              </w:rPr>
              <w:t xml:space="preserve">  Неданъчни приходи</w:t>
            </w:r>
          </w:p>
        </w:tc>
        <w:tc>
          <w:tcPr>
            <w:tcW w:w="1147" w:type="dxa"/>
            <w:tcBorders>
              <w:top w:val="nil"/>
              <w:left w:val="nil"/>
              <w:bottom w:val="nil"/>
              <w:right w:val="nil"/>
            </w:tcBorders>
            <w:shd w:val="clear" w:color="auto" w:fill="auto"/>
            <w:noWrap/>
            <w:vAlign w:val="bottom"/>
            <w:hideMark/>
          </w:tcPr>
          <w:p w:rsidR="00394D15" w:rsidRPr="00727072" w:rsidRDefault="00394D15" w:rsidP="00394D15">
            <w:pPr>
              <w:jc w:val="right"/>
              <w:rPr>
                <w:sz w:val="18"/>
                <w:szCs w:val="18"/>
              </w:rPr>
            </w:pPr>
            <w:r w:rsidRPr="00727072">
              <w:rPr>
                <w:sz w:val="18"/>
                <w:szCs w:val="18"/>
              </w:rPr>
              <w:t>10 258,2</w:t>
            </w:r>
          </w:p>
        </w:tc>
        <w:tc>
          <w:tcPr>
            <w:tcW w:w="1227" w:type="dxa"/>
            <w:tcBorders>
              <w:top w:val="nil"/>
              <w:left w:val="nil"/>
              <w:right w:val="nil"/>
            </w:tcBorders>
            <w:shd w:val="clear" w:color="auto" w:fill="auto"/>
            <w:noWrap/>
            <w:vAlign w:val="bottom"/>
            <w:hideMark/>
          </w:tcPr>
          <w:p w:rsidR="00394D15" w:rsidRPr="006E7134" w:rsidRDefault="00394D15" w:rsidP="00394D15">
            <w:pPr>
              <w:jc w:val="right"/>
              <w:rPr>
                <w:color w:val="0070C0"/>
                <w:sz w:val="18"/>
                <w:szCs w:val="18"/>
              </w:rPr>
            </w:pPr>
            <w:r>
              <w:rPr>
                <w:sz w:val="18"/>
                <w:szCs w:val="18"/>
              </w:rPr>
              <w:t>9 667,4</w:t>
            </w:r>
          </w:p>
        </w:tc>
        <w:tc>
          <w:tcPr>
            <w:tcW w:w="1222" w:type="dxa"/>
            <w:tcBorders>
              <w:top w:val="nil"/>
              <w:left w:val="nil"/>
              <w:right w:val="nil"/>
            </w:tcBorders>
            <w:shd w:val="clear" w:color="auto" w:fill="auto"/>
            <w:noWrap/>
            <w:vAlign w:val="bottom"/>
            <w:hideMark/>
          </w:tcPr>
          <w:p w:rsidR="00394D15" w:rsidRPr="006E7134" w:rsidRDefault="00394D15" w:rsidP="00394D15">
            <w:pPr>
              <w:jc w:val="right"/>
              <w:rPr>
                <w:color w:val="0070C0"/>
                <w:sz w:val="18"/>
                <w:szCs w:val="18"/>
              </w:rPr>
            </w:pPr>
            <w:r>
              <w:rPr>
                <w:sz w:val="18"/>
                <w:szCs w:val="18"/>
              </w:rPr>
              <w:t>9 674,2</w:t>
            </w:r>
          </w:p>
        </w:tc>
        <w:tc>
          <w:tcPr>
            <w:tcW w:w="1199" w:type="dxa"/>
            <w:tcBorders>
              <w:top w:val="nil"/>
              <w:left w:val="nil"/>
              <w:right w:val="nil"/>
            </w:tcBorders>
            <w:shd w:val="clear" w:color="auto" w:fill="auto"/>
            <w:noWrap/>
            <w:vAlign w:val="bottom"/>
            <w:hideMark/>
          </w:tcPr>
          <w:p w:rsidR="00394D15" w:rsidRPr="006E7134" w:rsidRDefault="00394D15" w:rsidP="00394D15">
            <w:pPr>
              <w:jc w:val="right"/>
              <w:rPr>
                <w:color w:val="0070C0"/>
                <w:sz w:val="18"/>
                <w:szCs w:val="18"/>
              </w:rPr>
            </w:pPr>
            <w:r>
              <w:rPr>
                <w:sz w:val="18"/>
                <w:szCs w:val="18"/>
              </w:rPr>
              <w:t>-6,8</w:t>
            </w:r>
          </w:p>
        </w:tc>
        <w:tc>
          <w:tcPr>
            <w:tcW w:w="1209" w:type="dxa"/>
            <w:tcBorders>
              <w:top w:val="nil"/>
              <w:left w:val="nil"/>
              <w:right w:val="single" w:sz="8" w:space="0" w:color="auto"/>
            </w:tcBorders>
            <w:shd w:val="clear" w:color="auto" w:fill="auto"/>
            <w:noWrap/>
            <w:vAlign w:val="bottom"/>
            <w:hideMark/>
          </w:tcPr>
          <w:p w:rsidR="00394D15" w:rsidRPr="006E7134" w:rsidRDefault="00394D15" w:rsidP="00394D15">
            <w:pPr>
              <w:jc w:val="right"/>
              <w:rPr>
                <w:color w:val="0070C0"/>
                <w:sz w:val="18"/>
                <w:szCs w:val="18"/>
              </w:rPr>
            </w:pPr>
            <w:r>
              <w:rPr>
                <w:sz w:val="18"/>
                <w:szCs w:val="18"/>
              </w:rPr>
              <w:t>94,2%</w:t>
            </w:r>
          </w:p>
        </w:tc>
      </w:tr>
      <w:tr w:rsidR="00394D15" w:rsidRPr="006E7134" w:rsidTr="00201ED1">
        <w:trPr>
          <w:trHeight w:val="250"/>
        </w:trPr>
        <w:tc>
          <w:tcPr>
            <w:tcW w:w="4250" w:type="dxa"/>
            <w:tcBorders>
              <w:top w:val="nil"/>
              <w:left w:val="single" w:sz="8" w:space="0" w:color="auto"/>
              <w:bottom w:val="single" w:sz="4" w:space="0" w:color="auto"/>
              <w:right w:val="single" w:sz="4" w:space="0" w:color="auto"/>
            </w:tcBorders>
            <w:shd w:val="clear" w:color="auto" w:fill="auto"/>
            <w:noWrap/>
            <w:vAlign w:val="bottom"/>
            <w:hideMark/>
          </w:tcPr>
          <w:p w:rsidR="00394D15" w:rsidRPr="00727072" w:rsidRDefault="00394D15" w:rsidP="00394D15">
            <w:pPr>
              <w:rPr>
                <w:sz w:val="18"/>
                <w:szCs w:val="18"/>
              </w:rPr>
            </w:pPr>
            <w:r w:rsidRPr="00727072">
              <w:rPr>
                <w:sz w:val="18"/>
                <w:szCs w:val="18"/>
              </w:rPr>
              <w:t xml:space="preserve">  Помощи и дарения</w:t>
            </w:r>
          </w:p>
        </w:tc>
        <w:tc>
          <w:tcPr>
            <w:tcW w:w="1147" w:type="dxa"/>
            <w:tcBorders>
              <w:top w:val="nil"/>
              <w:left w:val="nil"/>
              <w:bottom w:val="single" w:sz="4" w:space="0" w:color="auto"/>
              <w:right w:val="nil"/>
            </w:tcBorders>
            <w:shd w:val="clear" w:color="auto" w:fill="auto"/>
            <w:noWrap/>
            <w:vAlign w:val="bottom"/>
            <w:hideMark/>
          </w:tcPr>
          <w:p w:rsidR="00394D15" w:rsidRPr="00727072" w:rsidRDefault="00394D15" w:rsidP="00394D15">
            <w:pPr>
              <w:jc w:val="right"/>
              <w:rPr>
                <w:sz w:val="18"/>
                <w:szCs w:val="18"/>
              </w:rPr>
            </w:pPr>
            <w:r w:rsidRPr="00727072">
              <w:rPr>
                <w:sz w:val="18"/>
                <w:szCs w:val="18"/>
              </w:rPr>
              <w:t>7 080,7</w:t>
            </w:r>
          </w:p>
        </w:tc>
        <w:tc>
          <w:tcPr>
            <w:tcW w:w="1227" w:type="dxa"/>
            <w:tcBorders>
              <w:top w:val="nil"/>
              <w:left w:val="nil"/>
              <w:bottom w:val="single" w:sz="4" w:space="0" w:color="auto"/>
              <w:right w:val="nil"/>
            </w:tcBorders>
            <w:shd w:val="clear" w:color="auto" w:fill="auto"/>
            <w:noWrap/>
            <w:vAlign w:val="bottom"/>
            <w:hideMark/>
          </w:tcPr>
          <w:p w:rsidR="00394D15" w:rsidRPr="006E7134" w:rsidRDefault="00394D15" w:rsidP="00394D15">
            <w:pPr>
              <w:jc w:val="right"/>
              <w:rPr>
                <w:color w:val="0070C0"/>
                <w:sz w:val="18"/>
                <w:szCs w:val="18"/>
              </w:rPr>
            </w:pPr>
            <w:r>
              <w:rPr>
                <w:sz w:val="18"/>
                <w:szCs w:val="18"/>
              </w:rPr>
              <w:t>3 631,6</w:t>
            </w:r>
          </w:p>
        </w:tc>
        <w:tc>
          <w:tcPr>
            <w:tcW w:w="1222" w:type="dxa"/>
            <w:tcBorders>
              <w:top w:val="nil"/>
              <w:left w:val="nil"/>
              <w:bottom w:val="single" w:sz="4" w:space="0" w:color="auto"/>
              <w:right w:val="nil"/>
            </w:tcBorders>
            <w:shd w:val="clear" w:color="auto" w:fill="auto"/>
            <w:noWrap/>
            <w:vAlign w:val="bottom"/>
            <w:hideMark/>
          </w:tcPr>
          <w:p w:rsidR="00394D15" w:rsidRPr="006E7134" w:rsidRDefault="00394D15" w:rsidP="00394D15">
            <w:pPr>
              <w:jc w:val="right"/>
              <w:rPr>
                <w:color w:val="0070C0"/>
                <w:sz w:val="18"/>
                <w:szCs w:val="18"/>
              </w:rPr>
            </w:pPr>
            <w:r>
              <w:rPr>
                <w:sz w:val="18"/>
                <w:szCs w:val="18"/>
              </w:rPr>
              <w:t>181,4</w:t>
            </w:r>
          </w:p>
        </w:tc>
        <w:tc>
          <w:tcPr>
            <w:tcW w:w="1199" w:type="dxa"/>
            <w:tcBorders>
              <w:top w:val="nil"/>
              <w:left w:val="nil"/>
              <w:bottom w:val="single" w:sz="4" w:space="0" w:color="auto"/>
              <w:right w:val="nil"/>
            </w:tcBorders>
            <w:shd w:val="clear" w:color="auto" w:fill="auto"/>
            <w:noWrap/>
            <w:vAlign w:val="bottom"/>
            <w:hideMark/>
          </w:tcPr>
          <w:p w:rsidR="00394D15" w:rsidRPr="006E7134" w:rsidRDefault="00394D15" w:rsidP="00394D15">
            <w:pPr>
              <w:jc w:val="right"/>
              <w:rPr>
                <w:color w:val="0070C0"/>
                <w:sz w:val="18"/>
                <w:szCs w:val="18"/>
              </w:rPr>
            </w:pPr>
            <w:r>
              <w:rPr>
                <w:sz w:val="18"/>
                <w:szCs w:val="18"/>
              </w:rPr>
              <w:t>3 450,2</w:t>
            </w:r>
          </w:p>
        </w:tc>
        <w:tc>
          <w:tcPr>
            <w:tcW w:w="1209" w:type="dxa"/>
            <w:tcBorders>
              <w:top w:val="nil"/>
              <w:left w:val="nil"/>
              <w:bottom w:val="single" w:sz="4" w:space="0" w:color="auto"/>
              <w:right w:val="single" w:sz="8" w:space="0" w:color="auto"/>
            </w:tcBorders>
            <w:shd w:val="clear" w:color="auto" w:fill="auto"/>
            <w:noWrap/>
            <w:vAlign w:val="bottom"/>
            <w:hideMark/>
          </w:tcPr>
          <w:p w:rsidR="00394D15" w:rsidRPr="006E7134" w:rsidRDefault="00394D15" w:rsidP="00394D15">
            <w:pPr>
              <w:jc w:val="right"/>
              <w:rPr>
                <w:color w:val="0070C0"/>
                <w:sz w:val="18"/>
                <w:szCs w:val="18"/>
              </w:rPr>
            </w:pPr>
            <w:r>
              <w:rPr>
                <w:sz w:val="18"/>
                <w:szCs w:val="18"/>
              </w:rPr>
              <w:t>51,3%</w:t>
            </w:r>
          </w:p>
        </w:tc>
      </w:tr>
      <w:tr w:rsidR="007045EF" w:rsidRPr="006E7134" w:rsidTr="00201ED1">
        <w:trPr>
          <w:trHeight w:val="472"/>
        </w:trPr>
        <w:tc>
          <w:tcPr>
            <w:tcW w:w="4250" w:type="dxa"/>
            <w:tcBorders>
              <w:top w:val="single" w:sz="4" w:space="0" w:color="auto"/>
              <w:left w:val="single" w:sz="8" w:space="0" w:color="auto"/>
              <w:bottom w:val="nil"/>
              <w:right w:val="single" w:sz="4" w:space="0" w:color="auto"/>
            </w:tcBorders>
            <w:shd w:val="clear" w:color="auto" w:fill="auto"/>
            <w:vAlign w:val="bottom"/>
            <w:hideMark/>
          </w:tcPr>
          <w:p w:rsidR="007045EF" w:rsidRPr="00727072" w:rsidRDefault="007045EF" w:rsidP="007045EF">
            <w:pPr>
              <w:rPr>
                <w:b/>
                <w:bCs/>
                <w:sz w:val="18"/>
                <w:szCs w:val="18"/>
              </w:rPr>
            </w:pPr>
            <w:r w:rsidRPr="00727072">
              <w:rPr>
                <w:b/>
                <w:bCs/>
                <w:sz w:val="18"/>
                <w:szCs w:val="18"/>
              </w:rPr>
              <w:t>РАЗХОДИ И ВНОСКА ЗА ОБЩИЯ БЮДЖЕТ НА ЕС</w:t>
            </w:r>
          </w:p>
        </w:tc>
        <w:tc>
          <w:tcPr>
            <w:tcW w:w="1147" w:type="dxa"/>
            <w:tcBorders>
              <w:top w:val="single" w:sz="4" w:space="0" w:color="auto"/>
              <w:left w:val="nil"/>
              <w:bottom w:val="nil"/>
              <w:right w:val="nil"/>
            </w:tcBorders>
            <w:shd w:val="clear" w:color="auto" w:fill="auto"/>
            <w:noWrap/>
            <w:vAlign w:val="bottom"/>
            <w:hideMark/>
          </w:tcPr>
          <w:p w:rsidR="007045EF" w:rsidRPr="00727072" w:rsidRDefault="007045EF" w:rsidP="007045EF">
            <w:pPr>
              <w:jc w:val="right"/>
              <w:rPr>
                <w:b/>
                <w:bCs/>
                <w:sz w:val="18"/>
                <w:szCs w:val="18"/>
              </w:rPr>
            </w:pPr>
            <w:r w:rsidRPr="00727072">
              <w:rPr>
                <w:b/>
                <w:bCs/>
                <w:sz w:val="18"/>
                <w:szCs w:val="18"/>
              </w:rPr>
              <w:t>81 509,0</w:t>
            </w:r>
          </w:p>
        </w:tc>
        <w:tc>
          <w:tcPr>
            <w:tcW w:w="1227" w:type="dxa"/>
            <w:tcBorders>
              <w:top w:val="single" w:sz="4" w:space="0" w:color="auto"/>
              <w:left w:val="nil"/>
              <w:bottom w:val="nil"/>
              <w:right w:val="nil"/>
            </w:tcBorders>
            <w:shd w:val="clear" w:color="auto" w:fill="auto"/>
            <w:noWrap/>
            <w:vAlign w:val="bottom"/>
            <w:hideMark/>
          </w:tcPr>
          <w:p w:rsidR="007045EF" w:rsidRPr="006E7134" w:rsidRDefault="007045EF" w:rsidP="007045EF">
            <w:pPr>
              <w:jc w:val="right"/>
              <w:rPr>
                <w:b/>
                <w:bCs/>
                <w:color w:val="0070C0"/>
                <w:sz w:val="18"/>
                <w:szCs w:val="18"/>
              </w:rPr>
            </w:pPr>
            <w:r>
              <w:rPr>
                <w:b/>
                <w:bCs/>
                <w:sz w:val="18"/>
                <w:szCs w:val="18"/>
              </w:rPr>
              <w:t>78 137,2</w:t>
            </w:r>
          </w:p>
        </w:tc>
        <w:tc>
          <w:tcPr>
            <w:tcW w:w="1222" w:type="dxa"/>
            <w:tcBorders>
              <w:top w:val="single" w:sz="4" w:space="0" w:color="auto"/>
              <w:left w:val="nil"/>
              <w:bottom w:val="nil"/>
              <w:right w:val="nil"/>
            </w:tcBorders>
            <w:shd w:val="clear" w:color="auto" w:fill="auto"/>
            <w:noWrap/>
            <w:vAlign w:val="bottom"/>
            <w:hideMark/>
          </w:tcPr>
          <w:p w:rsidR="007045EF" w:rsidRPr="006E7134" w:rsidRDefault="007045EF" w:rsidP="007045EF">
            <w:pPr>
              <w:jc w:val="right"/>
              <w:rPr>
                <w:b/>
                <w:bCs/>
                <w:color w:val="0070C0"/>
                <w:sz w:val="18"/>
                <w:szCs w:val="18"/>
              </w:rPr>
            </w:pPr>
            <w:r>
              <w:rPr>
                <w:b/>
                <w:bCs/>
                <w:sz w:val="18"/>
                <w:szCs w:val="18"/>
              </w:rPr>
              <w:t>74 347,4</w:t>
            </w:r>
          </w:p>
        </w:tc>
        <w:tc>
          <w:tcPr>
            <w:tcW w:w="1199" w:type="dxa"/>
            <w:tcBorders>
              <w:top w:val="single" w:sz="4" w:space="0" w:color="auto"/>
              <w:left w:val="nil"/>
              <w:bottom w:val="nil"/>
              <w:right w:val="nil"/>
            </w:tcBorders>
            <w:shd w:val="clear" w:color="auto" w:fill="auto"/>
            <w:noWrap/>
            <w:vAlign w:val="bottom"/>
            <w:hideMark/>
          </w:tcPr>
          <w:p w:rsidR="007045EF" w:rsidRPr="006E7134" w:rsidRDefault="007045EF" w:rsidP="007045EF">
            <w:pPr>
              <w:jc w:val="right"/>
              <w:rPr>
                <w:b/>
                <w:bCs/>
                <w:color w:val="0070C0"/>
                <w:sz w:val="18"/>
                <w:szCs w:val="18"/>
              </w:rPr>
            </w:pPr>
            <w:r>
              <w:rPr>
                <w:b/>
                <w:bCs/>
                <w:sz w:val="18"/>
                <w:szCs w:val="18"/>
              </w:rPr>
              <w:t>3 789,8</w:t>
            </w:r>
          </w:p>
        </w:tc>
        <w:tc>
          <w:tcPr>
            <w:tcW w:w="1209" w:type="dxa"/>
            <w:tcBorders>
              <w:top w:val="nil"/>
              <w:left w:val="nil"/>
              <w:bottom w:val="nil"/>
              <w:right w:val="single" w:sz="8" w:space="0" w:color="auto"/>
            </w:tcBorders>
            <w:shd w:val="clear" w:color="auto" w:fill="auto"/>
            <w:noWrap/>
            <w:vAlign w:val="bottom"/>
            <w:hideMark/>
          </w:tcPr>
          <w:p w:rsidR="007045EF" w:rsidRPr="006E7134" w:rsidRDefault="007045EF" w:rsidP="007045EF">
            <w:pPr>
              <w:jc w:val="right"/>
              <w:rPr>
                <w:b/>
                <w:bCs/>
                <w:color w:val="0070C0"/>
                <w:sz w:val="18"/>
                <w:szCs w:val="18"/>
              </w:rPr>
            </w:pPr>
            <w:r>
              <w:rPr>
                <w:b/>
                <w:bCs/>
                <w:sz w:val="18"/>
                <w:szCs w:val="18"/>
              </w:rPr>
              <w:t>95,9%</w:t>
            </w:r>
          </w:p>
        </w:tc>
      </w:tr>
      <w:tr w:rsidR="007045EF" w:rsidRPr="006E7134" w:rsidTr="00201ED1">
        <w:trPr>
          <w:trHeight w:val="250"/>
        </w:trPr>
        <w:tc>
          <w:tcPr>
            <w:tcW w:w="4250" w:type="dxa"/>
            <w:tcBorders>
              <w:top w:val="nil"/>
              <w:left w:val="single" w:sz="8" w:space="0" w:color="auto"/>
              <w:bottom w:val="nil"/>
              <w:right w:val="single" w:sz="4" w:space="0" w:color="auto"/>
            </w:tcBorders>
            <w:shd w:val="clear" w:color="auto" w:fill="auto"/>
            <w:noWrap/>
            <w:vAlign w:val="bottom"/>
            <w:hideMark/>
          </w:tcPr>
          <w:p w:rsidR="007045EF" w:rsidRPr="00727072" w:rsidRDefault="007045EF" w:rsidP="007045EF">
            <w:pPr>
              <w:rPr>
                <w:sz w:val="18"/>
                <w:szCs w:val="18"/>
              </w:rPr>
            </w:pPr>
            <w:r w:rsidRPr="00727072">
              <w:rPr>
                <w:sz w:val="18"/>
                <w:szCs w:val="18"/>
              </w:rPr>
              <w:t xml:space="preserve">  Нелихвени</w:t>
            </w:r>
          </w:p>
        </w:tc>
        <w:tc>
          <w:tcPr>
            <w:tcW w:w="1147" w:type="dxa"/>
            <w:tcBorders>
              <w:top w:val="nil"/>
              <w:left w:val="nil"/>
              <w:bottom w:val="nil"/>
              <w:right w:val="nil"/>
            </w:tcBorders>
            <w:shd w:val="clear" w:color="auto" w:fill="auto"/>
            <w:noWrap/>
            <w:vAlign w:val="bottom"/>
            <w:hideMark/>
          </w:tcPr>
          <w:p w:rsidR="007045EF" w:rsidRPr="00727072" w:rsidRDefault="007045EF" w:rsidP="007045EF">
            <w:pPr>
              <w:jc w:val="right"/>
              <w:rPr>
                <w:sz w:val="18"/>
                <w:szCs w:val="18"/>
              </w:rPr>
            </w:pPr>
            <w:r w:rsidRPr="00727072">
              <w:rPr>
                <w:sz w:val="18"/>
                <w:szCs w:val="18"/>
              </w:rPr>
              <w:t>77 857,2</w:t>
            </w:r>
          </w:p>
        </w:tc>
        <w:tc>
          <w:tcPr>
            <w:tcW w:w="1227" w:type="dxa"/>
            <w:tcBorders>
              <w:top w:val="nil"/>
              <w:left w:val="nil"/>
              <w:bottom w:val="nil"/>
              <w:right w:val="nil"/>
            </w:tcBorders>
            <w:shd w:val="clear" w:color="auto" w:fill="auto"/>
            <w:noWrap/>
            <w:vAlign w:val="bottom"/>
            <w:hideMark/>
          </w:tcPr>
          <w:p w:rsidR="007045EF" w:rsidRPr="006E7134" w:rsidRDefault="007045EF" w:rsidP="007045EF">
            <w:pPr>
              <w:jc w:val="right"/>
              <w:rPr>
                <w:color w:val="0070C0"/>
                <w:sz w:val="18"/>
                <w:szCs w:val="18"/>
              </w:rPr>
            </w:pPr>
            <w:r>
              <w:rPr>
                <w:sz w:val="18"/>
                <w:szCs w:val="18"/>
              </w:rPr>
              <w:t>75 535,7</w:t>
            </w:r>
          </w:p>
        </w:tc>
        <w:tc>
          <w:tcPr>
            <w:tcW w:w="1222" w:type="dxa"/>
            <w:tcBorders>
              <w:top w:val="nil"/>
              <w:left w:val="nil"/>
              <w:bottom w:val="nil"/>
              <w:right w:val="nil"/>
            </w:tcBorders>
            <w:shd w:val="clear" w:color="auto" w:fill="auto"/>
            <w:noWrap/>
            <w:vAlign w:val="bottom"/>
            <w:hideMark/>
          </w:tcPr>
          <w:p w:rsidR="007045EF" w:rsidRPr="006E7134" w:rsidRDefault="007045EF" w:rsidP="007045EF">
            <w:pPr>
              <w:jc w:val="right"/>
              <w:rPr>
                <w:color w:val="0070C0"/>
                <w:sz w:val="18"/>
                <w:szCs w:val="18"/>
              </w:rPr>
            </w:pPr>
            <w:r>
              <w:rPr>
                <w:sz w:val="18"/>
                <w:szCs w:val="18"/>
              </w:rPr>
              <w:t>71 745,9</w:t>
            </w:r>
          </w:p>
        </w:tc>
        <w:tc>
          <w:tcPr>
            <w:tcW w:w="1199" w:type="dxa"/>
            <w:tcBorders>
              <w:top w:val="nil"/>
              <w:left w:val="nil"/>
              <w:bottom w:val="nil"/>
              <w:right w:val="nil"/>
            </w:tcBorders>
            <w:shd w:val="clear" w:color="auto" w:fill="auto"/>
            <w:noWrap/>
            <w:vAlign w:val="bottom"/>
            <w:hideMark/>
          </w:tcPr>
          <w:p w:rsidR="007045EF" w:rsidRPr="006E7134" w:rsidRDefault="007045EF" w:rsidP="007045EF">
            <w:pPr>
              <w:jc w:val="right"/>
              <w:rPr>
                <w:color w:val="0070C0"/>
                <w:sz w:val="18"/>
                <w:szCs w:val="18"/>
              </w:rPr>
            </w:pPr>
            <w:r>
              <w:rPr>
                <w:sz w:val="18"/>
                <w:szCs w:val="18"/>
              </w:rPr>
              <w:t>3 789,8</w:t>
            </w:r>
          </w:p>
        </w:tc>
        <w:tc>
          <w:tcPr>
            <w:tcW w:w="1209" w:type="dxa"/>
            <w:tcBorders>
              <w:top w:val="nil"/>
              <w:left w:val="nil"/>
              <w:bottom w:val="nil"/>
              <w:right w:val="single" w:sz="8" w:space="0" w:color="auto"/>
            </w:tcBorders>
            <w:shd w:val="clear" w:color="auto" w:fill="auto"/>
            <w:noWrap/>
            <w:vAlign w:val="bottom"/>
            <w:hideMark/>
          </w:tcPr>
          <w:p w:rsidR="007045EF" w:rsidRPr="006E7134" w:rsidRDefault="007045EF" w:rsidP="007045EF">
            <w:pPr>
              <w:jc w:val="right"/>
              <w:rPr>
                <w:color w:val="0070C0"/>
                <w:sz w:val="18"/>
                <w:szCs w:val="18"/>
              </w:rPr>
            </w:pPr>
            <w:r>
              <w:rPr>
                <w:sz w:val="18"/>
                <w:szCs w:val="18"/>
              </w:rPr>
              <w:t>97,0%</w:t>
            </w:r>
          </w:p>
        </w:tc>
      </w:tr>
      <w:tr w:rsidR="007045EF" w:rsidRPr="006E7134" w:rsidTr="00201ED1">
        <w:trPr>
          <w:trHeight w:val="250"/>
        </w:trPr>
        <w:tc>
          <w:tcPr>
            <w:tcW w:w="4250" w:type="dxa"/>
            <w:tcBorders>
              <w:top w:val="nil"/>
              <w:left w:val="single" w:sz="8" w:space="0" w:color="auto"/>
              <w:bottom w:val="nil"/>
              <w:right w:val="single" w:sz="4" w:space="0" w:color="auto"/>
            </w:tcBorders>
            <w:shd w:val="clear" w:color="auto" w:fill="auto"/>
            <w:noWrap/>
            <w:vAlign w:val="bottom"/>
            <w:hideMark/>
          </w:tcPr>
          <w:p w:rsidR="007045EF" w:rsidRPr="00727072" w:rsidRDefault="007045EF" w:rsidP="007045EF">
            <w:pPr>
              <w:rPr>
                <w:sz w:val="18"/>
                <w:szCs w:val="18"/>
              </w:rPr>
            </w:pPr>
            <w:r w:rsidRPr="00727072">
              <w:rPr>
                <w:sz w:val="18"/>
                <w:szCs w:val="18"/>
              </w:rPr>
              <w:t xml:space="preserve">  Лихвени</w:t>
            </w:r>
          </w:p>
        </w:tc>
        <w:tc>
          <w:tcPr>
            <w:tcW w:w="1147" w:type="dxa"/>
            <w:tcBorders>
              <w:top w:val="nil"/>
              <w:left w:val="nil"/>
              <w:bottom w:val="nil"/>
              <w:right w:val="nil"/>
            </w:tcBorders>
            <w:shd w:val="clear" w:color="auto" w:fill="auto"/>
            <w:noWrap/>
            <w:vAlign w:val="bottom"/>
            <w:hideMark/>
          </w:tcPr>
          <w:p w:rsidR="007045EF" w:rsidRPr="00727072" w:rsidRDefault="007045EF" w:rsidP="007045EF">
            <w:pPr>
              <w:jc w:val="right"/>
              <w:rPr>
                <w:sz w:val="18"/>
                <w:szCs w:val="18"/>
              </w:rPr>
            </w:pPr>
            <w:r w:rsidRPr="00727072">
              <w:rPr>
                <w:sz w:val="18"/>
                <w:szCs w:val="18"/>
              </w:rPr>
              <w:t>1 010,6</w:t>
            </w:r>
          </w:p>
        </w:tc>
        <w:tc>
          <w:tcPr>
            <w:tcW w:w="1227" w:type="dxa"/>
            <w:tcBorders>
              <w:top w:val="nil"/>
              <w:left w:val="nil"/>
              <w:bottom w:val="nil"/>
              <w:right w:val="nil"/>
            </w:tcBorders>
            <w:shd w:val="clear" w:color="auto" w:fill="auto"/>
            <w:noWrap/>
            <w:vAlign w:val="bottom"/>
            <w:hideMark/>
          </w:tcPr>
          <w:p w:rsidR="007045EF" w:rsidRPr="006E7134" w:rsidRDefault="007045EF" w:rsidP="007045EF">
            <w:pPr>
              <w:jc w:val="right"/>
              <w:rPr>
                <w:color w:val="0070C0"/>
                <w:sz w:val="18"/>
                <w:szCs w:val="18"/>
              </w:rPr>
            </w:pPr>
            <w:r>
              <w:rPr>
                <w:sz w:val="18"/>
                <w:szCs w:val="18"/>
              </w:rPr>
              <w:t>1 009,3</w:t>
            </w:r>
          </w:p>
        </w:tc>
        <w:tc>
          <w:tcPr>
            <w:tcW w:w="1222" w:type="dxa"/>
            <w:tcBorders>
              <w:top w:val="nil"/>
              <w:left w:val="nil"/>
              <w:bottom w:val="nil"/>
              <w:right w:val="nil"/>
            </w:tcBorders>
            <w:shd w:val="clear" w:color="auto" w:fill="auto"/>
            <w:noWrap/>
            <w:vAlign w:val="bottom"/>
            <w:hideMark/>
          </w:tcPr>
          <w:p w:rsidR="007045EF" w:rsidRPr="006E7134" w:rsidRDefault="007045EF" w:rsidP="007045EF">
            <w:pPr>
              <w:jc w:val="right"/>
              <w:rPr>
                <w:color w:val="0070C0"/>
                <w:sz w:val="18"/>
                <w:szCs w:val="18"/>
              </w:rPr>
            </w:pPr>
            <w:r>
              <w:rPr>
                <w:sz w:val="18"/>
                <w:szCs w:val="18"/>
              </w:rPr>
              <w:t>1 009,3</w:t>
            </w:r>
          </w:p>
        </w:tc>
        <w:tc>
          <w:tcPr>
            <w:tcW w:w="1199" w:type="dxa"/>
            <w:tcBorders>
              <w:top w:val="nil"/>
              <w:left w:val="nil"/>
              <w:bottom w:val="nil"/>
              <w:right w:val="nil"/>
            </w:tcBorders>
            <w:shd w:val="clear" w:color="auto" w:fill="auto"/>
            <w:noWrap/>
            <w:vAlign w:val="bottom"/>
          </w:tcPr>
          <w:p w:rsidR="007045EF" w:rsidRPr="006E7134" w:rsidRDefault="007045EF" w:rsidP="007045EF">
            <w:pPr>
              <w:jc w:val="right"/>
              <w:rPr>
                <w:color w:val="0070C0"/>
                <w:sz w:val="18"/>
                <w:szCs w:val="18"/>
              </w:rPr>
            </w:pPr>
          </w:p>
        </w:tc>
        <w:tc>
          <w:tcPr>
            <w:tcW w:w="1209" w:type="dxa"/>
            <w:tcBorders>
              <w:top w:val="nil"/>
              <w:left w:val="nil"/>
              <w:bottom w:val="nil"/>
              <w:right w:val="single" w:sz="4" w:space="0" w:color="auto"/>
            </w:tcBorders>
            <w:shd w:val="clear" w:color="auto" w:fill="auto"/>
            <w:noWrap/>
            <w:vAlign w:val="bottom"/>
            <w:hideMark/>
          </w:tcPr>
          <w:p w:rsidR="007045EF" w:rsidRPr="006E7134" w:rsidRDefault="007045EF" w:rsidP="007045EF">
            <w:pPr>
              <w:jc w:val="right"/>
              <w:rPr>
                <w:color w:val="0070C0"/>
                <w:sz w:val="18"/>
                <w:szCs w:val="18"/>
              </w:rPr>
            </w:pPr>
            <w:r>
              <w:rPr>
                <w:sz w:val="18"/>
                <w:szCs w:val="18"/>
              </w:rPr>
              <w:t>99,9%</w:t>
            </w:r>
          </w:p>
        </w:tc>
      </w:tr>
      <w:tr w:rsidR="007045EF" w:rsidRPr="006E7134" w:rsidTr="00201ED1">
        <w:trPr>
          <w:trHeight w:val="250"/>
        </w:trPr>
        <w:tc>
          <w:tcPr>
            <w:tcW w:w="4250" w:type="dxa"/>
            <w:tcBorders>
              <w:top w:val="nil"/>
              <w:left w:val="single" w:sz="8" w:space="0" w:color="auto"/>
              <w:bottom w:val="nil"/>
              <w:right w:val="single" w:sz="4" w:space="0" w:color="auto"/>
            </w:tcBorders>
            <w:noWrap/>
            <w:vAlign w:val="bottom"/>
          </w:tcPr>
          <w:p w:rsidR="007045EF" w:rsidRPr="00727072" w:rsidRDefault="007045EF" w:rsidP="007045EF">
            <w:pPr>
              <w:rPr>
                <w:sz w:val="18"/>
                <w:szCs w:val="18"/>
              </w:rPr>
            </w:pPr>
            <w:r w:rsidRPr="00727072">
              <w:rPr>
                <w:sz w:val="18"/>
                <w:szCs w:val="18"/>
                <w:lang w:val="ru-RU"/>
              </w:rPr>
              <w:t xml:space="preserve">  </w:t>
            </w:r>
            <w:r w:rsidRPr="00727072">
              <w:rPr>
                <w:sz w:val="18"/>
                <w:szCs w:val="18"/>
              </w:rPr>
              <w:t>Резерв за неотложни и непредвидени разходи</w:t>
            </w:r>
          </w:p>
        </w:tc>
        <w:tc>
          <w:tcPr>
            <w:tcW w:w="1147" w:type="dxa"/>
            <w:tcBorders>
              <w:top w:val="nil"/>
              <w:left w:val="nil"/>
              <w:right w:val="nil"/>
            </w:tcBorders>
            <w:shd w:val="clear" w:color="auto" w:fill="auto"/>
            <w:noWrap/>
            <w:vAlign w:val="bottom"/>
          </w:tcPr>
          <w:p w:rsidR="007045EF" w:rsidRPr="00727072" w:rsidRDefault="007045EF" w:rsidP="007045EF">
            <w:pPr>
              <w:jc w:val="right"/>
              <w:rPr>
                <w:sz w:val="18"/>
                <w:szCs w:val="18"/>
              </w:rPr>
            </w:pPr>
            <w:r w:rsidRPr="00727072">
              <w:rPr>
                <w:sz w:val="18"/>
                <w:szCs w:val="18"/>
              </w:rPr>
              <w:t>370,2</w:t>
            </w:r>
          </w:p>
        </w:tc>
        <w:tc>
          <w:tcPr>
            <w:tcW w:w="1227" w:type="dxa"/>
            <w:tcBorders>
              <w:top w:val="nil"/>
              <w:left w:val="nil"/>
              <w:bottom w:val="nil"/>
              <w:right w:val="nil"/>
            </w:tcBorders>
            <w:shd w:val="clear" w:color="auto" w:fill="auto"/>
            <w:noWrap/>
            <w:vAlign w:val="bottom"/>
          </w:tcPr>
          <w:p w:rsidR="007045EF" w:rsidRPr="006E7134" w:rsidRDefault="007045EF" w:rsidP="007045EF">
            <w:pPr>
              <w:jc w:val="right"/>
              <w:rPr>
                <w:color w:val="0070C0"/>
                <w:sz w:val="18"/>
                <w:szCs w:val="18"/>
              </w:rPr>
            </w:pPr>
          </w:p>
        </w:tc>
        <w:tc>
          <w:tcPr>
            <w:tcW w:w="1222" w:type="dxa"/>
            <w:tcBorders>
              <w:top w:val="nil"/>
              <w:left w:val="nil"/>
              <w:bottom w:val="nil"/>
              <w:right w:val="nil"/>
            </w:tcBorders>
            <w:shd w:val="clear" w:color="auto" w:fill="auto"/>
            <w:noWrap/>
            <w:vAlign w:val="bottom"/>
          </w:tcPr>
          <w:p w:rsidR="007045EF" w:rsidRPr="006E7134" w:rsidRDefault="007045EF" w:rsidP="007045EF">
            <w:pPr>
              <w:rPr>
                <w:color w:val="0070C0"/>
                <w:sz w:val="20"/>
                <w:szCs w:val="20"/>
              </w:rPr>
            </w:pPr>
          </w:p>
        </w:tc>
        <w:tc>
          <w:tcPr>
            <w:tcW w:w="1199" w:type="dxa"/>
            <w:tcBorders>
              <w:top w:val="nil"/>
              <w:left w:val="nil"/>
              <w:bottom w:val="nil"/>
              <w:right w:val="nil"/>
            </w:tcBorders>
            <w:shd w:val="clear" w:color="auto" w:fill="auto"/>
            <w:noWrap/>
            <w:vAlign w:val="bottom"/>
          </w:tcPr>
          <w:p w:rsidR="007045EF" w:rsidRPr="006E7134" w:rsidRDefault="007045EF" w:rsidP="007045EF">
            <w:pPr>
              <w:rPr>
                <w:color w:val="0070C0"/>
                <w:sz w:val="20"/>
                <w:szCs w:val="20"/>
              </w:rPr>
            </w:pPr>
          </w:p>
        </w:tc>
        <w:tc>
          <w:tcPr>
            <w:tcW w:w="1209" w:type="dxa"/>
            <w:tcBorders>
              <w:top w:val="nil"/>
              <w:left w:val="nil"/>
              <w:bottom w:val="nil"/>
              <w:right w:val="single" w:sz="4" w:space="0" w:color="auto"/>
            </w:tcBorders>
            <w:shd w:val="clear" w:color="auto" w:fill="auto"/>
            <w:noWrap/>
            <w:vAlign w:val="bottom"/>
          </w:tcPr>
          <w:p w:rsidR="007045EF" w:rsidRPr="006E7134" w:rsidRDefault="007045EF" w:rsidP="007045EF">
            <w:pPr>
              <w:rPr>
                <w:color w:val="0070C0"/>
                <w:sz w:val="18"/>
                <w:szCs w:val="18"/>
              </w:rPr>
            </w:pPr>
            <w:r>
              <w:rPr>
                <w:sz w:val="18"/>
                <w:szCs w:val="18"/>
              </w:rPr>
              <w:t> </w:t>
            </w:r>
          </w:p>
        </w:tc>
      </w:tr>
      <w:tr w:rsidR="007045EF" w:rsidRPr="006E7134" w:rsidTr="00201ED1">
        <w:trPr>
          <w:trHeight w:val="250"/>
        </w:trPr>
        <w:tc>
          <w:tcPr>
            <w:tcW w:w="4250" w:type="dxa"/>
            <w:tcBorders>
              <w:top w:val="nil"/>
              <w:left w:val="single" w:sz="8" w:space="0" w:color="auto"/>
              <w:bottom w:val="single" w:sz="4" w:space="0" w:color="auto"/>
              <w:right w:val="single" w:sz="4" w:space="0" w:color="auto"/>
            </w:tcBorders>
            <w:shd w:val="clear" w:color="auto" w:fill="auto"/>
            <w:noWrap/>
            <w:vAlign w:val="bottom"/>
            <w:hideMark/>
          </w:tcPr>
          <w:p w:rsidR="007045EF" w:rsidRPr="00727072" w:rsidRDefault="007045EF" w:rsidP="007045EF">
            <w:pPr>
              <w:rPr>
                <w:sz w:val="18"/>
                <w:szCs w:val="18"/>
              </w:rPr>
            </w:pPr>
            <w:r w:rsidRPr="00727072">
              <w:rPr>
                <w:sz w:val="18"/>
                <w:szCs w:val="18"/>
              </w:rPr>
              <w:t xml:space="preserve">  Вноска за общия бюджет на ЕС</w:t>
            </w:r>
          </w:p>
        </w:tc>
        <w:tc>
          <w:tcPr>
            <w:tcW w:w="1147" w:type="dxa"/>
            <w:tcBorders>
              <w:top w:val="nil"/>
              <w:left w:val="nil"/>
              <w:bottom w:val="single" w:sz="4" w:space="0" w:color="auto"/>
              <w:right w:val="nil"/>
            </w:tcBorders>
            <w:shd w:val="clear" w:color="auto" w:fill="auto"/>
            <w:noWrap/>
            <w:vAlign w:val="bottom"/>
            <w:hideMark/>
          </w:tcPr>
          <w:p w:rsidR="007045EF" w:rsidRPr="00727072" w:rsidRDefault="007045EF" w:rsidP="007045EF">
            <w:pPr>
              <w:jc w:val="right"/>
              <w:rPr>
                <w:sz w:val="18"/>
                <w:szCs w:val="18"/>
              </w:rPr>
            </w:pPr>
            <w:r w:rsidRPr="00727072">
              <w:rPr>
                <w:sz w:val="18"/>
                <w:szCs w:val="18"/>
              </w:rPr>
              <w:t>2 271,1</w:t>
            </w:r>
          </w:p>
        </w:tc>
        <w:tc>
          <w:tcPr>
            <w:tcW w:w="1227" w:type="dxa"/>
            <w:tcBorders>
              <w:top w:val="nil"/>
              <w:left w:val="nil"/>
              <w:bottom w:val="single" w:sz="4" w:space="0" w:color="auto"/>
              <w:right w:val="nil"/>
            </w:tcBorders>
            <w:shd w:val="clear" w:color="auto" w:fill="auto"/>
            <w:noWrap/>
            <w:vAlign w:val="bottom"/>
            <w:hideMark/>
          </w:tcPr>
          <w:p w:rsidR="007045EF" w:rsidRPr="006E7134" w:rsidRDefault="007045EF" w:rsidP="007045EF">
            <w:pPr>
              <w:jc w:val="right"/>
              <w:rPr>
                <w:color w:val="0070C0"/>
                <w:sz w:val="18"/>
                <w:szCs w:val="18"/>
              </w:rPr>
            </w:pPr>
            <w:r>
              <w:rPr>
                <w:sz w:val="18"/>
                <w:szCs w:val="18"/>
              </w:rPr>
              <w:t>1 592,1</w:t>
            </w:r>
          </w:p>
        </w:tc>
        <w:tc>
          <w:tcPr>
            <w:tcW w:w="1222" w:type="dxa"/>
            <w:tcBorders>
              <w:top w:val="nil"/>
              <w:left w:val="nil"/>
              <w:bottom w:val="single" w:sz="4" w:space="0" w:color="auto"/>
              <w:right w:val="nil"/>
            </w:tcBorders>
            <w:shd w:val="clear" w:color="auto" w:fill="auto"/>
            <w:noWrap/>
            <w:vAlign w:val="bottom"/>
            <w:hideMark/>
          </w:tcPr>
          <w:p w:rsidR="007045EF" w:rsidRPr="006E7134" w:rsidRDefault="007045EF" w:rsidP="007045EF">
            <w:pPr>
              <w:jc w:val="right"/>
              <w:rPr>
                <w:color w:val="0070C0"/>
                <w:sz w:val="18"/>
                <w:szCs w:val="18"/>
              </w:rPr>
            </w:pPr>
            <w:r>
              <w:rPr>
                <w:sz w:val="18"/>
                <w:szCs w:val="18"/>
              </w:rPr>
              <w:t>1 592,1</w:t>
            </w:r>
          </w:p>
        </w:tc>
        <w:tc>
          <w:tcPr>
            <w:tcW w:w="1199" w:type="dxa"/>
            <w:tcBorders>
              <w:top w:val="nil"/>
              <w:left w:val="nil"/>
              <w:bottom w:val="single" w:sz="4" w:space="0" w:color="auto"/>
              <w:right w:val="nil"/>
            </w:tcBorders>
            <w:shd w:val="clear" w:color="auto" w:fill="auto"/>
            <w:noWrap/>
            <w:vAlign w:val="bottom"/>
          </w:tcPr>
          <w:p w:rsidR="007045EF" w:rsidRPr="006E7134" w:rsidRDefault="007045EF" w:rsidP="007045EF">
            <w:pPr>
              <w:jc w:val="right"/>
              <w:rPr>
                <w:color w:val="0070C0"/>
                <w:sz w:val="18"/>
                <w:szCs w:val="18"/>
              </w:rPr>
            </w:pPr>
          </w:p>
        </w:tc>
        <w:tc>
          <w:tcPr>
            <w:tcW w:w="1209" w:type="dxa"/>
            <w:tcBorders>
              <w:top w:val="nil"/>
              <w:left w:val="nil"/>
              <w:bottom w:val="single" w:sz="4" w:space="0" w:color="auto"/>
              <w:right w:val="single" w:sz="4" w:space="0" w:color="auto"/>
            </w:tcBorders>
            <w:shd w:val="clear" w:color="auto" w:fill="auto"/>
            <w:noWrap/>
            <w:vAlign w:val="bottom"/>
            <w:hideMark/>
          </w:tcPr>
          <w:p w:rsidR="007045EF" w:rsidRPr="006E7134" w:rsidRDefault="007045EF" w:rsidP="007045EF">
            <w:pPr>
              <w:jc w:val="right"/>
              <w:rPr>
                <w:color w:val="0070C0"/>
                <w:sz w:val="18"/>
                <w:szCs w:val="18"/>
              </w:rPr>
            </w:pPr>
            <w:r>
              <w:rPr>
                <w:sz w:val="18"/>
                <w:szCs w:val="18"/>
              </w:rPr>
              <w:t>70,1%</w:t>
            </w:r>
          </w:p>
        </w:tc>
      </w:tr>
      <w:tr w:rsidR="007045EF" w:rsidRPr="006E7134" w:rsidTr="00201ED1">
        <w:trPr>
          <w:trHeight w:val="250"/>
        </w:trPr>
        <w:tc>
          <w:tcPr>
            <w:tcW w:w="425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7045EF" w:rsidRPr="00727072" w:rsidRDefault="007045EF" w:rsidP="007045EF">
            <w:pPr>
              <w:rPr>
                <w:sz w:val="18"/>
                <w:szCs w:val="18"/>
              </w:rPr>
            </w:pPr>
            <w:r w:rsidRPr="00727072">
              <w:rPr>
                <w:sz w:val="18"/>
                <w:szCs w:val="18"/>
              </w:rPr>
              <w:t>Трансфери</w:t>
            </w:r>
            <w:r w:rsidRPr="00727072">
              <w:rPr>
                <w:sz w:val="18"/>
                <w:szCs w:val="18"/>
                <w:lang w:val="en-US"/>
              </w:rPr>
              <w:t xml:space="preserve"> </w:t>
            </w:r>
            <w:r w:rsidRPr="00727072">
              <w:rPr>
                <w:sz w:val="18"/>
                <w:szCs w:val="18"/>
              </w:rPr>
              <w:t>-</w:t>
            </w:r>
            <w:r w:rsidRPr="00727072">
              <w:rPr>
                <w:sz w:val="18"/>
                <w:szCs w:val="18"/>
                <w:lang w:val="en-US"/>
              </w:rPr>
              <w:t xml:space="preserve"> </w:t>
            </w:r>
            <w:r w:rsidRPr="00727072">
              <w:rPr>
                <w:sz w:val="18"/>
                <w:szCs w:val="18"/>
              </w:rPr>
              <w:t>нето</w:t>
            </w:r>
          </w:p>
        </w:tc>
        <w:tc>
          <w:tcPr>
            <w:tcW w:w="1147" w:type="dxa"/>
            <w:tcBorders>
              <w:top w:val="single" w:sz="4" w:space="0" w:color="auto"/>
              <w:left w:val="nil"/>
              <w:bottom w:val="single" w:sz="4" w:space="0" w:color="auto"/>
              <w:right w:val="nil"/>
            </w:tcBorders>
            <w:shd w:val="clear" w:color="auto" w:fill="auto"/>
            <w:noWrap/>
            <w:vAlign w:val="bottom"/>
            <w:hideMark/>
          </w:tcPr>
          <w:p w:rsidR="007045EF" w:rsidRPr="00727072" w:rsidRDefault="007045EF" w:rsidP="007045EF">
            <w:pPr>
              <w:jc w:val="right"/>
              <w:rPr>
                <w:sz w:val="18"/>
                <w:szCs w:val="18"/>
              </w:rPr>
            </w:pPr>
          </w:p>
        </w:tc>
        <w:tc>
          <w:tcPr>
            <w:tcW w:w="1227" w:type="dxa"/>
            <w:tcBorders>
              <w:top w:val="single" w:sz="4" w:space="0" w:color="auto"/>
              <w:left w:val="nil"/>
              <w:bottom w:val="single" w:sz="4" w:space="0" w:color="auto"/>
              <w:right w:val="nil"/>
            </w:tcBorders>
            <w:shd w:val="clear" w:color="auto" w:fill="auto"/>
            <w:noWrap/>
            <w:vAlign w:val="bottom"/>
            <w:hideMark/>
          </w:tcPr>
          <w:p w:rsidR="007045EF" w:rsidRPr="006E7134" w:rsidRDefault="007045EF" w:rsidP="007045EF">
            <w:pPr>
              <w:jc w:val="right"/>
              <w:rPr>
                <w:color w:val="0070C0"/>
                <w:sz w:val="18"/>
                <w:szCs w:val="18"/>
              </w:rPr>
            </w:pPr>
          </w:p>
        </w:tc>
        <w:tc>
          <w:tcPr>
            <w:tcW w:w="1222" w:type="dxa"/>
            <w:tcBorders>
              <w:top w:val="single" w:sz="4" w:space="0" w:color="auto"/>
              <w:left w:val="nil"/>
              <w:bottom w:val="single" w:sz="4" w:space="0" w:color="auto"/>
              <w:right w:val="nil"/>
            </w:tcBorders>
            <w:shd w:val="clear" w:color="auto" w:fill="auto"/>
            <w:noWrap/>
            <w:vAlign w:val="bottom"/>
            <w:hideMark/>
          </w:tcPr>
          <w:p w:rsidR="007045EF" w:rsidRPr="006E7134" w:rsidRDefault="007045EF" w:rsidP="007045EF">
            <w:pPr>
              <w:jc w:val="right"/>
              <w:rPr>
                <w:color w:val="0070C0"/>
                <w:sz w:val="18"/>
                <w:szCs w:val="18"/>
              </w:rPr>
            </w:pPr>
            <w:r>
              <w:rPr>
                <w:sz w:val="18"/>
                <w:szCs w:val="18"/>
              </w:rPr>
              <w:t>-888,8</w:t>
            </w:r>
          </w:p>
        </w:tc>
        <w:tc>
          <w:tcPr>
            <w:tcW w:w="1199" w:type="dxa"/>
            <w:tcBorders>
              <w:top w:val="single" w:sz="4" w:space="0" w:color="auto"/>
              <w:left w:val="nil"/>
              <w:bottom w:val="single" w:sz="4" w:space="0" w:color="auto"/>
              <w:right w:val="nil"/>
            </w:tcBorders>
            <w:shd w:val="clear" w:color="auto" w:fill="auto"/>
            <w:noWrap/>
            <w:vAlign w:val="bottom"/>
            <w:hideMark/>
          </w:tcPr>
          <w:p w:rsidR="007045EF" w:rsidRPr="006E7134" w:rsidRDefault="007045EF" w:rsidP="007045EF">
            <w:pPr>
              <w:jc w:val="right"/>
              <w:rPr>
                <w:color w:val="0070C0"/>
                <w:sz w:val="18"/>
                <w:szCs w:val="18"/>
              </w:rPr>
            </w:pPr>
            <w:r>
              <w:rPr>
                <w:sz w:val="18"/>
                <w:szCs w:val="18"/>
              </w:rPr>
              <w:t>888,8</w:t>
            </w:r>
          </w:p>
        </w:tc>
        <w:tc>
          <w:tcPr>
            <w:tcW w:w="1209" w:type="dxa"/>
            <w:tcBorders>
              <w:top w:val="single" w:sz="4" w:space="0" w:color="auto"/>
              <w:left w:val="nil"/>
              <w:bottom w:val="single" w:sz="4" w:space="0" w:color="auto"/>
              <w:right w:val="single" w:sz="4" w:space="0" w:color="auto"/>
            </w:tcBorders>
            <w:shd w:val="clear" w:color="auto" w:fill="auto"/>
            <w:noWrap/>
            <w:vAlign w:val="bottom"/>
            <w:hideMark/>
          </w:tcPr>
          <w:p w:rsidR="007045EF" w:rsidRPr="006E7134" w:rsidRDefault="007045EF" w:rsidP="007045EF">
            <w:pPr>
              <w:rPr>
                <w:b/>
                <w:bCs/>
                <w:color w:val="0070C0"/>
                <w:sz w:val="18"/>
                <w:szCs w:val="18"/>
              </w:rPr>
            </w:pPr>
            <w:r>
              <w:rPr>
                <w:b/>
                <w:bCs/>
                <w:sz w:val="18"/>
                <w:szCs w:val="18"/>
              </w:rPr>
              <w:t> </w:t>
            </w:r>
          </w:p>
        </w:tc>
      </w:tr>
      <w:tr w:rsidR="007045EF" w:rsidRPr="006E7134" w:rsidTr="00201ED1">
        <w:trPr>
          <w:trHeight w:val="265"/>
        </w:trPr>
        <w:tc>
          <w:tcPr>
            <w:tcW w:w="4250" w:type="dxa"/>
            <w:tcBorders>
              <w:top w:val="single" w:sz="4" w:space="0" w:color="auto"/>
              <w:left w:val="single" w:sz="8" w:space="0" w:color="auto"/>
              <w:bottom w:val="single" w:sz="8" w:space="0" w:color="auto"/>
              <w:right w:val="single" w:sz="4" w:space="0" w:color="auto"/>
            </w:tcBorders>
            <w:shd w:val="clear" w:color="000000" w:fill="FFFFFF" w:themeFill="background1"/>
            <w:noWrap/>
            <w:vAlign w:val="bottom"/>
            <w:hideMark/>
          </w:tcPr>
          <w:p w:rsidR="007045EF" w:rsidRPr="00727072" w:rsidRDefault="007045EF" w:rsidP="007045EF">
            <w:pPr>
              <w:rPr>
                <w:b/>
                <w:bCs/>
                <w:sz w:val="18"/>
                <w:szCs w:val="18"/>
              </w:rPr>
            </w:pPr>
            <w:r w:rsidRPr="00727072">
              <w:rPr>
                <w:b/>
                <w:bCs/>
                <w:sz w:val="18"/>
                <w:szCs w:val="18"/>
              </w:rPr>
              <w:t>БЮДЖЕТНО САЛДО</w:t>
            </w:r>
          </w:p>
        </w:tc>
        <w:tc>
          <w:tcPr>
            <w:tcW w:w="1147" w:type="dxa"/>
            <w:tcBorders>
              <w:top w:val="single" w:sz="4" w:space="0" w:color="auto"/>
              <w:left w:val="single" w:sz="4" w:space="0" w:color="auto"/>
              <w:bottom w:val="single" w:sz="8" w:space="0" w:color="auto"/>
              <w:right w:val="nil"/>
            </w:tcBorders>
            <w:shd w:val="clear" w:color="auto" w:fill="auto"/>
            <w:noWrap/>
            <w:vAlign w:val="bottom"/>
            <w:hideMark/>
          </w:tcPr>
          <w:p w:rsidR="007045EF" w:rsidRPr="00727072" w:rsidRDefault="007045EF" w:rsidP="007045EF">
            <w:pPr>
              <w:jc w:val="right"/>
              <w:rPr>
                <w:b/>
                <w:bCs/>
                <w:sz w:val="18"/>
                <w:szCs w:val="18"/>
              </w:rPr>
            </w:pPr>
            <w:r w:rsidRPr="00727072">
              <w:rPr>
                <w:b/>
                <w:bCs/>
                <w:sz w:val="18"/>
                <w:szCs w:val="18"/>
              </w:rPr>
              <w:t>-6 219,3</w:t>
            </w:r>
          </w:p>
        </w:tc>
        <w:tc>
          <w:tcPr>
            <w:tcW w:w="1227" w:type="dxa"/>
            <w:tcBorders>
              <w:top w:val="single" w:sz="4" w:space="0" w:color="auto"/>
              <w:left w:val="nil"/>
              <w:bottom w:val="single" w:sz="4" w:space="0" w:color="auto"/>
              <w:right w:val="nil"/>
            </w:tcBorders>
            <w:shd w:val="clear" w:color="auto" w:fill="auto"/>
            <w:noWrap/>
            <w:vAlign w:val="bottom"/>
            <w:hideMark/>
          </w:tcPr>
          <w:p w:rsidR="007045EF" w:rsidRPr="006E7134" w:rsidRDefault="007045EF" w:rsidP="007045EF">
            <w:pPr>
              <w:jc w:val="right"/>
              <w:rPr>
                <w:b/>
                <w:bCs/>
                <w:color w:val="0070C0"/>
                <w:sz w:val="18"/>
                <w:szCs w:val="18"/>
              </w:rPr>
            </w:pPr>
            <w:r>
              <w:rPr>
                <w:b/>
                <w:bCs/>
                <w:sz w:val="18"/>
                <w:szCs w:val="18"/>
              </w:rPr>
              <w:t>-6 138,0</w:t>
            </w:r>
          </w:p>
        </w:tc>
        <w:tc>
          <w:tcPr>
            <w:tcW w:w="1222" w:type="dxa"/>
            <w:tcBorders>
              <w:top w:val="single" w:sz="4" w:space="0" w:color="auto"/>
              <w:left w:val="nil"/>
              <w:bottom w:val="single" w:sz="4" w:space="0" w:color="auto"/>
              <w:right w:val="nil"/>
            </w:tcBorders>
            <w:shd w:val="clear" w:color="auto" w:fill="auto"/>
            <w:noWrap/>
            <w:vAlign w:val="bottom"/>
            <w:hideMark/>
          </w:tcPr>
          <w:p w:rsidR="007045EF" w:rsidRPr="006E7134" w:rsidRDefault="007045EF" w:rsidP="007045EF">
            <w:pPr>
              <w:jc w:val="right"/>
              <w:rPr>
                <w:b/>
                <w:bCs/>
                <w:color w:val="0070C0"/>
                <w:sz w:val="18"/>
                <w:szCs w:val="18"/>
              </w:rPr>
            </w:pPr>
            <w:r>
              <w:rPr>
                <w:b/>
                <w:bCs/>
                <w:color w:val="000000"/>
                <w:sz w:val="18"/>
                <w:szCs w:val="18"/>
              </w:rPr>
              <w:t>-6 680,4</w:t>
            </w:r>
          </w:p>
        </w:tc>
        <w:tc>
          <w:tcPr>
            <w:tcW w:w="1199" w:type="dxa"/>
            <w:tcBorders>
              <w:top w:val="single" w:sz="4" w:space="0" w:color="auto"/>
              <w:left w:val="nil"/>
              <w:bottom w:val="single" w:sz="4" w:space="0" w:color="auto"/>
              <w:right w:val="nil"/>
            </w:tcBorders>
            <w:shd w:val="clear" w:color="auto" w:fill="auto"/>
            <w:noWrap/>
            <w:vAlign w:val="bottom"/>
            <w:hideMark/>
          </w:tcPr>
          <w:p w:rsidR="007045EF" w:rsidRPr="006E7134" w:rsidRDefault="007045EF" w:rsidP="007349B0">
            <w:pPr>
              <w:jc w:val="right"/>
              <w:rPr>
                <w:b/>
                <w:bCs/>
                <w:color w:val="0070C0"/>
                <w:sz w:val="18"/>
                <w:szCs w:val="18"/>
              </w:rPr>
            </w:pPr>
            <w:r>
              <w:rPr>
                <w:b/>
                <w:bCs/>
                <w:color w:val="000000"/>
                <w:sz w:val="18"/>
                <w:szCs w:val="18"/>
              </w:rPr>
              <w:t>542,</w:t>
            </w:r>
            <w:r w:rsidR="007349B0">
              <w:rPr>
                <w:b/>
                <w:bCs/>
                <w:color w:val="000000"/>
                <w:sz w:val="18"/>
                <w:szCs w:val="18"/>
              </w:rPr>
              <w:t>3</w:t>
            </w:r>
          </w:p>
        </w:tc>
        <w:tc>
          <w:tcPr>
            <w:tcW w:w="1209" w:type="dxa"/>
            <w:tcBorders>
              <w:top w:val="single" w:sz="4" w:space="0" w:color="auto"/>
              <w:left w:val="nil"/>
              <w:bottom w:val="single" w:sz="4" w:space="0" w:color="auto"/>
              <w:right w:val="single" w:sz="4" w:space="0" w:color="auto"/>
            </w:tcBorders>
            <w:shd w:val="clear" w:color="auto" w:fill="auto"/>
            <w:noWrap/>
            <w:vAlign w:val="bottom"/>
          </w:tcPr>
          <w:p w:rsidR="007045EF" w:rsidRPr="006E7134" w:rsidRDefault="007045EF" w:rsidP="007045EF">
            <w:pPr>
              <w:rPr>
                <w:b/>
                <w:bCs/>
                <w:color w:val="0070C0"/>
                <w:sz w:val="18"/>
                <w:szCs w:val="18"/>
              </w:rPr>
            </w:pPr>
            <w:r>
              <w:rPr>
                <w:b/>
                <w:bCs/>
              </w:rPr>
              <w:t> </w:t>
            </w:r>
          </w:p>
        </w:tc>
      </w:tr>
    </w:tbl>
    <w:p w:rsidR="001F66D5" w:rsidRPr="006E7134" w:rsidRDefault="001F66D5" w:rsidP="001F66D5">
      <w:pPr>
        <w:ind w:left="360"/>
        <w:jc w:val="both"/>
        <w:rPr>
          <w:color w:val="0070C0"/>
          <w:sz w:val="22"/>
        </w:rPr>
      </w:pPr>
    </w:p>
    <w:p w:rsidR="001F66D5" w:rsidRPr="006E7134" w:rsidRDefault="001F66D5" w:rsidP="001F66D5">
      <w:pPr>
        <w:tabs>
          <w:tab w:val="num" w:pos="2880"/>
        </w:tabs>
        <w:jc w:val="both"/>
        <w:rPr>
          <w:rFonts w:eastAsia="Calibri"/>
          <w:color w:val="0070C0"/>
        </w:rPr>
      </w:pPr>
    </w:p>
    <w:p w:rsidR="00E16AF6" w:rsidRPr="008B0B78" w:rsidRDefault="00E16AF6" w:rsidP="00E86EAF">
      <w:pPr>
        <w:numPr>
          <w:ilvl w:val="1"/>
          <w:numId w:val="9"/>
        </w:numPr>
        <w:tabs>
          <w:tab w:val="num" w:pos="426"/>
        </w:tabs>
        <w:ind w:left="0" w:firstLine="0"/>
        <w:jc w:val="both"/>
        <w:rPr>
          <w:rFonts w:eastAsia="Calibri"/>
          <w:color w:val="0070C0"/>
        </w:rPr>
      </w:pPr>
      <w:r w:rsidRPr="008B0B78">
        <w:rPr>
          <w:b/>
        </w:rPr>
        <w:t>Приходите, помощите и даренията по консолидираната фискална програма</w:t>
      </w:r>
      <w:r w:rsidRPr="008B0B78">
        <w:t xml:space="preserve"> (КФП) за</w:t>
      </w:r>
      <w:r w:rsidRPr="008B0B78">
        <w:rPr>
          <w:b/>
        </w:rPr>
        <w:t xml:space="preserve"> </w:t>
      </w:r>
      <w:r w:rsidRPr="008B0B78">
        <w:t xml:space="preserve">2024 г. </w:t>
      </w:r>
      <w:r w:rsidRPr="008B0B78">
        <w:rPr>
          <w:bCs/>
        </w:rPr>
        <w:t xml:space="preserve">са в размер на </w:t>
      </w:r>
      <w:r w:rsidR="00391FAE" w:rsidRPr="008B0B78">
        <w:rPr>
          <w:b/>
          <w:bCs/>
          <w:lang w:val="ru-RU"/>
        </w:rPr>
        <w:t>71 999,2 </w:t>
      </w:r>
      <w:r w:rsidR="00391FAE" w:rsidRPr="008B0B78">
        <w:rPr>
          <w:b/>
          <w:bCs/>
        </w:rPr>
        <w:t xml:space="preserve">млн. лв., което представлява 95,6 % от разчетите към ЗДБРБ за 2024 година. </w:t>
      </w:r>
      <w:r w:rsidR="00391FAE" w:rsidRPr="008B0B78">
        <w:rPr>
          <w:bCs/>
        </w:rPr>
        <w:t>Неизпълнението на разчетите по приходите по КФП се дължи основно на получените по-ниски от планираните приходи от помощи и дарения по сметките за средства от ЕС (поради непостъпване на втория и третия транш по Плана за възстановяване и устойчивост).</w:t>
      </w:r>
      <w:r w:rsidR="00391FAE">
        <w:rPr>
          <w:bCs/>
        </w:rPr>
        <w:t xml:space="preserve"> </w:t>
      </w:r>
      <w:r w:rsidR="00391FAE" w:rsidRPr="008B0B78">
        <w:rPr>
          <w:bCs/>
        </w:rPr>
        <w:t>Приходите по националния бюджет са близки до плана за годината, като преизпълнението на разчетите при данъчните приходи компенсира в голяма степен неизпълнението на разчетите при неданъчните приходи</w:t>
      </w:r>
      <w:r w:rsidRPr="008B0B78">
        <w:rPr>
          <w:rFonts w:eastAsia="Calibri"/>
          <w:color w:val="0070C0"/>
        </w:rPr>
        <w:t>.</w:t>
      </w:r>
    </w:p>
    <w:p w:rsidR="00E16AF6" w:rsidRPr="006E7134" w:rsidRDefault="00E16AF6" w:rsidP="00E16AF6">
      <w:pPr>
        <w:spacing w:before="120"/>
        <w:jc w:val="both"/>
        <w:rPr>
          <w:color w:val="0070C0"/>
        </w:rPr>
      </w:pPr>
      <w:r w:rsidRPr="006B6363">
        <w:t>Общата сума</w:t>
      </w:r>
      <w:r w:rsidRPr="006B6363">
        <w:rPr>
          <w:b/>
        </w:rPr>
        <w:t xml:space="preserve"> </w:t>
      </w:r>
      <w:r w:rsidRPr="006B6363">
        <w:t>на</w:t>
      </w:r>
      <w:r w:rsidRPr="006B6363">
        <w:rPr>
          <w:b/>
        </w:rPr>
        <w:t xml:space="preserve"> </w:t>
      </w:r>
      <w:r w:rsidRPr="006B6363">
        <w:rPr>
          <w:b/>
          <w:i/>
        </w:rPr>
        <w:t>данъчните постъпления</w:t>
      </w:r>
      <w:r w:rsidRPr="006B6363">
        <w:t xml:space="preserve"> (вкл. приходите от осигурителни вноски) е в размер на </w:t>
      </w:r>
      <w:r w:rsidR="006B6363" w:rsidRPr="006B6363">
        <w:rPr>
          <w:b/>
          <w:i/>
        </w:rPr>
        <w:t>58 700,2</w:t>
      </w:r>
      <w:r w:rsidR="006B6363" w:rsidRPr="006B6363">
        <w:rPr>
          <w:b/>
          <w:i/>
          <w:lang w:val="en-US"/>
        </w:rPr>
        <w:t> </w:t>
      </w:r>
      <w:r w:rsidR="006B6363" w:rsidRPr="006B6363">
        <w:rPr>
          <w:b/>
          <w:i/>
        </w:rPr>
        <w:t>млн.</w:t>
      </w:r>
      <w:r w:rsidR="006B6363" w:rsidRPr="006B6363">
        <w:rPr>
          <w:b/>
          <w:i/>
          <w:lang w:val="en-US"/>
        </w:rPr>
        <w:t> </w:t>
      </w:r>
      <w:r w:rsidR="006B6363" w:rsidRPr="006B6363">
        <w:rPr>
          <w:b/>
          <w:i/>
        </w:rPr>
        <w:t>лв.</w:t>
      </w:r>
      <w:r w:rsidR="006B6363" w:rsidRPr="006B6363">
        <w:t xml:space="preserve">, което представлява 101,3 % спрямо разчетените за годината и формират 81,5 % от </w:t>
      </w:r>
      <w:r w:rsidR="006B6363" w:rsidRPr="00D82E95">
        <w:t>общите постъпления по КФП за периода</w:t>
      </w:r>
      <w:r w:rsidRPr="00D82E95">
        <w:t xml:space="preserve">. За сравнение изпълнението на разчетите за годината при данъчните приходи </w:t>
      </w:r>
      <w:r w:rsidR="003145C2" w:rsidRPr="00D82E95">
        <w:t>за</w:t>
      </w:r>
      <w:r w:rsidRPr="00D82E95">
        <w:t xml:space="preserve"> 2023 г. бе </w:t>
      </w:r>
      <w:r w:rsidR="00D82E95" w:rsidRPr="00D82E95">
        <w:t>98,4</w:t>
      </w:r>
      <w:r w:rsidRPr="00D82E95">
        <w:t xml:space="preserve"> на сто.</w:t>
      </w:r>
    </w:p>
    <w:p w:rsidR="00860E28" w:rsidRPr="00860E28" w:rsidRDefault="005712B1" w:rsidP="00860E28">
      <w:pPr>
        <w:spacing w:before="120"/>
        <w:jc w:val="both"/>
      </w:pPr>
      <w:r>
        <w:t>С</w:t>
      </w:r>
      <w:r w:rsidR="00BF1982">
        <w:t>лед месец април</w:t>
      </w:r>
      <w:r w:rsidR="00860E28" w:rsidRPr="00860E28">
        <w:t xml:space="preserve"> бяха положени значителни усилия за повишаване на събираемостта на приходите, подобряване спазването на данъчното законодателство, превенция и противодействие на данъчните измами и отклонението от данъчно облагане. Особено активно се работеше по линия на укрепване на фискалния контрол на стоки с висок фискален риск, което води до по-ефективна превенция и противодействие срещу данъчните измами и укриването и невнасянето на данъци. Подсилен бе и обмен</w:t>
      </w:r>
      <w:r w:rsidR="004A4FC1">
        <w:t>ът</w:t>
      </w:r>
      <w:r w:rsidR="00860E28" w:rsidRPr="00860E28">
        <w:t xml:space="preserve"> на информация за трансграничните плащания, произхождащи от държави членки и за получателя на тези трансгранични плащания, с цел правилното отчитане и облагане с ДДС на електронната търговия в ЕС, засилен бе контрол</w:t>
      </w:r>
      <w:r w:rsidR="004A4FC1">
        <w:t>ът</w:t>
      </w:r>
      <w:r w:rsidR="00860E28" w:rsidRPr="00860E28">
        <w:t xml:space="preserve"> на акцизните складове и други. Резултатите от работата на приходните администрации в тази насока се потвърждават както от преизпълнението на годишните разчети в частта на данъчните и осигурителнит</w:t>
      </w:r>
      <w:r w:rsidR="00EB21DE">
        <w:t>е приходи, така и от номиналния им</w:t>
      </w:r>
      <w:r w:rsidR="00860E28" w:rsidRPr="00860E28">
        <w:t xml:space="preserve"> ръст спрямо предходната година, който надвишава ръста на БВП и годишната инфлация в страната.</w:t>
      </w:r>
    </w:p>
    <w:p w:rsidR="00E16AF6" w:rsidRPr="002860A4" w:rsidRDefault="002860A4" w:rsidP="00E16AF6">
      <w:pPr>
        <w:spacing w:before="120"/>
        <w:jc w:val="both"/>
        <w:rPr>
          <w:color w:val="0070C0"/>
        </w:rPr>
      </w:pPr>
      <w:r w:rsidRPr="002860A4">
        <w:t xml:space="preserve">Приходите в частта на </w:t>
      </w:r>
      <w:r w:rsidRPr="002860A4">
        <w:rPr>
          <w:i/>
        </w:rPr>
        <w:t xml:space="preserve">преките данъци </w:t>
      </w:r>
      <w:r w:rsidRPr="002860A4">
        <w:t xml:space="preserve">възлизат на 12 483,3 млн. лв., което представлява 97,0 % от разчета за 2024 г. и ръст от </w:t>
      </w:r>
      <w:r w:rsidRPr="002860A4">
        <w:rPr>
          <w:rFonts w:eastAsia="Calibri"/>
        </w:rPr>
        <w:t xml:space="preserve">1 261,2 млн. лв. </w:t>
      </w:r>
      <w:r w:rsidRPr="002860A4">
        <w:rPr>
          <w:rFonts w:eastAsia="Calibri"/>
          <w:lang w:val="ru-RU"/>
        </w:rPr>
        <w:t>(</w:t>
      </w:r>
      <w:r w:rsidRPr="002860A4">
        <w:rPr>
          <w:rFonts w:eastAsia="Calibri"/>
        </w:rPr>
        <w:t>11,2 %</w:t>
      </w:r>
      <w:r w:rsidRPr="002860A4">
        <w:rPr>
          <w:rFonts w:eastAsia="Calibri"/>
          <w:lang w:val="ru-RU"/>
        </w:rPr>
        <w:t xml:space="preserve">) спрямо </w:t>
      </w:r>
      <w:r w:rsidRPr="002860A4">
        <w:t xml:space="preserve">отчетените към декември 2023 г. Приходите от </w:t>
      </w:r>
      <w:r w:rsidRPr="002860A4">
        <w:rPr>
          <w:i/>
        </w:rPr>
        <w:t>косвени данъци</w:t>
      </w:r>
      <w:r w:rsidRPr="002860A4">
        <w:t xml:space="preserve"> са в размер на 25 888,9 </w:t>
      </w:r>
      <w:r w:rsidRPr="002860A4">
        <w:rPr>
          <w:rFonts w:eastAsia="Calibri"/>
          <w:bCs/>
          <w:iCs/>
        </w:rPr>
        <w:t>млн. лв.</w:t>
      </w:r>
      <w:r w:rsidRPr="002860A4">
        <w:rPr>
          <w:rFonts w:eastAsia="Calibri"/>
        </w:rPr>
        <w:t>, което представлява 101,5</w:t>
      </w:r>
      <w:r w:rsidRPr="002860A4">
        <w:rPr>
          <w:rFonts w:eastAsia="Calibri"/>
          <w:lang w:val="en-US"/>
        </w:rPr>
        <w:t> </w:t>
      </w:r>
      <w:r w:rsidRPr="002860A4">
        <w:rPr>
          <w:rFonts w:eastAsia="Calibri"/>
        </w:rPr>
        <w:t xml:space="preserve">% спрямо предвидените в ЗДБРБ за 2024 г. </w:t>
      </w:r>
      <w:r w:rsidRPr="002860A4">
        <w:t>и</w:t>
      </w:r>
      <w:r w:rsidRPr="002860A4">
        <w:rPr>
          <w:bCs/>
        </w:rPr>
        <w:t xml:space="preserve"> ръст от</w:t>
      </w:r>
      <w:r w:rsidRPr="002860A4">
        <w:t xml:space="preserve"> 3 141,4 млн. лв. </w:t>
      </w:r>
      <w:r w:rsidRPr="002860A4">
        <w:rPr>
          <w:lang w:val="ru-RU"/>
        </w:rPr>
        <w:t>(</w:t>
      </w:r>
      <w:r w:rsidRPr="002860A4">
        <w:t>13,8 %</w:t>
      </w:r>
      <w:r w:rsidRPr="002860A4">
        <w:rPr>
          <w:lang w:val="ru-RU"/>
        </w:rPr>
        <w:t>)</w:t>
      </w:r>
      <w:r w:rsidRPr="002860A4">
        <w:t xml:space="preserve"> спрямо отчетените към декември 2023 г. Постъпленията от </w:t>
      </w:r>
      <w:r w:rsidRPr="002860A4">
        <w:rPr>
          <w:i/>
        </w:rPr>
        <w:t>други данъци</w:t>
      </w:r>
      <w:r w:rsidRPr="002860A4">
        <w:t xml:space="preserve"> (включват други данъци по ЗКПО, имуществени и др. данъци) са в размер на 2 309,5</w:t>
      </w:r>
      <w:r w:rsidRPr="002860A4">
        <w:rPr>
          <w:lang w:val="ru-RU"/>
        </w:rPr>
        <w:t xml:space="preserve"> </w:t>
      </w:r>
      <w:r w:rsidRPr="002860A4">
        <w:t xml:space="preserve">млн. лв. </w:t>
      </w:r>
      <w:r w:rsidRPr="002860A4">
        <w:rPr>
          <w:rFonts w:eastAsia="Calibri"/>
        </w:rPr>
        <w:t>(в т. ч. 559,3 млн. лв. по бюджета на Фонд "Сигурност на електроенергийната система"</w:t>
      </w:r>
      <w:r w:rsidRPr="002860A4">
        <w:rPr>
          <w:rFonts w:eastAsia="Calibri"/>
          <w:lang w:val="ru-RU"/>
        </w:rPr>
        <w:t xml:space="preserve"> - </w:t>
      </w:r>
      <w:r w:rsidRPr="002860A4">
        <w:rPr>
          <w:rFonts w:eastAsia="Calibri"/>
        </w:rPr>
        <w:t>ФСЕС при 949,2 млн. лв. към декември 2023</w:t>
      </w:r>
      <w:r w:rsidRPr="002860A4">
        <w:rPr>
          <w:rFonts w:eastAsia="Calibri"/>
          <w:lang w:val="en-US"/>
        </w:rPr>
        <w:t> </w:t>
      </w:r>
      <w:r w:rsidRPr="002860A4">
        <w:rPr>
          <w:rFonts w:eastAsia="Calibri"/>
        </w:rPr>
        <w:t>г.)</w:t>
      </w:r>
      <w:r w:rsidRPr="002860A4">
        <w:t xml:space="preserve">, което представлява 124,7 % спрямо годишния разчет. Приходите от </w:t>
      </w:r>
      <w:r w:rsidRPr="002860A4">
        <w:rPr>
          <w:i/>
        </w:rPr>
        <w:t xml:space="preserve">социални и здравноосигурителни </w:t>
      </w:r>
      <w:r w:rsidRPr="002860A4">
        <w:rPr>
          <w:i/>
        </w:rPr>
        <w:lastRenderedPageBreak/>
        <w:t>вноски</w:t>
      </w:r>
      <w:r w:rsidRPr="002860A4">
        <w:t xml:space="preserve"> са в размер на 18 018,4 млн. лв. или 101,6 % спрямо разчета за 2024 г. и </w:t>
      </w:r>
      <w:r w:rsidRPr="002860A4">
        <w:rPr>
          <w:rFonts w:eastAsia="Calibri"/>
        </w:rPr>
        <w:t xml:space="preserve">ръст от 2 392,1 млн. лв. </w:t>
      </w:r>
      <w:r w:rsidRPr="002860A4">
        <w:rPr>
          <w:rFonts w:eastAsia="Calibri"/>
          <w:lang w:val="ru-RU"/>
        </w:rPr>
        <w:t>(</w:t>
      </w:r>
      <w:r w:rsidRPr="002860A4">
        <w:rPr>
          <w:rFonts w:eastAsia="Calibri"/>
        </w:rPr>
        <w:t>15,3 %</w:t>
      </w:r>
      <w:r w:rsidRPr="002860A4">
        <w:rPr>
          <w:rFonts w:eastAsia="Calibri"/>
          <w:lang w:val="ru-RU"/>
        </w:rPr>
        <w:t>)</w:t>
      </w:r>
      <w:r w:rsidRPr="002860A4">
        <w:rPr>
          <w:rFonts w:eastAsia="Calibri"/>
        </w:rPr>
        <w:t xml:space="preserve"> спрямо отчетените за </w:t>
      </w:r>
      <w:r w:rsidRPr="002860A4">
        <w:t>2023 година</w:t>
      </w:r>
      <w:r w:rsidR="00E16AF6" w:rsidRPr="002860A4">
        <w:rPr>
          <w:color w:val="0070C0"/>
        </w:rPr>
        <w:t xml:space="preserve">. </w:t>
      </w:r>
    </w:p>
    <w:p w:rsidR="00EA7657" w:rsidRPr="006E7134" w:rsidRDefault="00E16AF6" w:rsidP="00BD7E29">
      <w:pPr>
        <w:spacing w:before="120"/>
        <w:jc w:val="both"/>
        <w:rPr>
          <w:color w:val="0070C0"/>
        </w:rPr>
      </w:pPr>
      <w:r w:rsidRPr="005E6E72">
        <w:rPr>
          <w:b/>
          <w:bCs/>
          <w:i/>
          <w:iCs/>
        </w:rPr>
        <w:t>Неданъчните приходи</w:t>
      </w:r>
      <w:r w:rsidRPr="005E6E72">
        <w:rPr>
          <w:b/>
          <w:bCs/>
          <w:iCs/>
        </w:rPr>
        <w:t xml:space="preserve"> </w:t>
      </w:r>
      <w:r w:rsidRPr="005E6E72">
        <w:t xml:space="preserve">са в размер на </w:t>
      </w:r>
      <w:r w:rsidR="005E6E72" w:rsidRPr="005E6E72">
        <w:rPr>
          <w:b/>
          <w:i/>
        </w:rPr>
        <w:t>9 667,4</w:t>
      </w:r>
      <w:r w:rsidR="005E6E72" w:rsidRPr="005E6E72">
        <w:rPr>
          <w:rFonts w:eastAsia="Calibri"/>
          <w:bCs/>
        </w:rPr>
        <w:t xml:space="preserve"> </w:t>
      </w:r>
      <w:r w:rsidR="005E6E72" w:rsidRPr="005E6E72">
        <w:rPr>
          <w:rFonts w:eastAsia="Calibri"/>
          <w:b/>
          <w:bCs/>
          <w:i/>
        </w:rPr>
        <w:t>млн. лв.</w:t>
      </w:r>
      <w:r w:rsidR="005E6E72" w:rsidRPr="005E6E72">
        <w:rPr>
          <w:rFonts w:eastAsia="Calibri"/>
          <w:bCs/>
        </w:rPr>
        <w:t xml:space="preserve">, което представлява 94,2 % от годишните </w:t>
      </w:r>
      <w:r w:rsidR="005E6E72">
        <w:rPr>
          <w:rFonts w:eastAsia="Calibri"/>
          <w:bCs/>
        </w:rPr>
        <w:t>разчети. Тези приходи са по-ниски от планираните с разчетите към ЗДБРБ за 2024 г. основно поради по-ниските постъпления от продажба на нефинансови активи (главно при постъпленията от продажба на квоти за емисии на парникови газове), по-ниски от планираните държавни и общински такси и други. Неданъчните приходи се формират основно от приходи от държавни, общински и съдебни такси, приходи и доходи от собственост, приходи от концесии, приходи от продажба на квоти за емисии на парникови газове и други</w:t>
      </w:r>
      <w:r w:rsidRPr="006E7134">
        <w:rPr>
          <w:rFonts w:eastAsia="Calibri"/>
          <w:color w:val="0070C0"/>
        </w:rPr>
        <w:t>.</w:t>
      </w:r>
      <w:r w:rsidRPr="006E7134">
        <w:rPr>
          <w:color w:val="0070C0"/>
        </w:rPr>
        <w:t xml:space="preserve"> </w:t>
      </w:r>
    </w:p>
    <w:p w:rsidR="00E16AF6" w:rsidRDefault="00E16AF6" w:rsidP="00E16AF6">
      <w:pPr>
        <w:spacing w:before="120" w:after="120"/>
        <w:jc w:val="both"/>
        <w:rPr>
          <w:color w:val="0070C0"/>
        </w:rPr>
      </w:pPr>
      <w:r w:rsidRPr="00287EC1">
        <w:t xml:space="preserve">Постъпленията от </w:t>
      </w:r>
      <w:r w:rsidRPr="00287EC1">
        <w:rPr>
          <w:b/>
          <w:i/>
        </w:rPr>
        <w:t>помощи</w:t>
      </w:r>
      <w:r w:rsidRPr="00287EC1">
        <w:t xml:space="preserve"> </w:t>
      </w:r>
      <w:r w:rsidRPr="00287EC1">
        <w:rPr>
          <w:b/>
          <w:i/>
        </w:rPr>
        <w:t>и дарения</w:t>
      </w:r>
      <w:r w:rsidRPr="00287EC1">
        <w:t xml:space="preserve"> </w:t>
      </w:r>
      <w:r w:rsidR="0068081D">
        <w:t>за</w:t>
      </w:r>
      <w:r w:rsidR="00287EC1" w:rsidRPr="00287EC1">
        <w:t xml:space="preserve"> 2024 г. са в размер на </w:t>
      </w:r>
      <w:r w:rsidR="00287EC1" w:rsidRPr="00287EC1">
        <w:rPr>
          <w:b/>
          <w:i/>
        </w:rPr>
        <w:t>3 631,6 млн. лв.</w:t>
      </w:r>
      <w:r w:rsidR="00287EC1" w:rsidRPr="00287EC1">
        <w:t xml:space="preserve">, като </w:t>
      </w:r>
      <w:r w:rsidR="00287EC1">
        <w:t>остават значително под заложените в разчета към ЗДБРБ за 2024 г. (7 080,7 млн. лв.). Това се дължи на непостъпване на планираните втори и трети транш по Плана за възстановяване и устойчивост и част от планираните приходи по оперативните програми на ЕС (неизпълнение на разчетите по приходите от помощи и дарения по КФП с 3,4 млрд. лв.)</w:t>
      </w:r>
      <w:r w:rsidRPr="006E7134">
        <w:rPr>
          <w:b/>
          <w:i/>
          <w:color w:val="0070C0"/>
        </w:rPr>
        <w:t xml:space="preserve">. </w:t>
      </w:r>
      <w:r w:rsidRPr="006E7134">
        <w:rPr>
          <w:color w:val="0070C0"/>
        </w:rPr>
        <w:t xml:space="preserve"> </w:t>
      </w:r>
    </w:p>
    <w:p w:rsidR="002C38DE" w:rsidRPr="006E7134" w:rsidRDefault="002C38DE" w:rsidP="00E16AF6">
      <w:pPr>
        <w:spacing w:before="120" w:after="120"/>
        <w:jc w:val="both"/>
        <w:rPr>
          <w:color w:val="0070C0"/>
        </w:rPr>
      </w:pPr>
    </w:p>
    <w:p w:rsidR="00E16AF6" w:rsidRDefault="002C38DE" w:rsidP="00E16AF6">
      <w:pPr>
        <w:spacing w:before="120" w:after="120"/>
        <w:jc w:val="both"/>
        <w:rPr>
          <w:color w:val="0070C0"/>
        </w:rPr>
      </w:pPr>
      <w:r>
        <w:rPr>
          <w:noProof/>
          <w:lang w:eastAsia="bg-BG"/>
        </w:rPr>
        <w:drawing>
          <wp:inline distT="0" distB="0" distL="0" distR="0" wp14:anchorId="399185DD" wp14:editId="1EC9363F">
            <wp:extent cx="5842000" cy="2362200"/>
            <wp:effectExtent l="0" t="0" r="635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C38DE" w:rsidRPr="006E7134" w:rsidRDefault="002C38DE" w:rsidP="00E16AF6">
      <w:pPr>
        <w:spacing w:before="120" w:after="120"/>
        <w:jc w:val="both"/>
        <w:rPr>
          <w:color w:val="0070C0"/>
        </w:rPr>
      </w:pPr>
    </w:p>
    <w:p w:rsidR="00ED63E1" w:rsidRDefault="00ED63E1" w:rsidP="00ED63E1">
      <w:pPr>
        <w:jc w:val="both"/>
        <w:rPr>
          <w:rFonts w:eastAsia="Calibri"/>
        </w:rPr>
      </w:pPr>
      <w:bookmarkStart w:id="17" w:name="_MON_1562495641"/>
      <w:bookmarkStart w:id="18" w:name="_MON_1562495680"/>
      <w:bookmarkStart w:id="19" w:name="_MON_1562495725"/>
      <w:bookmarkStart w:id="20" w:name="_MON_1562495759"/>
      <w:bookmarkStart w:id="21" w:name="_MON_1562495782"/>
      <w:bookmarkStart w:id="22" w:name="_MON_1562495848"/>
      <w:bookmarkStart w:id="23" w:name="_MON_1562495926"/>
      <w:bookmarkStart w:id="24" w:name="_MON_1562495995"/>
      <w:bookmarkStart w:id="25" w:name="_MON_1562496100"/>
      <w:bookmarkStart w:id="26" w:name="_MON_1562496172"/>
      <w:bookmarkStart w:id="27" w:name="_MON_1562496201"/>
      <w:bookmarkStart w:id="28" w:name="_MON_1562496223"/>
      <w:bookmarkStart w:id="29" w:name="_MON_1562496546"/>
      <w:bookmarkStart w:id="30" w:name="_MON_1562494801"/>
      <w:bookmarkStart w:id="31" w:name="_MON_1562575628"/>
      <w:bookmarkStart w:id="32" w:name="_MON_1562575824"/>
      <w:bookmarkStart w:id="33" w:name="_MON_1562575867"/>
      <w:bookmarkStart w:id="34" w:name="_MON_1562494914"/>
      <w:bookmarkStart w:id="35" w:name="_MON_1562495064"/>
      <w:bookmarkStart w:id="36" w:name="_MON_1562495152"/>
      <w:bookmarkStart w:id="37" w:name="_MON_1562495221"/>
      <w:bookmarkStart w:id="38" w:name="_MON_1562495389"/>
      <w:bookmarkStart w:id="39" w:name="_MON_1522508180"/>
      <w:bookmarkStart w:id="40" w:name="_MON_1522508239"/>
      <w:bookmarkStart w:id="41" w:name="_MON_1522508269"/>
      <w:bookmarkStart w:id="42" w:name="_MON_1522508157"/>
      <w:bookmarkStart w:id="43" w:name="_MON_1549360449"/>
      <w:bookmarkStart w:id="44" w:name="_MON_1549360548"/>
      <w:bookmarkStart w:id="45" w:name="_MON_1549360567"/>
      <w:bookmarkStart w:id="46" w:name="_MON_1562165742"/>
      <w:bookmarkStart w:id="47" w:name="_MON_1562165832"/>
      <w:bookmarkStart w:id="48" w:name="_MON_1562165842"/>
      <w:bookmarkStart w:id="49" w:name="_MON_1562166008"/>
      <w:bookmarkStart w:id="50" w:name="_MON_1562166044"/>
      <w:bookmarkStart w:id="51" w:name="_MON_1522569064"/>
      <w:bookmarkStart w:id="52" w:name="_MON_1522569263"/>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rsidRPr="004D6FE0">
        <w:rPr>
          <w:rFonts w:eastAsia="Calibri"/>
          <w:b/>
        </w:rPr>
        <w:t>Разходите</w:t>
      </w:r>
      <w:r w:rsidRPr="004D6FE0">
        <w:rPr>
          <w:rFonts w:eastAsia="Calibri"/>
        </w:rPr>
        <w:t xml:space="preserve"> по КФП (вкл. вноската на Република България в бюджета на ЕС) към декември 2024 г</w:t>
      </w:r>
      <w:r w:rsidRPr="003B281D">
        <w:rPr>
          <w:rFonts w:eastAsia="Calibri"/>
        </w:rPr>
        <w:t xml:space="preserve">. възлизат на </w:t>
      </w:r>
      <w:r w:rsidRPr="00D9071C">
        <w:rPr>
          <w:rFonts w:eastAsia="Calibri"/>
          <w:b/>
        </w:rPr>
        <w:t>78 137,2 млн. лв.</w:t>
      </w:r>
      <w:r w:rsidRPr="003B281D">
        <w:rPr>
          <w:rFonts w:eastAsia="Calibri"/>
        </w:rPr>
        <w:t xml:space="preserve">, което е 95,9 % от годишните разчети. </w:t>
      </w:r>
      <w:r>
        <w:rPr>
          <w:color w:val="000000" w:themeColor="text1"/>
        </w:rPr>
        <w:t>По-ниски от планираните са разходите основно по сметките за средства от ЕС, докато разходите по националния бюджет превишават разчетите за годината, което се дължи на по-високи от планираните разходи на общините. По-ниско е усвояването на планираните средства по ПВУ, както и при някои от оперативните програми по новия програмен период, което изцяло компенсира неизпълнението в частта на приходите и помощите, представено по-горе.</w:t>
      </w:r>
    </w:p>
    <w:p w:rsidR="0089685C" w:rsidRDefault="00ED63E1" w:rsidP="00ED63E1">
      <w:pPr>
        <w:spacing w:before="120"/>
        <w:jc w:val="both"/>
        <w:rPr>
          <w:color w:val="0070C0"/>
          <w:lang w:val="ru-RU"/>
        </w:rPr>
      </w:pPr>
      <w:r>
        <w:rPr>
          <w:rFonts w:eastAsia="Calibri"/>
          <w:lang w:val="ru-RU"/>
        </w:rPr>
        <w:t>Разгледани по икономчески елементи разходите</w:t>
      </w:r>
      <w:r w:rsidRPr="003B281D">
        <w:rPr>
          <w:rFonts w:eastAsia="Calibri"/>
          <w:lang w:val="ru-RU"/>
        </w:rPr>
        <w:t xml:space="preserve"> нараства</w:t>
      </w:r>
      <w:r>
        <w:rPr>
          <w:rFonts w:eastAsia="Calibri"/>
          <w:lang w:val="ru-RU"/>
        </w:rPr>
        <w:t>т</w:t>
      </w:r>
      <w:r w:rsidRPr="003B281D">
        <w:rPr>
          <w:rFonts w:eastAsia="Calibri"/>
          <w:lang w:val="ru-RU"/>
        </w:rPr>
        <w:t xml:space="preserve"> основно </w:t>
      </w:r>
      <w:r>
        <w:rPr>
          <w:rFonts w:eastAsia="Calibri"/>
          <w:lang w:val="ru-RU"/>
        </w:rPr>
        <w:t>в частта на</w:t>
      </w:r>
      <w:r w:rsidRPr="003B281D">
        <w:rPr>
          <w:rFonts w:eastAsia="Calibri"/>
          <w:lang w:val="ru-RU"/>
        </w:rPr>
        <w:t xml:space="preserve"> социалните разходи, вследствие на изплатените по-високи пенсии след влезлите в сила увеличения от юли 2023 г. и юли 2024 г., както и при разходите за персонал, след увеличението на възнагражденията на педагогическия персонал</w:t>
      </w:r>
      <w:r>
        <w:rPr>
          <w:rFonts w:eastAsia="Calibri"/>
          <w:lang w:val="ru-RU"/>
        </w:rPr>
        <w:t xml:space="preserve">, увеличението на възнагражденията </w:t>
      </w:r>
      <w:r>
        <w:rPr>
          <w:color w:val="000000" w:themeColor="text1"/>
        </w:rPr>
        <w:t>на лицата от академичния състав в държавните висши училища, като и</w:t>
      </w:r>
      <w:r w:rsidRPr="003B281D">
        <w:rPr>
          <w:rFonts w:eastAsia="Calibri"/>
          <w:lang w:val="ru-RU"/>
        </w:rPr>
        <w:t xml:space="preserve"> при други администрации с</w:t>
      </w:r>
      <w:r w:rsidR="00AF293F">
        <w:rPr>
          <w:rFonts w:eastAsia="Calibri"/>
          <w:lang w:val="ru-RU"/>
        </w:rPr>
        <w:t>ъ</w:t>
      </w:r>
      <w:r w:rsidRPr="003B281D">
        <w:rPr>
          <w:rFonts w:eastAsia="Calibri"/>
        </w:rPr>
        <w:t>с</w:t>
      </w:r>
      <w:r w:rsidRPr="003B281D">
        <w:rPr>
          <w:rFonts w:eastAsia="Calibri"/>
          <w:lang w:val="ru-RU"/>
        </w:rPr>
        <w:t xml:space="preserve"> ЗДБРБ за 2023 г.</w:t>
      </w:r>
      <w:r>
        <w:rPr>
          <w:rFonts w:eastAsia="Calibri"/>
        </w:rPr>
        <w:t>,</w:t>
      </w:r>
      <w:r w:rsidRPr="003B281D">
        <w:rPr>
          <w:rFonts w:eastAsia="Calibri"/>
          <w:lang w:val="ru-RU"/>
        </w:rPr>
        <w:t xml:space="preserve"> ЗДБРБ за 2024 г.,</w:t>
      </w:r>
      <w:r>
        <w:rPr>
          <w:rFonts w:eastAsia="Calibri"/>
          <w:lang w:val="ru-RU"/>
        </w:rPr>
        <w:t xml:space="preserve"> Закона за висшето образование</w:t>
      </w:r>
      <w:r w:rsidRPr="003B281D">
        <w:rPr>
          <w:rFonts w:eastAsia="Calibri"/>
          <w:lang w:val="ru-RU"/>
        </w:rPr>
        <w:t xml:space="preserve"> и други</w:t>
      </w:r>
      <w:r w:rsidR="0089685C">
        <w:rPr>
          <w:rFonts w:eastAsia="Calibri"/>
          <w:lang w:val="ru-RU"/>
        </w:rPr>
        <w:t>.</w:t>
      </w:r>
      <w:r w:rsidR="0089685C">
        <w:rPr>
          <w:lang w:val="ru-RU"/>
        </w:rPr>
        <w:t xml:space="preserve">  </w:t>
      </w:r>
    </w:p>
    <w:p w:rsidR="00C22819" w:rsidRDefault="0089685C" w:rsidP="0089685C">
      <w:pPr>
        <w:spacing w:before="120" w:after="120"/>
        <w:jc w:val="both"/>
        <w:rPr>
          <w:rFonts w:eastAsia="Calibri"/>
          <w:bCs/>
        </w:rPr>
      </w:pPr>
      <w:r>
        <w:rPr>
          <w:rFonts w:eastAsia="Calibri"/>
          <w:b/>
          <w:bCs/>
          <w:i/>
        </w:rPr>
        <w:t>Нелихвените разходи</w:t>
      </w:r>
      <w:r>
        <w:rPr>
          <w:rFonts w:eastAsia="Calibri"/>
          <w:bCs/>
        </w:rPr>
        <w:t xml:space="preserve"> към декември 2024 г. са в размер на </w:t>
      </w:r>
      <w:r>
        <w:rPr>
          <w:rFonts w:eastAsia="Calibri"/>
          <w:bCs/>
          <w:lang w:val="en-US"/>
        </w:rPr>
        <w:t>75 535</w:t>
      </w:r>
      <w:r>
        <w:rPr>
          <w:rFonts w:eastAsia="Calibri"/>
          <w:bCs/>
        </w:rPr>
        <w:t xml:space="preserve">,7 млн. лв., което представлява 97,0 % от годишния разчет. </w:t>
      </w:r>
      <w:r>
        <w:rPr>
          <w:rFonts w:eastAsia="Calibri"/>
          <w:bCs/>
          <w:i/>
        </w:rPr>
        <w:t>Текущите нелихвени разходи</w:t>
      </w:r>
      <w:r>
        <w:rPr>
          <w:rFonts w:eastAsia="Calibri"/>
          <w:bCs/>
        </w:rPr>
        <w:t xml:space="preserve"> са в размер на 68 689,0 млн. лв. </w:t>
      </w:r>
      <w:r>
        <w:rPr>
          <w:rFonts w:eastAsia="Calibri"/>
          <w:bCs/>
          <w:i/>
        </w:rPr>
        <w:t>Капиталовите разходи</w:t>
      </w:r>
      <w:r>
        <w:rPr>
          <w:rFonts w:eastAsia="Calibri"/>
          <w:bCs/>
        </w:rPr>
        <w:t xml:space="preserve"> (вкл. нетния прираст на държавния резерв) възлизат на 6 798,1 млн. лв. </w:t>
      </w:r>
      <w:r>
        <w:rPr>
          <w:rFonts w:eastAsia="Calibri"/>
          <w:bCs/>
          <w:i/>
        </w:rPr>
        <w:t>Предоставените текущи и капиталови трансфери за чужбина</w:t>
      </w:r>
      <w:r>
        <w:rPr>
          <w:rFonts w:eastAsia="Calibri"/>
          <w:bCs/>
        </w:rPr>
        <w:t xml:space="preserve"> са в размер на 48,6 млн. лв.</w:t>
      </w:r>
    </w:p>
    <w:p w:rsidR="00C22819" w:rsidRDefault="00C22819" w:rsidP="00C22819">
      <w:pPr>
        <w:spacing w:before="120" w:after="120"/>
        <w:jc w:val="both"/>
        <w:rPr>
          <w:rFonts w:eastAsia="Calibri"/>
          <w:bCs/>
        </w:rPr>
      </w:pPr>
      <w:r>
        <w:rPr>
          <w:rFonts w:eastAsia="Calibri"/>
          <w:bCs/>
        </w:rPr>
        <w:t xml:space="preserve">Съпоставено с разчета за годината най-значително неизпълнение на плана се отчита при разходите по сметките за средства от ЕС, основно в частта на капиталовите разходи. При планирани в разчетите към ЗДБРБ за 2024 г. капиталови разходи и трансфери по сметките за средства от ЕС в размер на 5 873,1 млн. лв. отчетените разходи по тези показатели за годината са </w:t>
      </w:r>
      <w:r>
        <w:rPr>
          <w:rFonts w:eastAsia="Calibri"/>
          <w:bCs/>
        </w:rPr>
        <w:lastRenderedPageBreak/>
        <w:t>в размер на едва 2 443,7 млн. лв. Причините за това са свързани основно със забавеното усвояване на средствата по НПВУ, което съответно оказва натиск върху бюджета за 2025 г. и 2026 г.</w:t>
      </w:r>
    </w:p>
    <w:p w:rsidR="0089685C" w:rsidRDefault="0089685C" w:rsidP="0089685C">
      <w:pPr>
        <w:spacing w:before="120" w:after="120"/>
        <w:jc w:val="both"/>
      </w:pPr>
      <w:r>
        <w:rPr>
          <w:rFonts w:eastAsia="Calibri"/>
          <w:bCs/>
        </w:rPr>
        <w:t xml:space="preserve"> </w:t>
      </w:r>
      <w:r>
        <w:rPr>
          <w:rFonts w:eastAsia="Calibri"/>
          <w:b/>
          <w:bCs/>
          <w:i/>
        </w:rPr>
        <w:t>Лихвените плащания</w:t>
      </w:r>
      <w:r>
        <w:rPr>
          <w:rFonts w:eastAsia="Calibri"/>
          <w:bCs/>
        </w:rPr>
        <w:t xml:space="preserve"> са в размер на 1 009,3 млн. лв. (99,9 % от планираните за годината и ръст от 178,5</w:t>
      </w:r>
      <w:r>
        <w:rPr>
          <w:rFonts w:eastAsia="Calibri"/>
          <w:bCs/>
          <w:lang w:val="en-US"/>
        </w:rPr>
        <w:t> </w:t>
      </w:r>
      <w:r>
        <w:rPr>
          <w:rFonts w:eastAsia="Calibri"/>
          <w:bCs/>
        </w:rPr>
        <w:t>млн. лв. спрямо 2023 г.).</w:t>
      </w:r>
    </w:p>
    <w:p w:rsidR="0089685C" w:rsidRDefault="0089685C" w:rsidP="0089685C">
      <w:pPr>
        <w:spacing w:before="120" w:after="120"/>
        <w:jc w:val="both"/>
      </w:pPr>
      <w:r>
        <w:t>Разходите по КФП по основните разходни групи към декември 2023 г. и 2024 г. са представени на следната графика:</w:t>
      </w:r>
    </w:p>
    <w:p w:rsidR="0089685C" w:rsidRDefault="0089685C" w:rsidP="0089685C">
      <w:pPr>
        <w:spacing w:before="120" w:after="120"/>
        <w:jc w:val="both"/>
        <w:rPr>
          <w:color w:val="0070C0"/>
        </w:rPr>
      </w:pPr>
      <w:r>
        <w:rPr>
          <w:noProof/>
          <w:color w:val="0070C0"/>
          <w:lang w:eastAsia="bg-BG"/>
        </w:rPr>
        <w:drawing>
          <wp:inline distT="0" distB="0" distL="0" distR="0" wp14:anchorId="0EEDA62B" wp14:editId="344B22F6">
            <wp:extent cx="6057900" cy="2667000"/>
            <wp:effectExtent l="0" t="0" r="0" b="0"/>
            <wp:docPr id="6" name="Chart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9685C" w:rsidRDefault="0089685C" w:rsidP="0089685C">
      <w:pPr>
        <w:ind w:left="360"/>
        <w:jc w:val="both"/>
        <w:rPr>
          <w:sz w:val="18"/>
          <w:szCs w:val="16"/>
        </w:rPr>
      </w:pPr>
      <w:r>
        <w:rPr>
          <w:sz w:val="18"/>
          <w:szCs w:val="16"/>
          <w:lang w:val="ru-RU"/>
        </w:rPr>
        <w:t>*</w:t>
      </w:r>
      <w:r>
        <w:rPr>
          <w:sz w:val="16"/>
          <w:szCs w:val="16"/>
          <w:lang w:val="ru-RU"/>
        </w:rPr>
        <w:t xml:space="preserve">  </w:t>
      </w:r>
      <w:r>
        <w:rPr>
          <w:sz w:val="18"/>
          <w:szCs w:val="16"/>
        </w:rPr>
        <w:t xml:space="preserve">Вкл. нетния прираст на държавния резерв </w:t>
      </w:r>
    </w:p>
    <w:p w:rsidR="00E16AF6" w:rsidRPr="006E7134" w:rsidRDefault="00E16AF6" w:rsidP="00E16AF6">
      <w:pPr>
        <w:spacing w:after="120"/>
        <w:jc w:val="both"/>
        <w:rPr>
          <w:color w:val="0070C0"/>
          <w:sz w:val="2"/>
        </w:rPr>
      </w:pPr>
    </w:p>
    <w:p w:rsidR="001F66D5" w:rsidRPr="006E7134" w:rsidRDefault="001F66D5" w:rsidP="001F66D5">
      <w:pPr>
        <w:spacing w:after="120"/>
        <w:jc w:val="both"/>
        <w:rPr>
          <w:color w:val="0070C0"/>
          <w:sz w:val="2"/>
        </w:rPr>
      </w:pPr>
    </w:p>
    <w:p w:rsidR="001F66D5" w:rsidRPr="006E7134" w:rsidRDefault="001F66D5" w:rsidP="001F66D5">
      <w:pPr>
        <w:spacing w:after="120"/>
        <w:jc w:val="both"/>
        <w:rPr>
          <w:color w:val="0070C0"/>
          <w:sz w:val="2"/>
        </w:rPr>
      </w:pPr>
    </w:p>
    <w:p w:rsidR="00AB1BD9" w:rsidRDefault="007A0B0A" w:rsidP="00AB1BD9">
      <w:pPr>
        <w:pStyle w:val="ListParagraph"/>
        <w:numPr>
          <w:ilvl w:val="0"/>
          <w:numId w:val="19"/>
        </w:numPr>
        <w:tabs>
          <w:tab w:val="left" w:pos="426"/>
        </w:tabs>
        <w:spacing w:before="240" w:line="240" w:lineRule="auto"/>
        <w:ind w:left="0" w:firstLine="0"/>
        <w:contextualSpacing w:val="0"/>
        <w:rPr>
          <w:rFonts w:ascii="Times New Roman" w:hAnsi="Times New Roman"/>
        </w:rPr>
      </w:pPr>
      <w:r w:rsidRPr="00C30AE7">
        <w:rPr>
          <w:rFonts w:ascii="Times New Roman" w:hAnsi="Times New Roman"/>
          <w:b/>
        </w:rPr>
        <w:t>Частта от вноската на Република България в общия бюджет на ЕС</w:t>
      </w:r>
      <w:r w:rsidRPr="00C30AE7">
        <w:rPr>
          <w:rFonts w:ascii="Times New Roman" w:hAnsi="Times New Roman"/>
        </w:rPr>
        <w:t xml:space="preserve">, изплатена към </w:t>
      </w:r>
      <w:r w:rsidR="0012034E">
        <w:rPr>
          <w:rFonts w:ascii="Times New Roman" w:hAnsi="Times New Roman"/>
        </w:rPr>
        <w:t>31</w:t>
      </w:r>
      <w:r w:rsidRPr="00C30AE7">
        <w:rPr>
          <w:rFonts w:ascii="Times New Roman" w:hAnsi="Times New Roman"/>
        </w:rPr>
        <w:t>.</w:t>
      </w:r>
      <w:r w:rsidR="0012034E">
        <w:rPr>
          <w:rFonts w:ascii="Times New Roman" w:hAnsi="Times New Roman"/>
        </w:rPr>
        <w:t>12</w:t>
      </w:r>
      <w:r w:rsidRPr="00C30AE7">
        <w:rPr>
          <w:rFonts w:ascii="Times New Roman" w:hAnsi="Times New Roman"/>
        </w:rPr>
        <w:t>.2024</w:t>
      </w:r>
      <w:r w:rsidRPr="00C30AE7">
        <w:rPr>
          <w:rFonts w:ascii="Times New Roman" w:hAnsi="Times New Roman"/>
          <w:lang w:val="en-US"/>
        </w:rPr>
        <w:t> </w:t>
      </w:r>
      <w:r w:rsidRPr="00C30AE7">
        <w:rPr>
          <w:rFonts w:ascii="Times New Roman" w:hAnsi="Times New Roman"/>
        </w:rPr>
        <w:t xml:space="preserve">г. </w:t>
      </w:r>
      <w:r w:rsidRPr="00C30AE7">
        <w:rPr>
          <w:rFonts w:ascii="Times New Roman" w:hAnsi="Times New Roman"/>
          <w:bCs/>
        </w:rPr>
        <w:t xml:space="preserve">от централния бюджет, възлиза на </w:t>
      </w:r>
      <w:r w:rsidR="00C30AE7" w:rsidRPr="00C30AE7">
        <w:rPr>
          <w:rFonts w:ascii="Times New Roman" w:eastAsia="Calibri" w:hAnsi="Times New Roman"/>
          <w:b/>
          <w:bCs/>
          <w:lang w:val="ru-RU"/>
        </w:rPr>
        <w:t>1 592,1</w:t>
      </w:r>
      <w:r w:rsidR="00C30AE7" w:rsidRPr="00C30AE7">
        <w:rPr>
          <w:rFonts w:eastAsia="Calibri"/>
          <w:b/>
          <w:bCs/>
          <w:lang w:val="ru-RU"/>
        </w:rPr>
        <w:t xml:space="preserve"> </w:t>
      </w:r>
      <w:r w:rsidRPr="00C30AE7">
        <w:rPr>
          <w:rFonts w:ascii="Times New Roman" w:hAnsi="Times New Roman"/>
          <w:b/>
          <w:bCs/>
        </w:rPr>
        <w:t>млн. лв.</w:t>
      </w:r>
      <w:r w:rsidRPr="00C30AE7">
        <w:rPr>
          <w:rFonts w:ascii="Times New Roman" w:hAnsi="Times New Roman"/>
          <w:bCs/>
        </w:rPr>
        <w:t>, което е в изпълнение на действащото към момента законодателство в областта на собствените ресурси на ЕС</w:t>
      </w:r>
      <w:r w:rsidRPr="00C30AE7">
        <w:rPr>
          <w:rFonts w:ascii="Times New Roman" w:hAnsi="Times New Roman"/>
        </w:rPr>
        <w:t xml:space="preserve">. </w:t>
      </w:r>
    </w:p>
    <w:p w:rsidR="00F77552" w:rsidRPr="00AB1BD9" w:rsidRDefault="007A0B0A" w:rsidP="00AB1BD9">
      <w:pPr>
        <w:pStyle w:val="ListParagraph"/>
        <w:numPr>
          <w:ilvl w:val="0"/>
          <w:numId w:val="19"/>
        </w:numPr>
        <w:tabs>
          <w:tab w:val="left" w:pos="426"/>
        </w:tabs>
        <w:spacing w:before="240" w:line="240" w:lineRule="auto"/>
        <w:ind w:left="0" w:firstLine="0"/>
        <w:contextualSpacing w:val="0"/>
        <w:rPr>
          <w:rFonts w:ascii="Times New Roman" w:hAnsi="Times New Roman"/>
        </w:rPr>
      </w:pPr>
      <w:r w:rsidRPr="00AB1BD9">
        <w:rPr>
          <w:rFonts w:ascii="Times New Roman" w:hAnsi="Times New Roman"/>
          <w:b/>
        </w:rPr>
        <w:t>Бюджетното салдо</w:t>
      </w:r>
      <w:r w:rsidRPr="00AB1BD9">
        <w:rPr>
          <w:rFonts w:ascii="Times New Roman" w:hAnsi="Times New Roman"/>
        </w:rPr>
        <w:t xml:space="preserve"> </w:t>
      </w:r>
      <w:r w:rsidR="006D4C61" w:rsidRPr="00AB1BD9">
        <w:rPr>
          <w:rFonts w:ascii="Times New Roman" w:hAnsi="Times New Roman"/>
          <w:bCs/>
        </w:rPr>
        <w:t xml:space="preserve">по консолидираната фискална програма </w:t>
      </w:r>
      <w:r w:rsidR="006D4C61" w:rsidRPr="00AB1BD9">
        <w:rPr>
          <w:rFonts w:ascii="Times New Roman" w:hAnsi="Times New Roman"/>
        </w:rPr>
        <w:t>към декември 2024 г.</w:t>
      </w:r>
      <w:r w:rsidR="006D4C61" w:rsidRPr="00AB1BD9">
        <w:rPr>
          <w:rFonts w:ascii="Times New Roman" w:hAnsi="Times New Roman"/>
          <w:bCs/>
        </w:rPr>
        <w:t xml:space="preserve"> е отрицателно в размер на </w:t>
      </w:r>
      <w:r w:rsidR="006D4C61" w:rsidRPr="00AB1BD9">
        <w:rPr>
          <w:rFonts w:ascii="Times New Roman" w:hAnsi="Times New Roman"/>
          <w:b/>
          <w:bCs/>
        </w:rPr>
        <w:t>6 138,0 млн. лв.</w:t>
      </w:r>
      <w:r w:rsidR="006D4C61" w:rsidRPr="00AB1BD9">
        <w:rPr>
          <w:rFonts w:ascii="Times New Roman" w:hAnsi="Times New Roman"/>
          <w:bCs/>
        </w:rPr>
        <w:t xml:space="preserve"> (3,0 % от прогнозния БВП). </w:t>
      </w:r>
    </w:p>
    <w:p w:rsidR="001F66D5" w:rsidRPr="006E7134" w:rsidRDefault="001F66D5" w:rsidP="00E86EAF">
      <w:pPr>
        <w:numPr>
          <w:ilvl w:val="0"/>
          <w:numId w:val="7"/>
        </w:numPr>
        <w:tabs>
          <w:tab w:val="num" w:pos="0"/>
          <w:tab w:val="left" w:pos="426"/>
          <w:tab w:val="left" w:pos="720"/>
        </w:tabs>
        <w:spacing w:before="120" w:after="60"/>
        <w:ind w:left="0" w:firstLine="0"/>
        <w:jc w:val="both"/>
        <w:rPr>
          <w:color w:val="0070C0"/>
          <w:sz w:val="22"/>
        </w:rPr>
      </w:pPr>
      <w:r w:rsidRPr="001D5526">
        <w:rPr>
          <w:b/>
          <w:szCs w:val="28"/>
        </w:rPr>
        <w:t>Общият размер</w:t>
      </w:r>
      <w:r w:rsidRPr="001D5526">
        <w:rPr>
          <w:bCs/>
          <w:sz w:val="22"/>
        </w:rPr>
        <w:t xml:space="preserve"> </w:t>
      </w:r>
      <w:r w:rsidRPr="001D5526">
        <w:rPr>
          <w:b/>
          <w:bCs/>
          <w:szCs w:val="28"/>
        </w:rPr>
        <w:t>на касовите постъпления от ЕС</w:t>
      </w:r>
      <w:r w:rsidRPr="001D5526">
        <w:rPr>
          <w:bCs/>
          <w:szCs w:val="28"/>
        </w:rPr>
        <w:t xml:space="preserve"> (от Структурните и Кохезионния фондове, </w:t>
      </w:r>
      <w:r w:rsidRPr="00A971FF">
        <w:rPr>
          <w:bCs/>
          <w:szCs w:val="28"/>
        </w:rPr>
        <w:t>от</w:t>
      </w:r>
      <w:r w:rsidRPr="00A971FF">
        <w:rPr>
          <w:szCs w:val="28"/>
        </w:rPr>
        <w:t xml:space="preserve"> ЕЗФРСР и ЕФМДР</w:t>
      </w:r>
      <w:r w:rsidRPr="00A971FF">
        <w:rPr>
          <w:bCs/>
          <w:szCs w:val="28"/>
        </w:rPr>
        <w:t xml:space="preserve">, от средства за директни плащания към земеделските производители и плащания по пазарни мерки и др.) за </w:t>
      </w:r>
      <w:r w:rsidRPr="00A971FF">
        <w:t>2024 </w:t>
      </w:r>
      <w:r w:rsidRPr="00A971FF">
        <w:rPr>
          <w:bCs/>
          <w:szCs w:val="28"/>
        </w:rPr>
        <w:t xml:space="preserve"> г. е </w:t>
      </w:r>
      <w:r w:rsidR="00A971FF" w:rsidRPr="00A971FF">
        <w:rPr>
          <w:b/>
          <w:bCs/>
          <w:szCs w:val="28"/>
        </w:rPr>
        <w:t>5 160,</w:t>
      </w:r>
      <w:r w:rsidR="000E4E4A">
        <w:rPr>
          <w:b/>
          <w:bCs/>
          <w:szCs w:val="28"/>
        </w:rPr>
        <w:t>5</w:t>
      </w:r>
      <w:r w:rsidRPr="00A971FF">
        <w:rPr>
          <w:b/>
          <w:bCs/>
          <w:szCs w:val="28"/>
        </w:rPr>
        <w:t> млн. лв.</w:t>
      </w:r>
      <w:r w:rsidRPr="00A971FF">
        <w:rPr>
          <w:b/>
          <w:szCs w:val="28"/>
        </w:rPr>
        <w:t xml:space="preserve"> </w:t>
      </w:r>
      <w:r w:rsidRPr="00A971FF">
        <w:rPr>
          <w:b/>
          <w:bCs/>
          <w:szCs w:val="28"/>
        </w:rPr>
        <w:t xml:space="preserve">Нетните постъпления от ЕС към </w:t>
      </w:r>
      <w:r w:rsidR="00A94E99">
        <w:rPr>
          <w:b/>
          <w:bCs/>
          <w:szCs w:val="28"/>
        </w:rPr>
        <w:t>31</w:t>
      </w:r>
      <w:r w:rsidRPr="00A971FF">
        <w:rPr>
          <w:b/>
          <w:bCs/>
          <w:szCs w:val="28"/>
        </w:rPr>
        <w:t>.</w:t>
      </w:r>
      <w:r w:rsidR="00A94E99">
        <w:rPr>
          <w:b/>
          <w:bCs/>
          <w:szCs w:val="28"/>
        </w:rPr>
        <w:t>12</w:t>
      </w:r>
      <w:r w:rsidRPr="00A971FF">
        <w:rPr>
          <w:b/>
          <w:bCs/>
          <w:szCs w:val="28"/>
        </w:rPr>
        <w:t xml:space="preserve">.2024 г. </w:t>
      </w:r>
      <w:r w:rsidRPr="00A971FF">
        <w:rPr>
          <w:bCs/>
          <w:szCs w:val="28"/>
        </w:rPr>
        <w:t xml:space="preserve">(касови постъпления от ЕС, намалени с вноската в общия бюджет на ЕС) са положителни в размер на </w:t>
      </w:r>
      <w:r w:rsidR="00A971FF" w:rsidRPr="00A971FF">
        <w:rPr>
          <w:b/>
          <w:bCs/>
          <w:szCs w:val="28"/>
        </w:rPr>
        <w:t>3 568,3</w:t>
      </w:r>
      <w:r w:rsidRPr="00A971FF">
        <w:rPr>
          <w:b/>
          <w:bCs/>
          <w:szCs w:val="28"/>
        </w:rPr>
        <w:t xml:space="preserve"> млн. лв</w:t>
      </w:r>
      <w:r w:rsidRPr="00A971FF">
        <w:rPr>
          <w:sz w:val="22"/>
        </w:rPr>
        <w:t>.</w:t>
      </w:r>
      <w:r w:rsidR="000664F8">
        <w:rPr>
          <w:sz w:val="22"/>
        </w:rPr>
        <w:t xml:space="preserve"> В разчетите към ЗДБРБ за 2024 г. общият размер на касовите постъпления от ЕС е 8 880,3 млн. лв. Нетните постъпления от ЕС в разчетите към ЗДБРБ за 2024 г. </w:t>
      </w:r>
      <w:r w:rsidR="000664F8" w:rsidRPr="00A971FF">
        <w:rPr>
          <w:bCs/>
          <w:szCs w:val="28"/>
        </w:rPr>
        <w:t>(касови постъпления от ЕС, намалени с вноската в общия бюджет на ЕС) са положителни в размер на</w:t>
      </w:r>
      <w:r w:rsidR="000664F8">
        <w:rPr>
          <w:bCs/>
          <w:szCs w:val="28"/>
        </w:rPr>
        <w:t xml:space="preserve"> 6 609,3 млн. лв.</w:t>
      </w:r>
    </w:p>
    <w:p w:rsidR="001F66D5" w:rsidRPr="00E04A00" w:rsidRDefault="001F66D5" w:rsidP="00E86EAF">
      <w:pPr>
        <w:numPr>
          <w:ilvl w:val="2"/>
          <w:numId w:val="11"/>
        </w:numPr>
        <w:tabs>
          <w:tab w:val="left" w:pos="426"/>
        </w:tabs>
        <w:spacing w:before="120" w:after="240"/>
        <w:ind w:left="0" w:firstLine="0"/>
        <w:jc w:val="both"/>
        <w:rPr>
          <w:sz w:val="8"/>
          <w:szCs w:val="8"/>
        </w:rPr>
      </w:pPr>
      <w:r w:rsidRPr="00E04A00">
        <w:rPr>
          <w:b/>
        </w:rPr>
        <w:t>Фискалният резерв</w:t>
      </w:r>
      <w:r w:rsidRPr="00E04A00">
        <w:rPr>
          <w:b/>
          <w:bCs/>
          <w:vertAlign w:val="superscript"/>
          <w:lang w:eastAsia="bg-BG"/>
        </w:rPr>
        <w:footnoteReference w:id="5"/>
      </w:r>
      <w:r w:rsidRPr="00E04A00">
        <w:rPr>
          <w:bCs/>
          <w:lang w:eastAsia="bg-BG"/>
        </w:rPr>
        <w:t xml:space="preserve"> </w:t>
      </w:r>
      <w:r w:rsidRPr="00E04A00">
        <w:rPr>
          <w:bCs/>
        </w:rPr>
        <w:t xml:space="preserve">към </w:t>
      </w:r>
      <w:r w:rsidR="00E04A00" w:rsidRPr="00E04A00">
        <w:rPr>
          <w:bCs/>
        </w:rPr>
        <w:t xml:space="preserve">31.12.2024 г. е </w:t>
      </w:r>
      <w:r w:rsidR="00E04A00" w:rsidRPr="00E04A00">
        <w:rPr>
          <w:b/>
          <w:bCs/>
        </w:rPr>
        <w:t>11 865,276 млн. лв.</w:t>
      </w:r>
      <w:r w:rsidR="00E04A00" w:rsidRPr="00E04A00">
        <w:rPr>
          <w:bCs/>
        </w:rPr>
        <w:t>, в т. ч. 9 585,940 млн. лв. депозити на фискалния резерв в БНБ и банки и 2 279,336 млн. лв. вземания от фондовете на Европейския съюз за сертифицирани разходи, аванси и други</w:t>
      </w:r>
      <w:r w:rsidRPr="00E04A00">
        <w:rPr>
          <w:bCs/>
          <w:lang w:eastAsia="bg-BG"/>
        </w:rPr>
        <w:t>.</w:t>
      </w:r>
      <w:r w:rsidRPr="00E04A00">
        <w:rPr>
          <w:bCs/>
        </w:rPr>
        <w:t xml:space="preserve"> </w:t>
      </w:r>
    </w:p>
    <w:p w:rsidR="001F66D5" w:rsidRPr="006E7134" w:rsidRDefault="001F66D5" w:rsidP="001F66D5">
      <w:pPr>
        <w:tabs>
          <w:tab w:val="left" w:pos="426"/>
        </w:tabs>
        <w:spacing w:before="120" w:after="120"/>
        <w:jc w:val="both"/>
        <w:rPr>
          <w:color w:val="0070C0"/>
          <w:sz w:val="8"/>
          <w:szCs w:val="8"/>
        </w:rPr>
      </w:pPr>
    </w:p>
    <w:p w:rsidR="001F66D5" w:rsidRPr="006E7134" w:rsidRDefault="001F66D5" w:rsidP="001F66D5">
      <w:pPr>
        <w:tabs>
          <w:tab w:val="left" w:pos="426"/>
        </w:tabs>
        <w:spacing w:before="120" w:after="120"/>
        <w:jc w:val="both"/>
        <w:rPr>
          <w:color w:val="0070C0"/>
          <w:sz w:val="8"/>
          <w:szCs w:val="8"/>
        </w:rPr>
      </w:pPr>
    </w:p>
    <w:p w:rsidR="001F66D5" w:rsidRPr="006E7134" w:rsidRDefault="001F66D5" w:rsidP="001F66D5">
      <w:pPr>
        <w:rPr>
          <w:color w:val="0070C0"/>
          <w:sz w:val="8"/>
          <w:szCs w:val="8"/>
        </w:rPr>
      </w:pPr>
      <w:r w:rsidRPr="006E7134">
        <w:rPr>
          <w:color w:val="0070C0"/>
          <w:sz w:val="8"/>
          <w:szCs w:val="8"/>
        </w:rPr>
        <w:br w:type="page"/>
      </w:r>
    </w:p>
    <w:p w:rsidR="001F66D5" w:rsidRPr="00033685" w:rsidRDefault="001F66D5" w:rsidP="00E86EAF">
      <w:pPr>
        <w:keepNext/>
        <w:numPr>
          <w:ilvl w:val="0"/>
          <w:numId w:val="8"/>
        </w:numPr>
        <w:spacing w:before="360"/>
        <w:ind w:right="-108"/>
        <w:jc w:val="both"/>
        <w:outlineLvl w:val="0"/>
        <w:rPr>
          <w:b/>
          <w:bCs/>
        </w:rPr>
      </w:pPr>
      <w:r w:rsidRPr="00033685">
        <w:rPr>
          <w:b/>
          <w:bCs/>
        </w:rPr>
        <w:lastRenderedPageBreak/>
        <w:t>Изпълнение на държавния бюджет</w:t>
      </w:r>
      <w:r w:rsidRPr="00033685">
        <w:rPr>
          <w:b/>
          <w:sz w:val="20"/>
          <w:szCs w:val="20"/>
          <w:vertAlign w:val="superscript"/>
        </w:rPr>
        <w:footnoteReference w:id="6"/>
      </w:r>
      <w:r w:rsidRPr="00033685">
        <w:rPr>
          <w:b/>
          <w:bCs/>
        </w:rPr>
        <w:t xml:space="preserve"> за 2024 г.</w:t>
      </w:r>
    </w:p>
    <w:p w:rsidR="00E86EAF" w:rsidRPr="00033685" w:rsidRDefault="00E86EAF" w:rsidP="00E86EAF">
      <w:pPr>
        <w:pStyle w:val="BodyTextIndent"/>
        <w:tabs>
          <w:tab w:val="left" w:pos="1080"/>
        </w:tabs>
        <w:spacing w:before="120" w:after="0"/>
        <w:ind w:left="0"/>
        <w:jc w:val="both"/>
      </w:pPr>
      <w:r w:rsidRPr="00033685">
        <w:t>Изпълнението на основните показатели по държавния бюджет, на база месечните отчети на първостепенните разпоредители с бюджет е, както следва:</w:t>
      </w:r>
    </w:p>
    <w:p w:rsidR="00E86EAF" w:rsidRPr="006E7134" w:rsidRDefault="00E86EAF" w:rsidP="00E86EAF">
      <w:pPr>
        <w:spacing w:after="120"/>
        <w:ind w:right="-244"/>
        <w:rPr>
          <w:b/>
          <w:bCs/>
          <w:color w:val="0070C0"/>
          <w:sz w:val="20"/>
          <w:szCs w:val="20"/>
        </w:rPr>
      </w:pPr>
      <w:r w:rsidRPr="006E7134">
        <w:rPr>
          <w:b/>
          <w:bCs/>
          <w:color w:val="0070C0"/>
          <w:sz w:val="20"/>
          <w:szCs w:val="20"/>
        </w:rPr>
        <w:t xml:space="preserve">          </w:t>
      </w:r>
    </w:p>
    <w:p w:rsidR="00A0410B" w:rsidRPr="00A0410B" w:rsidRDefault="00A0410B" w:rsidP="00A0410B">
      <w:pPr>
        <w:spacing w:after="120"/>
        <w:ind w:right="-244" w:firstLine="284"/>
        <w:rPr>
          <w:b/>
          <w:bCs/>
          <w:sz w:val="20"/>
          <w:szCs w:val="20"/>
          <w:lang w:eastAsia="bg-BG"/>
        </w:rPr>
      </w:pPr>
      <w:r w:rsidRPr="00A0410B">
        <w:rPr>
          <w:b/>
          <w:bCs/>
          <w:sz w:val="20"/>
          <w:szCs w:val="20"/>
          <w:lang w:eastAsia="bg-BG"/>
        </w:rPr>
        <w:t>Таблица</w:t>
      </w:r>
      <w:r w:rsidRPr="00A0410B">
        <w:rPr>
          <w:vertAlign w:val="superscript"/>
          <w:lang w:eastAsia="bg-BG"/>
        </w:rPr>
        <w:footnoteReference w:id="7"/>
      </w:r>
      <w:r w:rsidRPr="00A0410B">
        <w:rPr>
          <w:b/>
          <w:bCs/>
          <w:sz w:val="20"/>
          <w:szCs w:val="20"/>
          <w:lang w:eastAsia="bg-BG"/>
        </w:rPr>
        <w:t xml:space="preserve">        </w:t>
      </w:r>
      <w:r w:rsidRPr="00A0410B">
        <w:rPr>
          <w:b/>
          <w:bCs/>
          <w:sz w:val="20"/>
          <w:szCs w:val="20"/>
          <w:lang w:eastAsia="bg-BG"/>
        </w:rPr>
        <w:tab/>
      </w:r>
      <w:r w:rsidRPr="00A0410B">
        <w:rPr>
          <w:b/>
          <w:bCs/>
          <w:sz w:val="20"/>
          <w:szCs w:val="20"/>
          <w:lang w:eastAsia="bg-BG"/>
        </w:rPr>
        <w:tab/>
        <w:t xml:space="preserve">                                          </w:t>
      </w:r>
      <w:r w:rsidRPr="00A0410B">
        <w:rPr>
          <w:b/>
          <w:bCs/>
          <w:sz w:val="20"/>
          <w:szCs w:val="20"/>
          <w:lang w:eastAsia="bg-BG"/>
        </w:rPr>
        <w:tab/>
      </w:r>
      <w:r w:rsidRPr="00A0410B">
        <w:rPr>
          <w:b/>
          <w:bCs/>
          <w:sz w:val="20"/>
          <w:szCs w:val="20"/>
          <w:lang w:eastAsia="bg-BG"/>
        </w:rPr>
        <w:tab/>
      </w:r>
      <w:r w:rsidRPr="00A0410B">
        <w:rPr>
          <w:b/>
          <w:bCs/>
          <w:sz w:val="20"/>
          <w:szCs w:val="20"/>
          <w:lang w:eastAsia="bg-BG"/>
        </w:rPr>
        <w:tab/>
      </w:r>
      <w:r w:rsidRPr="00A0410B">
        <w:rPr>
          <w:b/>
          <w:bCs/>
          <w:sz w:val="20"/>
          <w:szCs w:val="20"/>
          <w:lang w:eastAsia="bg-BG"/>
        </w:rPr>
        <w:tab/>
      </w:r>
      <w:r w:rsidRPr="00A0410B">
        <w:rPr>
          <w:b/>
          <w:bCs/>
          <w:sz w:val="20"/>
          <w:szCs w:val="20"/>
          <w:lang w:eastAsia="bg-BG"/>
        </w:rPr>
        <w:tab/>
        <w:t xml:space="preserve">         (млн. лв.)</w:t>
      </w:r>
    </w:p>
    <w:tbl>
      <w:tblPr>
        <w:tblW w:w="9050" w:type="dxa"/>
        <w:jc w:val="center"/>
        <w:tblCellMar>
          <w:left w:w="70" w:type="dxa"/>
          <w:right w:w="70" w:type="dxa"/>
        </w:tblCellMar>
        <w:tblLook w:val="04A0" w:firstRow="1" w:lastRow="0" w:firstColumn="1" w:lastColumn="0" w:noHBand="0" w:noVBand="1"/>
      </w:tblPr>
      <w:tblGrid>
        <w:gridCol w:w="4854"/>
        <w:gridCol w:w="1276"/>
        <w:gridCol w:w="1616"/>
        <w:gridCol w:w="1304"/>
      </w:tblGrid>
      <w:tr w:rsidR="00A0410B" w:rsidRPr="00A0410B" w:rsidTr="00A0410B">
        <w:trPr>
          <w:trHeight w:val="520"/>
          <w:jc w:val="center"/>
        </w:trPr>
        <w:tc>
          <w:tcPr>
            <w:tcW w:w="4854" w:type="dxa"/>
            <w:tcBorders>
              <w:top w:val="single" w:sz="8" w:space="0" w:color="auto"/>
              <w:left w:val="single" w:sz="8" w:space="0" w:color="auto"/>
              <w:bottom w:val="nil"/>
              <w:right w:val="single" w:sz="8" w:space="0" w:color="auto"/>
            </w:tcBorders>
            <w:noWrap/>
            <w:vAlign w:val="center"/>
            <w:hideMark/>
          </w:tcPr>
          <w:p w:rsidR="00A0410B" w:rsidRPr="00A0410B" w:rsidRDefault="00A0410B" w:rsidP="00A0410B">
            <w:pPr>
              <w:jc w:val="center"/>
              <w:rPr>
                <w:b/>
                <w:bCs/>
                <w:sz w:val="18"/>
                <w:szCs w:val="18"/>
                <w:lang w:val="en-US"/>
              </w:rPr>
            </w:pPr>
            <w:r w:rsidRPr="00A0410B">
              <w:rPr>
                <w:b/>
                <w:bCs/>
                <w:sz w:val="18"/>
                <w:szCs w:val="18"/>
                <w:lang w:val="en-US"/>
              </w:rPr>
              <w:t>ПОКАЗАТЕЛИ</w:t>
            </w:r>
          </w:p>
        </w:tc>
        <w:tc>
          <w:tcPr>
            <w:tcW w:w="1276" w:type="dxa"/>
            <w:tcBorders>
              <w:top w:val="single" w:sz="8" w:space="0" w:color="auto"/>
              <w:left w:val="nil"/>
              <w:bottom w:val="single" w:sz="4" w:space="0" w:color="auto"/>
              <w:right w:val="nil"/>
            </w:tcBorders>
            <w:vAlign w:val="center"/>
            <w:hideMark/>
          </w:tcPr>
          <w:p w:rsidR="00A0410B" w:rsidRPr="00A0410B" w:rsidRDefault="00A0410B" w:rsidP="00A0410B">
            <w:pPr>
              <w:jc w:val="center"/>
              <w:rPr>
                <w:b/>
                <w:bCs/>
                <w:sz w:val="18"/>
                <w:szCs w:val="18"/>
                <w:lang w:val="en-US"/>
              </w:rPr>
            </w:pPr>
            <w:r w:rsidRPr="00A0410B">
              <w:rPr>
                <w:b/>
                <w:bCs/>
                <w:sz w:val="18"/>
                <w:szCs w:val="18"/>
                <w:lang w:val="en-US"/>
              </w:rPr>
              <w:t xml:space="preserve">ЗДБРБ    </w:t>
            </w:r>
            <w:r w:rsidRPr="00A0410B">
              <w:rPr>
                <w:b/>
                <w:bCs/>
                <w:sz w:val="18"/>
                <w:szCs w:val="18"/>
                <w:highlight w:val="yellow"/>
                <w:lang w:val="en-US"/>
              </w:rPr>
              <w:t xml:space="preserve"> </w:t>
            </w:r>
            <w:r w:rsidRPr="00A0410B">
              <w:rPr>
                <w:b/>
                <w:bCs/>
                <w:sz w:val="18"/>
                <w:szCs w:val="18"/>
                <w:lang w:val="en-US"/>
              </w:rPr>
              <w:t>2024 г.</w:t>
            </w:r>
          </w:p>
        </w:tc>
        <w:tc>
          <w:tcPr>
            <w:tcW w:w="1616" w:type="dxa"/>
            <w:tcBorders>
              <w:top w:val="single" w:sz="8" w:space="0" w:color="auto"/>
              <w:left w:val="nil"/>
              <w:bottom w:val="single" w:sz="4" w:space="0" w:color="auto"/>
              <w:right w:val="nil"/>
            </w:tcBorders>
            <w:vAlign w:val="center"/>
            <w:hideMark/>
          </w:tcPr>
          <w:p w:rsidR="00A0410B" w:rsidRPr="00A0410B" w:rsidRDefault="00A0410B" w:rsidP="00A0410B">
            <w:pPr>
              <w:jc w:val="center"/>
              <w:rPr>
                <w:b/>
                <w:bCs/>
                <w:sz w:val="18"/>
                <w:szCs w:val="18"/>
              </w:rPr>
            </w:pPr>
            <w:r w:rsidRPr="00A0410B">
              <w:rPr>
                <w:b/>
                <w:bCs/>
                <w:sz w:val="18"/>
                <w:szCs w:val="18"/>
              </w:rPr>
              <w:t xml:space="preserve">Отчет </w:t>
            </w:r>
          </w:p>
          <w:p w:rsidR="00A0410B" w:rsidRPr="00A0410B" w:rsidRDefault="00A0410B" w:rsidP="00A0410B">
            <w:pPr>
              <w:jc w:val="center"/>
              <w:rPr>
                <w:b/>
                <w:bCs/>
                <w:sz w:val="18"/>
                <w:szCs w:val="18"/>
              </w:rPr>
            </w:pPr>
            <w:r w:rsidRPr="00A0410B">
              <w:rPr>
                <w:b/>
                <w:bCs/>
                <w:sz w:val="18"/>
                <w:szCs w:val="18"/>
              </w:rPr>
              <w:t>декември 2024 г.</w:t>
            </w:r>
          </w:p>
        </w:tc>
        <w:tc>
          <w:tcPr>
            <w:tcW w:w="1304" w:type="dxa"/>
            <w:tcBorders>
              <w:top w:val="single" w:sz="8" w:space="0" w:color="auto"/>
              <w:left w:val="nil"/>
              <w:bottom w:val="single" w:sz="4" w:space="0" w:color="auto"/>
              <w:right w:val="single" w:sz="8" w:space="0" w:color="auto"/>
            </w:tcBorders>
            <w:vAlign w:val="center"/>
            <w:hideMark/>
          </w:tcPr>
          <w:p w:rsidR="00A0410B" w:rsidRPr="00A0410B" w:rsidRDefault="00A0410B" w:rsidP="00A0410B">
            <w:pPr>
              <w:jc w:val="center"/>
              <w:rPr>
                <w:b/>
                <w:bCs/>
                <w:sz w:val="18"/>
                <w:szCs w:val="18"/>
              </w:rPr>
            </w:pPr>
            <w:r w:rsidRPr="00A0410B">
              <w:rPr>
                <w:b/>
                <w:bCs/>
                <w:sz w:val="18"/>
                <w:szCs w:val="18"/>
              </w:rPr>
              <w:t>Изпълнение спрямо ЗДБРБ 2024 г.</w:t>
            </w:r>
          </w:p>
        </w:tc>
      </w:tr>
      <w:tr w:rsidR="00A0410B" w:rsidRPr="00A0410B" w:rsidTr="00A0410B">
        <w:trPr>
          <w:trHeight w:val="92"/>
          <w:jc w:val="center"/>
        </w:trPr>
        <w:tc>
          <w:tcPr>
            <w:tcW w:w="4854" w:type="dxa"/>
            <w:tcBorders>
              <w:top w:val="single" w:sz="4" w:space="0" w:color="auto"/>
              <w:left w:val="single" w:sz="8" w:space="0" w:color="auto"/>
              <w:bottom w:val="single" w:sz="4" w:space="0" w:color="auto"/>
              <w:right w:val="single" w:sz="8" w:space="0" w:color="auto"/>
            </w:tcBorders>
            <w:noWrap/>
            <w:vAlign w:val="bottom"/>
            <w:hideMark/>
          </w:tcPr>
          <w:p w:rsidR="00A0410B" w:rsidRPr="00A0410B" w:rsidRDefault="00A0410B" w:rsidP="00A0410B">
            <w:pPr>
              <w:rPr>
                <w:b/>
                <w:bCs/>
                <w:sz w:val="18"/>
                <w:szCs w:val="18"/>
              </w:rPr>
            </w:pPr>
            <w:r w:rsidRPr="00A0410B">
              <w:rPr>
                <w:b/>
                <w:bCs/>
                <w:sz w:val="18"/>
                <w:szCs w:val="18"/>
              </w:rPr>
              <w:t>Общо приходи, помощи и дарения</w:t>
            </w:r>
          </w:p>
        </w:tc>
        <w:tc>
          <w:tcPr>
            <w:tcW w:w="1276" w:type="dxa"/>
            <w:noWrap/>
            <w:vAlign w:val="bottom"/>
            <w:hideMark/>
          </w:tcPr>
          <w:p w:rsidR="00A0410B" w:rsidRPr="00A0410B" w:rsidRDefault="00A0410B" w:rsidP="00A0410B">
            <w:pPr>
              <w:jc w:val="right"/>
              <w:rPr>
                <w:b/>
                <w:bCs/>
                <w:sz w:val="18"/>
                <w:szCs w:val="18"/>
                <w:lang w:val="en-US"/>
              </w:rPr>
            </w:pPr>
            <w:r w:rsidRPr="00A0410B">
              <w:rPr>
                <w:b/>
                <w:bCs/>
                <w:sz w:val="18"/>
                <w:szCs w:val="18"/>
                <w:lang w:val="en-US"/>
              </w:rPr>
              <w:t>43 406,5</w:t>
            </w:r>
          </w:p>
        </w:tc>
        <w:tc>
          <w:tcPr>
            <w:tcW w:w="1616" w:type="dxa"/>
            <w:noWrap/>
            <w:vAlign w:val="bottom"/>
            <w:hideMark/>
          </w:tcPr>
          <w:p w:rsidR="00A0410B" w:rsidRPr="00A0410B" w:rsidRDefault="00A0410B" w:rsidP="00A0410B">
            <w:pPr>
              <w:jc w:val="right"/>
              <w:rPr>
                <w:b/>
                <w:bCs/>
                <w:sz w:val="18"/>
                <w:szCs w:val="18"/>
              </w:rPr>
            </w:pPr>
            <w:r w:rsidRPr="00A0410B">
              <w:rPr>
                <w:b/>
                <w:bCs/>
                <w:sz w:val="18"/>
                <w:szCs w:val="18"/>
              </w:rPr>
              <w:t>43 544,0</w:t>
            </w:r>
          </w:p>
        </w:tc>
        <w:tc>
          <w:tcPr>
            <w:tcW w:w="1304" w:type="dxa"/>
            <w:tcBorders>
              <w:top w:val="single" w:sz="4" w:space="0" w:color="auto"/>
              <w:left w:val="nil"/>
              <w:bottom w:val="nil"/>
              <w:right w:val="single" w:sz="8" w:space="0" w:color="auto"/>
            </w:tcBorders>
            <w:noWrap/>
            <w:vAlign w:val="bottom"/>
            <w:hideMark/>
          </w:tcPr>
          <w:p w:rsidR="00A0410B" w:rsidRPr="00A0410B" w:rsidRDefault="00A0410B" w:rsidP="00A0410B">
            <w:pPr>
              <w:jc w:val="right"/>
              <w:rPr>
                <w:b/>
                <w:bCs/>
                <w:sz w:val="18"/>
                <w:szCs w:val="18"/>
              </w:rPr>
            </w:pPr>
            <w:r w:rsidRPr="00A0410B">
              <w:rPr>
                <w:b/>
                <w:bCs/>
                <w:sz w:val="18"/>
                <w:szCs w:val="18"/>
              </w:rPr>
              <w:t>100,3%</w:t>
            </w:r>
          </w:p>
        </w:tc>
      </w:tr>
      <w:tr w:rsidR="00A0410B" w:rsidRPr="00A0410B" w:rsidTr="00A0410B">
        <w:trPr>
          <w:trHeight w:val="80"/>
          <w:jc w:val="center"/>
        </w:trPr>
        <w:tc>
          <w:tcPr>
            <w:tcW w:w="4854" w:type="dxa"/>
            <w:tcBorders>
              <w:top w:val="single" w:sz="4" w:space="0" w:color="auto"/>
              <w:left w:val="single" w:sz="8" w:space="0" w:color="auto"/>
              <w:bottom w:val="nil"/>
              <w:right w:val="single" w:sz="8" w:space="0" w:color="auto"/>
            </w:tcBorders>
            <w:noWrap/>
            <w:vAlign w:val="bottom"/>
            <w:hideMark/>
          </w:tcPr>
          <w:p w:rsidR="00A0410B" w:rsidRPr="00A0410B" w:rsidRDefault="00A0410B" w:rsidP="00A0410B">
            <w:pPr>
              <w:rPr>
                <w:sz w:val="18"/>
                <w:szCs w:val="18"/>
              </w:rPr>
            </w:pPr>
            <w:r w:rsidRPr="00A0410B">
              <w:rPr>
                <w:sz w:val="18"/>
                <w:szCs w:val="18"/>
              </w:rPr>
              <w:t xml:space="preserve">   -Данъчни приходи</w:t>
            </w:r>
          </w:p>
        </w:tc>
        <w:tc>
          <w:tcPr>
            <w:tcW w:w="1276" w:type="dxa"/>
            <w:tcBorders>
              <w:top w:val="single" w:sz="4" w:space="0" w:color="auto"/>
              <w:left w:val="nil"/>
              <w:bottom w:val="nil"/>
              <w:right w:val="nil"/>
            </w:tcBorders>
            <w:noWrap/>
            <w:vAlign w:val="bottom"/>
            <w:hideMark/>
          </w:tcPr>
          <w:p w:rsidR="00A0410B" w:rsidRPr="00A0410B" w:rsidRDefault="00A0410B" w:rsidP="00A0410B">
            <w:pPr>
              <w:jc w:val="right"/>
              <w:rPr>
                <w:sz w:val="18"/>
                <w:szCs w:val="18"/>
                <w:lang w:val="en-US"/>
              </w:rPr>
            </w:pPr>
            <w:r w:rsidRPr="00A0410B">
              <w:rPr>
                <w:sz w:val="18"/>
                <w:szCs w:val="18"/>
                <w:lang w:val="en-US"/>
              </w:rPr>
              <w:t>38 616,0</w:t>
            </w:r>
          </w:p>
        </w:tc>
        <w:tc>
          <w:tcPr>
            <w:tcW w:w="1616" w:type="dxa"/>
            <w:tcBorders>
              <w:top w:val="single" w:sz="4" w:space="0" w:color="auto"/>
              <w:left w:val="nil"/>
              <w:bottom w:val="nil"/>
              <w:right w:val="nil"/>
            </w:tcBorders>
            <w:noWrap/>
            <w:vAlign w:val="bottom"/>
            <w:hideMark/>
          </w:tcPr>
          <w:p w:rsidR="00A0410B" w:rsidRPr="00A0410B" w:rsidRDefault="00A0410B" w:rsidP="00A0410B">
            <w:pPr>
              <w:jc w:val="right"/>
              <w:rPr>
                <w:sz w:val="18"/>
                <w:szCs w:val="18"/>
                <w:lang w:val="en-US"/>
              </w:rPr>
            </w:pPr>
            <w:r w:rsidRPr="00A0410B">
              <w:rPr>
                <w:sz w:val="18"/>
                <w:szCs w:val="18"/>
                <w:lang w:val="en-US"/>
              </w:rPr>
              <w:t>38 565,2</w:t>
            </w:r>
          </w:p>
        </w:tc>
        <w:tc>
          <w:tcPr>
            <w:tcW w:w="1304" w:type="dxa"/>
            <w:tcBorders>
              <w:top w:val="single" w:sz="4" w:space="0" w:color="auto"/>
              <w:left w:val="nil"/>
              <w:bottom w:val="nil"/>
              <w:right w:val="single" w:sz="8" w:space="0" w:color="auto"/>
            </w:tcBorders>
            <w:noWrap/>
            <w:vAlign w:val="bottom"/>
            <w:hideMark/>
          </w:tcPr>
          <w:p w:rsidR="00A0410B" w:rsidRPr="00A0410B" w:rsidRDefault="00A0410B" w:rsidP="00A0410B">
            <w:pPr>
              <w:jc w:val="right"/>
              <w:rPr>
                <w:sz w:val="18"/>
                <w:szCs w:val="18"/>
                <w:lang w:val="en-US"/>
              </w:rPr>
            </w:pPr>
            <w:r w:rsidRPr="00A0410B">
              <w:rPr>
                <w:sz w:val="18"/>
                <w:szCs w:val="18"/>
                <w:lang w:val="en-US"/>
              </w:rPr>
              <w:t>99,9%</w:t>
            </w:r>
          </w:p>
        </w:tc>
      </w:tr>
      <w:tr w:rsidR="00A0410B" w:rsidRPr="00A0410B" w:rsidTr="00A0410B">
        <w:trPr>
          <w:trHeight w:val="80"/>
          <w:jc w:val="center"/>
        </w:trPr>
        <w:tc>
          <w:tcPr>
            <w:tcW w:w="4854" w:type="dxa"/>
            <w:tcBorders>
              <w:top w:val="nil"/>
              <w:left w:val="single" w:sz="8" w:space="0" w:color="auto"/>
              <w:bottom w:val="nil"/>
              <w:right w:val="single" w:sz="8" w:space="0" w:color="auto"/>
            </w:tcBorders>
            <w:noWrap/>
            <w:vAlign w:val="bottom"/>
            <w:hideMark/>
          </w:tcPr>
          <w:p w:rsidR="00A0410B" w:rsidRPr="00A0410B" w:rsidRDefault="00A0410B" w:rsidP="00A0410B">
            <w:pPr>
              <w:rPr>
                <w:sz w:val="18"/>
                <w:szCs w:val="18"/>
              </w:rPr>
            </w:pPr>
            <w:r w:rsidRPr="00A0410B">
              <w:rPr>
                <w:sz w:val="18"/>
                <w:szCs w:val="18"/>
              </w:rPr>
              <w:t xml:space="preserve">      Преки </w:t>
            </w:r>
          </w:p>
        </w:tc>
        <w:tc>
          <w:tcPr>
            <w:tcW w:w="1276" w:type="dxa"/>
            <w:noWrap/>
            <w:vAlign w:val="bottom"/>
            <w:hideMark/>
          </w:tcPr>
          <w:p w:rsidR="00A0410B" w:rsidRPr="00A0410B" w:rsidRDefault="00A0410B" w:rsidP="00A0410B">
            <w:pPr>
              <w:jc w:val="right"/>
              <w:rPr>
                <w:sz w:val="18"/>
                <w:szCs w:val="18"/>
                <w:lang w:val="en-US"/>
              </w:rPr>
            </w:pPr>
            <w:r w:rsidRPr="00A0410B">
              <w:rPr>
                <w:sz w:val="18"/>
                <w:szCs w:val="18"/>
                <w:lang w:val="en-US"/>
              </w:rPr>
              <w:t>12 835,0</w:t>
            </w:r>
          </w:p>
        </w:tc>
        <w:tc>
          <w:tcPr>
            <w:tcW w:w="1616" w:type="dxa"/>
            <w:noWrap/>
            <w:vAlign w:val="bottom"/>
            <w:hideMark/>
          </w:tcPr>
          <w:p w:rsidR="00A0410B" w:rsidRPr="00A0410B" w:rsidRDefault="00A0410B" w:rsidP="00A0410B">
            <w:pPr>
              <w:jc w:val="right"/>
              <w:rPr>
                <w:sz w:val="18"/>
                <w:szCs w:val="18"/>
                <w:lang w:val="en-US"/>
              </w:rPr>
            </w:pPr>
            <w:r w:rsidRPr="00A0410B">
              <w:rPr>
                <w:sz w:val="18"/>
                <w:szCs w:val="18"/>
                <w:lang w:val="en-US"/>
              </w:rPr>
              <w:t>12 465,4</w:t>
            </w:r>
          </w:p>
        </w:tc>
        <w:tc>
          <w:tcPr>
            <w:tcW w:w="1304" w:type="dxa"/>
            <w:tcBorders>
              <w:top w:val="nil"/>
              <w:left w:val="nil"/>
              <w:bottom w:val="nil"/>
              <w:right w:val="single" w:sz="8" w:space="0" w:color="auto"/>
            </w:tcBorders>
            <w:noWrap/>
            <w:vAlign w:val="bottom"/>
            <w:hideMark/>
          </w:tcPr>
          <w:p w:rsidR="00A0410B" w:rsidRPr="00A0410B" w:rsidRDefault="00A0410B" w:rsidP="00A0410B">
            <w:pPr>
              <w:jc w:val="right"/>
              <w:rPr>
                <w:sz w:val="18"/>
                <w:szCs w:val="18"/>
                <w:lang w:val="en-US"/>
              </w:rPr>
            </w:pPr>
            <w:r w:rsidRPr="00A0410B">
              <w:rPr>
                <w:sz w:val="18"/>
                <w:szCs w:val="18"/>
                <w:lang w:val="en-US"/>
              </w:rPr>
              <w:t>97,1%</w:t>
            </w:r>
          </w:p>
        </w:tc>
      </w:tr>
      <w:tr w:rsidR="00A0410B" w:rsidRPr="00A0410B" w:rsidTr="00A0410B">
        <w:trPr>
          <w:trHeight w:val="165"/>
          <w:jc w:val="center"/>
        </w:trPr>
        <w:tc>
          <w:tcPr>
            <w:tcW w:w="4854" w:type="dxa"/>
            <w:tcBorders>
              <w:top w:val="nil"/>
              <w:left w:val="single" w:sz="8" w:space="0" w:color="auto"/>
              <w:bottom w:val="nil"/>
              <w:right w:val="single" w:sz="8" w:space="0" w:color="auto"/>
            </w:tcBorders>
            <w:noWrap/>
            <w:vAlign w:val="bottom"/>
            <w:hideMark/>
          </w:tcPr>
          <w:p w:rsidR="00A0410B" w:rsidRPr="00A0410B" w:rsidRDefault="00A0410B" w:rsidP="00A0410B">
            <w:pPr>
              <w:rPr>
                <w:sz w:val="18"/>
                <w:szCs w:val="18"/>
              </w:rPr>
            </w:pPr>
            <w:r w:rsidRPr="00A0410B">
              <w:rPr>
                <w:sz w:val="18"/>
                <w:szCs w:val="18"/>
              </w:rPr>
              <w:t xml:space="preserve">      Косвени </w:t>
            </w:r>
          </w:p>
        </w:tc>
        <w:tc>
          <w:tcPr>
            <w:tcW w:w="1276" w:type="dxa"/>
            <w:noWrap/>
            <w:vAlign w:val="bottom"/>
            <w:hideMark/>
          </w:tcPr>
          <w:p w:rsidR="00A0410B" w:rsidRPr="00A0410B" w:rsidRDefault="00A0410B" w:rsidP="00A0410B">
            <w:pPr>
              <w:jc w:val="right"/>
              <w:rPr>
                <w:sz w:val="18"/>
                <w:szCs w:val="18"/>
                <w:lang w:val="en-US"/>
              </w:rPr>
            </w:pPr>
            <w:r w:rsidRPr="00A0410B">
              <w:rPr>
                <w:sz w:val="18"/>
                <w:szCs w:val="18"/>
                <w:lang w:val="en-US"/>
              </w:rPr>
              <w:t>25 504,1</w:t>
            </w:r>
          </w:p>
        </w:tc>
        <w:tc>
          <w:tcPr>
            <w:tcW w:w="1616" w:type="dxa"/>
            <w:noWrap/>
            <w:vAlign w:val="bottom"/>
            <w:hideMark/>
          </w:tcPr>
          <w:p w:rsidR="00A0410B" w:rsidRPr="00A0410B" w:rsidRDefault="00A0410B" w:rsidP="00A0410B">
            <w:pPr>
              <w:jc w:val="right"/>
              <w:rPr>
                <w:sz w:val="18"/>
                <w:szCs w:val="18"/>
                <w:lang w:val="en-US"/>
              </w:rPr>
            </w:pPr>
            <w:r w:rsidRPr="00A0410B">
              <w:rPr>
                <w:sz w:val="18"/>
                <w:szCs w:val="18"/>
                <w:lang w:val="en-US"/>
              </w:rPr>
              <w:t>25 888,9</w:t>
            </w:r>
          </w:p>
        </w:tc>
        <w:tc>
          <w:tcPr>
            <w:tcW w:w="1304" w:type="dxa"/>
            <w:tcBorders>
              <w:top w:val="nil"/>
              <w:left w:val="nil"/>
              <w:bottom w:val="nil"/>
              <w:right w:val="single" w:sz="8" w:space="0" w:color="auto"/>
            </w:tcBorders>
            <w:noWrap/>
            <w:vAlign w:val="bottom"/>
            <w:hideMark/>
          </w:tcPr>
          <w:p w:rsidR="00A0410B" w:rsidRPr="00A0410B" w:rsidRDefault="00A0410B" w:rsidP="00A0410B">
            <w:pPr>
              <w:jc w:val="right"/>
              <w:rPr>
                <w:sz w:val="18"/>
                <w:szCs w:val="18"/>
                <w:lang w:val="en-US"/>
              </w:rPr>
            </w:pPr>
            <w:r w:rsidRPr="00A0410B">
              <w:rPr>
                <w:sz w:val="18"/>
                <w:szCs w:val="18"/>
                <w:lang w:val="en-US"/>
              </w:rPr>
              <w:t>101,5%</w:t>
            </w:r>
          </w:p>
        </w:tc>
      </w:tr>
      <w:tr w:rsidR="00A0410B" w:rsidRPr="00A0410B" w:rsidTr="00A0410B">
        <w:trPr>
          <w:trHeight w:val="165"/>
          <w:jc w:val="center"/>
        </w:trPr>
        <w:tc>
          <w:tcPr>
            <w:tcW w:w="4854" w:type="dxa"/>
            <w:tcBorders>
              <w:top w:val="nil"/>
              <w:left w:val="single" w:sz="8" w:space="0" w:color="auto"/>
              <w:bottom w:val="nil"/>
              <w:right w:val="single" w:sz="8" w:space="0" w:color="auto"/>
            </w:tcBorders>
            <w:noWrap/>
            <w:vAlign w:val="bottom"/>
            <w:hideMark/>
          </w:tcPr>
          <w:p w:rsidR="00A0410B" w:rsidRPr="00A0410B" w:rsidRDefault="00A0410B" w:rsidP="00A0410B">
            <w:pPr>
              <w:rPr>
                <w:sz w:val="18"/>
                <w:szCs w:val="18"/>
              </w:rPr>
            </w:pPr>
            <w:r w:rsidRPr="00A0410B">
              <w:rPr>
                <w:sz w:val="18"/>
                <w:szCs w:val="18"/>
              </w:rPr>
              <w:t xml:space="preserve">      Други </w:t>
            </w:r>
          </w:p>
        </w:tc>
        <w:tc>
          <w:tcPr>
            <w:tcW w:w="1276" w:type="dxa"/>
            <w:noWrap/>
            <w:vAlign w:val="bottom"/>
            <w:hideMark/>
          </w:tcPr>
          <w:p w:rsidR="00A0410B" w:rsidRPr="00A0410B" w:rsidRDefault="00A0410B" w:rsidP="00A0410B">
            <w:pPr>
              <w:jc w:val="right"/>
              <w:rPr>
                <w:sz w:val="18"/>
                <w:szCs w:val="18"/>
                <w:lang w:val="en-US"/>
              </w:rPr>
            </w:pPr>
            <w:r w:rsidRPr="00A0410B">
              <w:rPr>
                <w:sz w:val="18"/>
                <w:szCs w:val="18"/>
                <w:lang w:val="en-US"/>
              </w:rPr>
              <w:t>276,9</w:t>
            </w:r>
          </w:p>
        </w:tc>
        <w:tc>
          <w:tcPr>
            <w:tcW w:w="1616" w:type="dxa"/>
            <w:noWrap/>
            <w:vAlign w:val="bottom"/>
            <w:hideMark/>
          </w:tcPr>
          <w:p w:rsidR="00A0410B" w:rsidRPr="00A0410B" w:rsidRDefault="00A0410B" w:rsidP="00A0410B">
            <w:pPr>
              <w:jc w:val="right"/>
              <w:rPr>
                <w:sz w:val="18"/>
                <w:szCs w:val="18"/>
                <w:lang w:val="en-US"/>
              </w:rPr>
            </w:pPr>
            <w:r w:rsidRPr="00A0410B">
              <w:rPr>
                <w:sz w:val="18"/>
                <w:szCs w:val="18"/>
                <w:lang w:val="en-US"/>
              </w:rPr>
              <w:t>210,9</w:t>
            </w:r>
          </w:p>
        </w:tc>
        <w:tc>
          <w:tcPr>
            <w:tcW w:w="1304" w:type="dxa"/>
            <w:tcBorders>
              <w:top w:val="nil"/>
              <w:left w:val="nil"/>
              <w:bottom w:val="nil"/>
              <w:right w:val="single" w:sz="8" w:space="0" w:color="auto"/>
            </w:tcBorders>
            <w:noWrap/>
            <w:vAlign w:val="bottom"/>
            <w:hideMark/>
          </w:tcPr>
          <w:p w:rsidR="00A0410B" w:rsidRPr="00A0410B" w:rsidRDefault="00A0410B" w:rsidP="00A0410B">
            <w:pPr>
              <w:jc w:val="right"/>
              <w:rPr>
                <w:sz w:val="18"/>
                <w:szCs w:val="18"/>
                <w:lang w:val="en-US"/>
              </w:rPr>
            </w:pPr>
            <w:r w:rsidRPr="00A0410B">
              <w:rPr>
                <w:sz w:val="18"/>
                <w:szCs w:val="18"/>
                <w:lang w:val="en-US"/>
              </w:rPr>
              <w:t>76,2%</w:t>
            </w:r>
          </w:p>
        </w:tc>
      </w:tr>
      <w:tr w:rsidR="00A0410B" w:rsidRPr="00A0410B" w:rsidTr="00A0410B">
        <w:trPr>
          <w:trHeight w:val="165"/>
          <w:jc w:val="center"/>
        </w:trPr>
        <w:tc>
          <w:tcPr>
            <w:tcW w:w="4854" w:type="dxa"/>
            <w:tcBorders>
              <w:top w:val="nil"/>
              <w:left w:val="single" w:sz="8" w:space="0" w:color="auto"/>
              <w:bottom w:val="nil"/>
              <w:right w:val="single" w:sz="8" w:space="0" w:color="auto"/>
            </w:tcBorders>
            <w:noWrap/>
            <w:vAlign w:val="bottom"/>
            <w:hideMark/>
          </w:tcPr>
          <w:p w:rsidR="00A0410B" w:rsidRPr="00A0410B" w:rsidRDefault="00A0410B" w:rsidP="00A0410B">
            <w:pPr>
              <w:rPr>
                <w:sz w:val="18"/>
                <w:szCs w:val="18"/>
              </w:rPr>
            </w:pPr>
            <w:r w:rsidRPr="00A0410B">
              <w:rPr>
                <w:sz w:val="18"/>
                <w:szCs w:val="18"/>
              </w:rPr>
              <w:t xml:space="preserve">   -Неданъчни приходи</w:t>
            </w:r>
          </w:p>
        </w:tc>
        <w:tc>
          <w:tcPr>
            <w:tcW w:w="1276" w:type="dxa"/>
            <w:noWrap/>
            <w:vAlign w:val="bottom"/>
            <w:hideMark/>
          </w:tcPr>
          <w:p w:rsidR="00A0410B" w:rsidRPr="00A0410B" w:rsidRDefault="00A0410B" w:rsidP="00A0410B">
            <w:pPr>
              <w:jc w:val="right"/>
              <w:rPr>
                <w:sz w:val="18"/>
                <w:szCs w:val="18"/>
                <w:lang w:val="en-US"/>
              </w:rPr>
            </w:pPr>
            <w:r w:rsidRPr="00A0410B">
              <w:rPr>
                <w:sz w:val="18"/>
                <w:szCs w:val="18"/>
                <w:lang w:val="en-US"/>
              </w:rPr>
              <w:t>4 790,0</w:t>
            </w:r>
          </w:p>
        </w:tc>
        <w:tc>
          <w:tcPr>
            <w:tcW w:w="1616" w:type="dxa"/>
            <w:noWrap/>
            <w:vAlign w:val="bottom"/>
            <w:hideMark/>
          </w:tcPr>
          <w:p w:rsidR="00A0410B" w:rsidRPr="00A0410B" w:rsidRDefault="00A0410B" w:rsidP="00A0410B">
            <w:pPr>
              <w:jc w:val="right"/>
              <w:rPr>
                <w:sz w:val="18"/>
                <w:szCs w:val="18"/>
                <w:lang w:val="en-US"/>
              </w:rPr>
            </w:pPr>
            <w:r w:rsidRPr="00A0410B">
              <w:rPr>
                <w:sz w:val="18"/>
                <w:szCs w:val="18"/>
                <w:lang w:val="en-US"/>
              </w:rPr>
              <w:t>4 914,0</w:t>
            </w:r>
          </w:p>
        </w:tc>
        <w:tc>
          <w:tcPr>
            <w:tcW w:w="1304" w:type="dxa"/>
            <w:tcBorders>
              <w:top w:val="nil"/>
              <w:left w:val="nil"/>
              <w:bottom w:val="nil"/>
              <w:right w:val="single" w:sz="8" w:space="0" w:color="auto"/>
            </w:tcBorders>
            <w:noWrap/>
            <w:vAlign w:val="bottom"/>
            <w:hideMark/>
          </w:tcPr>
          <w:p w:rsidR="00A0410B" w:rsidRPr="00A0410B" w:rsidRDefault="00A0410B" w:rsidP="00A0410B">
            <w:pPr>
              <w:jc w:val="right"/>
              <w:rPr>
                <w:sz w:val="18"/>
                <w:szCs w:val="18"/>
                <w:lang w:val="en-US"/>
              </w:rPr>
            </w:pPr>
            <w:r w:rsidRPr="00A0410B">
              <w:rPr>
                <w:sz w:val="18"/>
                <w:szCs w:val="18"/>
                <w:lang w:val="en-US"/>
              </w:rPr>
              <w:t>102,6%</w:t>
            </w:r>
          </w:p>
        </w:tc>
      </w:tr>
      <w:tr w:rsidR="00A0410B" w:rsidRPr="00A0410B" w:rsidTr="00A0410B">
        <w:trPr>
          <w:trHeight w:val="165"/>
          <w:jc w:val="center"/>
        </w:trPr>
        <w:tc>
          <w:tcPr>
            <w:tcW w:w="4854" w:type="dxa"/>
            <w:tcBorders>
              <w:top w:val="nil"/>
              <w:left w:val="single" w:sz="8" w:space="0" w:color="auto"/>
              <w:bottom w:val="single" w:sz="4" w:space="0" w:color="auto"/>
              <w:right w:val="single" w:sz="8" w:space="0" w:color="auto"/>
            </w:tcBorders>
            <w:noWrap/>
            <w:vAlign w:val="bottom"/>
            <w:hideMark/>
          </w:tcPr>
          <w:p w:rsidR="00A0410B" w:rsidRPr="00A0410B" w:rsidRDefault="00A0410B" w:rsidP="00A0410B">
            <w:pPr>
              <w:rPr>
                <w:sz w:val="18"/>
                <w:szCs w:val="18"/>
              </w:rPr>
            </w:pPr>
            <w:r w:rsidRPr="00A0410B">
              <w:rPr>
                <w:sz w:val="18"/>
                <w:szCs w:val="18"/>
              </w:rPr>
              <w:t xml:space="preserve">   -Помощи и дарения</w:t>
            </w:r>
          </w:p>
        </w:tc>
        <w:tc>
          <w:tcPr>
            <w:tcW w:w="1276" w:type="dxa"/>
            <w:noWrap/>
            <w:vAlign w:val="bottom"/>
            <w:hideMark/>
          </w:tcPr>
          <w:p w:rsidR="00A0410B" w:rsidRPr="00A0410B" w:rsidRDefault="00A0410B" w:rsidP="00A0410B">
            <w:pPr>
              <w:jc w:val="right"/>
              <w:rPr>
                <w:sz w:val="18"/>
                <w:szCs w:val="18"/>
                <w:lang w:val="en-US"/>
              </w:rPr>
            </w:pPr>
            <w:r w:rsidRPr="00A0410B">
              <w:rPr>
                <w:sz w:val="18"/>
                <w:szCs w:val="18"/>
                <w:lang w:val="en-US"/>
              </w:rPr>
              <w:t>0,5</w:t>
            </w:r>
          </w:p>
        </w:tc>
        <w:tc>
          <w:tcPr>
            <w:tcW w:w="1616" w:type="dxa"/>
            <w:noWrap/>
            <w:vAlign w:val="bottom"/>
            <w:hideMark/>
          </w:tcPr>
          <w:p w:rsidR="00A0410B" w:rsidRPr="00A0410B" w:rsidRDefault="00A0410B" w:rsidP="00A0410B">
            <w:pPr>
              <w:jc w:val="right"/>
              <w:rPr>
                <w:sz w:val="18"/>
                <w:szCs w:val="18"/>
                <w:lang w:val="en-US"/>
              </w:rPr>
            </w:pPr>
            <w:r w:rsidRPr="00A0410B">
              <w:rPr>
                <w:sz w:val="18"/>
                <w:szCs w:val="18"/>
                <w:lang w:val="en-US"/>
              </w:rPr>
              <w:t>64,9</w:t>
            </w:r>
          </w:p>
        </w:tc>
        <w:tc>
          <w:tcPr>
            <w:tcW w:w="1304" w:type="dxa"/>
            <w:tcBorders>
              <w:top w:val="nil"/>
              <w:left w:val="nil"/>
              <w:bottom w:val="nil"/>
              <w:right w:val="single" w:sz="8" w:space="0" w:color="auto"/>
            </w:tcBorders>
            <w:noWrap/>
            <w:vAlign w:val="bottom"/>
            <w:hideMark/>
          </w:tcPr>
          <w:p w:rsidR="00A0410B" w:rsidRPr="00A0410B" w:rsidRDefault="00A0410B" w:rsidP="00A0410B">
            <w:pPr>
              <w:rPr>
                <w:sz w:val="18"/>
                <w:szCs w:val="18"/>
                <w:lang w:val="en-US"/>
              </w:rPr>
            </w:pPr>
            <w:r w:rsidRPr="00A0410B">
              <w:rPr>
                <w:sz w:val="18"/>
                <w:szCs w:val="18"/>
                <w:lang w:val="en-US"/>
              </w:rPr>
              <w:t> </w:t>
            </w:r>
          </w:p>
        </w:tc>
      </w:tr>
      <w:tr w:rsidR="00A0410B" w:rsidRPr="00A0410B" w:rsidTr="00A0410B">
        <w:trPr>
          <w:trHeight w:val="199"/>
          <w:jc w:val="center"/>
        </w:trPr>
        <w:tc>
          <w:tcPr>
            <w:tcW w:w="4854" w:type="dxa"/>
            <w:tcBorders>
              <w:top w:val="single" w:sz="4" w:space="0" w:color="auto"/>
              <w:left w:val="single" w:sz="4" w:space="0" w:color="auto"/>
              <w:bottom w:val="single" w:sz="4" w:space="0" w:color="auto"/>
              <w:right w:val="single" w:sz="4" w:space="0" w:color="auto"/>
            </w:tcBorders>
            <w:noWrap/>
            <w:vAlign w:val="bottom"/>
            <w:hideMark/>
          </w:tcPr>
          <w:p w:rsidR="00A0410B" w:rsidRPr="00A0410B" w:rsidRDefault="00A0410B" w:rsidP="00A0410B">
            <w:pPr>
              <w:rPr>
                <w:b/>
                <w:bCs/>
                <w:sz w:val="18"/>
                <w:szCs w:val="18"/>
              </w:rPr>
            </w:pPr>
            <w:r w:rsidRPr="00A0410B">
              <w:rPr>
                <w:b/>
                <w:bCs/>
                <w:sz w:val="18"/>
                <w:szCs w:val="18"/>
              </w:rPr>
              <w:t xml:space="preserve"> Разходи, трансфери и вноска в бюджета на ЕС</w:t>
            </w:r>
          </w:p>
        </w:tc>
        <w:tc>
          <w:tcPr>
            <w:tcW w:w="1276" w:type="dxa"/>
            <w:tcBorders>
              <w:top w:val="single" w:sz="4" w:space="0" w:color="auto"/>
              <w:left w:val="nil"/>
              <w:bottom w:val="single" w:sz="4" w:space="0" w:color="auto"/>
              <w:right w:val="nil"/>
            </w:tcBorders>
            <w:noWrap/>
            <w:vAlign w:val="bottom"/>
            <w:hideMark/>
          </w:tcPr>
          <w:p w:rsidR="00A0410B" w:rsidRPr="00A0410B" w:rsidRDefault="00A0410B" w:rsidP="00A0410B">
            <w:pPr>
              <w:jc w:val="right"/>
              <w:rPr>
                <w:b/>
                <w:bCs/>
                <w:sz w:val="18"/>
                <w:szCs w:val="18"/>
                <w:lang w:val="en-US"/>
              </w:rPr>
            </w:pPr>
            <w:r w:rsidRPr="00A0410B">
              <w:rPr>
                <w:b/>
                <w:bCs/>
                <w:sz w:val="18"/>
                <w:szCs w:val="18"/>
                <w:lang w:val="en-US"/>
              </w:rPr>
              <w:t>51 439,0</w:t>
            </w:r>
          </w:p>
        </w:tc>
        <w:tc>
          <w:tcPr>
            <w:tcW w:w="1616" w:type="dxa"/>
            <w:tcBorders>
              <w:top w:val="single" w:sz="4" w:space="0" w:color="auto"/>
              <w:left w:val="nil"/>
              <w:bottom w:val="single" w:sz="4" w:space="0" w:color="auto"/>
              <w:right w:val="nil"/>
            </w:tcBorders>
            <w:noWrap/>
            <w:vAlign w:val="bottom"/>
            <w:hideMark/>
          </w:tcPr>
          <w:p w:rsidR="00A0410B" w:rsidRPr="00A0410B" w:rsidRDefault="00A0410B" w:rsidP="00A0410B">
            <w:pPr>
              <w:jc w:val="right"/>
              <w:rPr>
                <w:b/>
                <w:bCs/>
                <w:sz w:val="18"/>
                <w:szCs w:val="18"/>
                <w:lang w:val="en-US"/>
              </w:rPr>
            </w:pPr>
            <w:r w:rsidRPr="00A0410B">
              <w:rPr>
                <w:b/>
                <w:bCs/>
                <w:sz w:val="18"/>
                <w:szCs w:val="18"/>
                <w:lang w:val="en-US"/>
              </w:rPr>
              <w:t>50 048,1</w:t>
            </w:r>
          </w:p>
        </w:tc>
        <w:tc>
          <w:tcPr>
            <w:tcW w:w="1304" w:type="dxa"/>
            <w:tcBorders>
              <w:top w:val="single" w:sz="4" w:space="0" w:color="auto"/>
              <w:left w:val="nil"/>
              <w:bottom w:val="single" w:sz="4" w:space="0" w:color="auto"/>
              <w:right w:val="single" w:sz="8" w:space="0" w:color="auto"/>
            </w:tcBorders>
            <w:noWrap/>
            <w:vAlign w:val="bottom"/>
            <w:hideMark/>
          </w:tcPr>
          <w:p w:rsidR="00A0410B" w:rsidRPr="00A0410B" w:rsidRDefault="00A0410B" w:rsidP="00A0410B">
            <w:pPr>
              <w:jc w:val="right"/>
              <w:rPr>
                <w:b/>
                <w:bCs/>
                <w:sz w:val="18"/>
                <w:szCs w:val="18"/>
                <w:lang w:val="en-US"/>
              </w:rPr>
            </w:pPr>
            <w:r w:rsidRPr="00A0410B">
              <w:rPr>
                <w:b/>
                <w:bCs/>
                <w:sz w:val="18"/>
                <w:szCs w:val="18"/>
                <w:lang w:val="en-US"/>
              </w:rPr>
              <w:t>97,3%</w:t>
            </w:r>
          </w:p>
        </w:tc>
      </w:tr>
      <w:tr w:rsidR="00A0410B" w:rsidRPr="00A0410B" w:rsidTr="00A0410B">
        <w:trPr>
          <w:trHeight w:val="101"/>
          <w:jc w:val="center"/>
        </w:trPr>
        <w:tc>
          <w:tcPr>
            <w:tcW w:w="4854" w:type="dxa"/>
            <w:tcBorders>
              <w:top w:val="single" w:sz="4" w:space="0" w:color="auto"/>
              <w:left w:val="single" w:sz="4" w:space="0" w:color="auto"/>
              <w:bottom w:val="nil"/>
              <w:right w:val="single" w:sz="4" w:space="0" w:color="auto"/>
            </w:tcBorders>
            <w:noWrap/>
            <w:vAlign w:val="bottom"/>
            <w:hideMark/>
          </w:tcPr>
          <w:p w:rsidR="00A0410B" w:rsidRPr="00A0410B" w:rsidRDefault="00A0410B" w:rsidP="00A0410B">
            <w:pPr>
              <w:rPr>
                <w:sz w:val="18"/>
                <w:szCs w:val="18"/>
              </w:rPr>
            </w:pPr>
            <w:r w:rsidRPr="00A0410B">
              <w:rPr>
                <w:sz w:val="18"/>
                <w:szCs w:val="18"/>
              </w:rPr>
              <w:t xml:space="preserve">   -Нелихвени разходи</w:t>
            </w:r>
          </w:p>
        </w:tc>
        <w:tc>
          <w:tcPr>
            <w:tcW w:w="1276" w:type="dxa"/>
            <w:tcBorders>
              <w:top w:val="single" w:sz="4" w:space="0" w:color="auto"/>
              <w:left w:val="nil"/>
              <w:bottom w:val="nil"/>
              <w:right w:val="nil"/>
            </w:tcBorders>
            <w:noWrap/>
            <w:vAlign w:val="bottom"/>
            <w:hideMark/>
          </w:tcPr>
          <w:p w:rsidR="00A0410B" w:rsidRPr="00A0410B" w:rsidRDefault="00A0410B" w:rsidP="00A0410B">
            <w:pPr>
              <w:jc w:val="right"/>
              <w:rPr>
                <w:sz w:val="18"/>
                <w:szCs w:val="18"/>
                <w:lang w:val="en-US"/>
              </w:rPr>
            </w:pPr>
            <w:r w:rsidRPr="00A0410B">
              <w:rPr>
                <w:sz w:val="18"/>
                <w:szCs w:val="18"/>
                <w:lang w:val="en-US"/>
              </w:rPr>
              <w:t>22 561,5</w:t>
            </w:r>
          </w:p>
        </w:tc>
        <w:tc>
          <w:tcPr>
            <w:tcW w:w="1616" w:type="dxa"/>
            <w:tcBorders>
              <w:top w:val="single" w:sz="4" w:space="0" w:color="auto"/>
              <w:left w:val="nil"/>
              <w:bottom w:val="nil"/>
              <w:right w:val="nil"/>
            </w:tcBorders>
            <w:noWrap/>
            <w:vAlign w:val="bottom"/>
            <w:hideMark/>
          </w:tcPr>
          <w:p w:rsidR="00A0410B" w:rsidRPr="00A0410B" w:rsidRDefault="00A0410B" w:rsidP="00A0410B">
            <w:pPr>
              <w:jc w:val="right"/>
              <w:rPr>
                <w:sz w:val="18"/>
                <w:szCs w:val="18"/>
                <w:lang w:val="en-US"/>
              </w:rPr>
            </w:pPr>
            <w:r w:rsidRPr="00A0410B">
              <w:rPr>
                <w:sz w:val="18"/>
                <w:szCs w:val="18"/>
                <w:lang w:val="en-US"/>
              </w:rPr>
              <w:t>19 372,7</w:t>
            </w:r>
          </w:p>
        </w:tc>
        <w:tc>
          <w:tcPr>
            <w:tcW w:w="1304" w:type="dxa"/>
            <w:tcBorders>
              <w:top w:val="single" w:sz="4" w:space="0" w:color="auto"/>
              <w:left w:val="nil"/>
              <w:bottom w:val="nil"/>
              <w:right w:val="single" w:sz="8" w:space="0" w:color="auto"/>
            </w:tcBorders>
            <w:noWrap/>
            <w:vAlign w:val="bottom"/>
            <w:hideMark/>
          </w:tcPr>
          <w:p w:rsidR="00A0410B" w:rsidRPr="00A0410B" w:rsidRDefault="00A0410B" w:rsidP="00A0410B">
            <w:pPr>
              <w:jc w:val="right"/>
              <w:rPr>
                <w:sz w:val="18"/>
                <w:szCs w:val="18"/>
                <w:lang w:val="en-US"/>
              </w:rPr>
            </w:pPr>
            <w:r w:rsidRPr="00A0410B">
              <w:rPr>
                <w:sz w:val="18"/>
                <w:szCs w:val="18"/>
                <w:lang w:val="en-US"/>
              </w:rPr>
              <w:t>85,9%</w:t>
            </w:r>
          </w:p>
        </w:tc>
      </w:tr>
      <w:tr w:rsidR="00A0410B" w:rsidRPr="00A0410B" w:rsidTr="00A0410B">
        <w:trPr>
          <w:trHeight w:val="80"/>
          <w:jc w:val="center"/>
        </w:trPr>
        <w:tc>
          <w:tcPr>
            <w:tcW w:w="4854" w:type="dxa"/>
            <w:tcBorders>
              <w:top w:val="nil"/>
              <w:left w:val="single" w:sz="4" w:space="0" w:color="auto"/>
              <w:bottom w:val="nil"/>
              <w:right w:val="single" w:sz="4" w:space="0" w:color="auto"/>
            </w:tcBorders>
            <w:noWrap/>
            <w:vAlign w:val="bottom"/>
            <w:hideMark/>
          </w:tcPr>
          <w:p w:rsidR="00A0410B" w:rsidRPr="00A0410B" w:rsidRDefault="00A0410B" w:rsidP="00A0410B">
            <w:pPr>
              <w:rPr>
                <w:sz w:val="18"/>
                <w:szCs w:val="18"/>
              </w:rPr>
            </w:pPr>
            <w:r w:rsidRPr="00A0410B">
              <w:rPr>
                <w:sz w:val="18"/>
                <w:szCs w:val="18"/>
              </w:rPr>
              <w:t xml:space="preserve">   -Лихви</w:t>
            </w:r>
          </w:p>
        </w:tc>
        <w:tc>
          <w:tcPr>
            <w:tcW w:w="1276" w:type="dxa"/>
            <w:noWrap/>
            <w:vAlign w:val="bottom"/>
            <w:hideMark/>
          </w:tcPr>
          <w:p w:rsidR="00A0410B" w:rsidRPr="00A0410B" w:rsidRDefault="00A0410B" w:rsidP="00A0410B">
            <w:pPr>
              <w:jc w:val="right"/>
              <w:rPr>
                <w:sz w:val="18"/>
                <w:szCs w:val="18"/>
                <w:lang w:val="en-US"/>
              </w:rPr>
            </w:pPr>
            <w:r w:rsidRPr="00A0410B">
              <w:rPr>
                <w:sz w:val="18"/>
                <w:szCs w:val="18"/>
                <w:lang w:val="en-US"/>
              </w:rPr>
              <w:t>966,8</w:t>
            </w:r>
          </w:p>
        </w:tc>
        <w:tc>
          <w:tcPr>
            <w:tcW w:w="1616" w:type="dxa"/>
            <w:noWrap/>
            <w:vAlign w:val="bottom"/>
            <w:hideMark/>
          </w:tcPr>
          <w:p w:rsidR="00A0410B" w:rsidRPr="00A0410B" w:rsidRDefault="00A0410B" w:rsidP="00A0410B">
            <w:pPr>
              <w:jc w:val="right"/>
              <w:rPr>
                <w:sz w:val="18"/>
                <w:szCs w:val="18"/>
                <w:lang w:val="en-US"/>
              </w:rPr>
            </w:pPr>
            <w:r w:rsidRPr="00A0410B">
              <w:rPr>
                <w:sz w:val="18"/>
                <w:szCs w:val="18"/>
                <w:lang w:val="en-US"/>
              </w:rPr>
              <w:t>953,4</w:t>
            </w:r>
          </w:p>
        </w:tc>
        <w:tc>
          <w:tcPr>
            <w:tcW w:w="1304" w:type="dxa"/>
            <w:tcBorders>
              <w:top w:val="nil"/>
              <w:left w:val="nil"/>
              <w:bottom w:val="nil"/>
              <w:right w:val="single" w:sz="8" w:space="0" w:color="auto"/>
            </w:tcBorders>
            <w:noWrap/>
            <w:vAlign w:val="bottom"/>
            <w:hideMark/>
          </w:tcPr>
          <w:p w:rsidR="00A0410B" w:rsidRPr="00A0410B" w:rsidRDefault="00A0410B" w:rsidP="00A0410B">
            <w:pPr>
              <w:jc w:val="right"/>
              <w:rPr>
                <w:sz w:val="18"/>
                <w:szCs w:val="18"/>
                <w:lang w:val="en-US"/>
              </w:rPr>
            </w:pPr>
            <w:r w:rsidRPr="00A0410B">
              <w:rPr>
                <w:sz w:val="18"/>
                <w:szCs w:val="18"/>
                <w:lang w:val="en-US"/>
              </w:rPr>
              <w:t>98,6%</w:t>
            </w:r>
          </w:p>
        </w:tc>
      </w:tr>
      <w:tr w:rsidR="00A0410B" w:rsidRPr="00A0410B" w:rsidTr="00A0410B">
        <w:trPr>
          <w:trHeight w:val="80"/>
          <w:jc w:val="center"/>
        </w:trPr>
        <w:tc>
          <w:tcPr>
            <w:tcW w:w="4854" w:type="dxa"/>
            <w:tcBorders>
              <w:top w:val="nil"/>
              <w:left w:val="single" w:sz="4" w:space="0" w:color="auto"/>
              <w:bottom w:val="nil"/>
              <w:right w:val="single" w:sz="4" w:space="0" w:color="auto"/>
            </w:tcBorders>
            <w:noWrap/>
            <w:vAlign w:val="bottom"/>
            <w:hideMark/>
          </w:tcPr>
          <w:p w:rsidR="00A0410B" w:rsidRPr="00A0410B" w:rsidRDefault="00A0410B" w:rsidP="00A0410B">
            <w:pPr>
              <w:rPr>
                <w:sz w:val="18"/>
                <w:szCs w:val="18"/>
              </w:rPr>
            </w:pPr>
            <w:r w:rsidRPr="00A0410B">
              <w:rPr>
                <w:sz w:val="18"/>
                <w:szCs w:val="18"/>
              </w:rPr>
              <w:t xml:space="preserve">      По външни заеми</w:t>
            </w:r>
          </w:p>
        </w:tc>
        <w:tc>
          <w:tcPr>
            <w:tcW w:w="1276" w:type="dxa"/>
            <w:noWrap/>
            <w:vAlign w:val="bottom"/>
            <w:hideMark/>
          </w:tcPr>
          <w:p w:rsidR="00A0410B" w:rsidRPr="00A0410B" w:rsidRDefault="00A0410B" w:rsidP="00A0410B">
            <w:pPr>
              <w:jc w:val="right"/>
              <w:rPr>
                <w:sz w:val="18"/>
                <w:szCs w:val="18"/>
                <w:lang w:val="en-US"/>
              </w:rPr>
            </w:pPr>
            <w:r w:rsidRPr="00A0410B">
              <w:rPr>
                <w:sz w:val="18"/>
                <w:szCs w:val="18"/>
                <w:lang w:val="en-US"/>
              </w:rPr>
              <w:t>833,6</w:t>
            </w:r>
          </w:p>
        </w:tc>
        <w:tc>
          <w:tcPr>
            <w:tcW w:w="1616" w:type="dxa"/>
            <w:noWrap/>
            <w:vAlign w:val="bottom"/>
            <w:hideMark/>
          </w:tcPr>
          <w:p w:rsidR="00A0410B" w:rsidRPr="00A0410B" w:rsidRDefault="00A0410B" w:rsidP="00A0410B">
            <w:pPr>
              <w:jc w:val="right"/>
              <w:rPr>
                <w:sz w:val="18"/>
                <w:szCs w:val="18"/>
                <w:lang w:val="en-US"/>
              </w:rPr>
            </w:pPr>
            <w:r w:rsidRPr="00A0410B">
              <w:rPr>
                <w:sz w:val="18"/>
                <w:szCs w:val="18"/>
                <w:lang w:val="en-US"/>
              </w:rPr>
              <w:t>830,9</w:t>
            </w:r>
          </w:p>
        </w:tc>
        <w:tc>
          <w:tcPr>
            <w:tcW w:w="1304" w:type="dxa"/>
            <w:tcBorders>
              <w:top w:val="nil"/>
              <w:left w:val="nil"/>
              <w:bottom w:val="nil"/>
              <w:right w:val="single" w:sz="8" w:space="0" w:color="auto"/>
            </w:tcBorders>
            <w:noWrap/>
            <w:vAlign w:val="bottom"/>
            <w:hideMark/>
          </w:tcPr>
          <w:p w:rsidR="00A0410B" w:rsidRPr="00A0410B" w:rsidRDefault="00A0410B" w:rsidP="00A0410B">
            <w:pPr>
              <w:jc w:val="right"/>
              <w:rPr>
                <w:sz w:val="18"/>
                <w:szCs w:val="18"/>
                <w:lang w:val="en-US"/>
              </w:rPr>
            </w:pPr>
            <w:r w:rsidRPr="00A0410B">
              <w:rPr>
                <w:sz w:val="18"/>
                <w:szCs w:val="18"/>
                <w:lang w:val="en-US"/>
              </w:rPr>
              <w:t>99,7%</w:t>
            </w:r>
          </w:p>
        </w:tc>
      </w:tr>
      <w:tr w:rsidR="00A0410B" w:rsidRPr="00A0410B" w:rsidTr="00A0410B">
        <w:trPr>
          <w:trHeight w:val="60"/>
          <w:jc w:val="center"/>
        </w:trPr>
        <w:tc>
          <w:tcPr>
            <w:tcW w:w="4854" w:type="dxa"/>
            <w:tcBorders>
              <w:top w:val="nil"/>
              <w:left w:val="single" w:sz="4" w:space="0" w:color="auto"/>
              <w:bottom w:val="nil"/>
              <w:right w:val="single" w:sz="4" w:space="0" w:color="auto"/>
            </w:tcBorders>
            <w:noWrap/>
            <w:vAlign w:val="bottom"/>
            <w:hideMark/>
          </w:tcPr>
          <w:p w:rsidR="00A0410B" w:rsidRPr="00A0410B" w:rsidRDefault="00A0410B" w:rsidP="00A0410B">
            <w:pPr>
              <w:rPr>
                <w:sz w:val="18"/>
                <w:szCs w:val="18"/>
              </w:rPr>
            </w:pPr>
            <w:r w:rsidRPr="00A0410B">
              <w:rPr>
                <w:sz w:val="18"/>
                <w:szCs w:val="18"/>
              </w:rPr>
              <w:t xml:space="preserve">      По вътрешни заеми</w:t>
            </w:r>
          </w:p>
        </w:tc>
        <w:tc>
          <w:tcPr>
            <w:tcW w:w="1276" w:type="dxa"/>
            <w:noWrap/>
            <w:vAlign w:val="bottom"/>
            <w:hideMark/>
          </w:tcPr>
          <w:p w:rsidR="00A0410B" w:rsidRPr="00A0410B" w:rsidRDefault="00A0410B" w:rsidP="00A0410B">
            <w:pPr>
              <w:jc w:val="right"/>
              <w:rPr>
                <w:sz w:val="18"/>
                <w:szCs w:val="18"/>
                <w:lang w:val="en-US"/>
              </w:rPr>
            </w:pPr>
            <w:r w:rsidRPr="00A0410B">
              <w:rPr>
                <w:sz w:val="18"/>
                <w:szCs w:val="18"/>
                <w:lang w:val="en-US"/>
              </w:rPr>
              <w:t>133,2</w:t>
            </w:r>
          </w:p>
        </w:tc>
        <w:tc>
          <w:tcPr>
            <w:tcW w:w="1616" w:type="dxa"/>
            <w:noWrap/>
            <w:vAlign w:val="bottom"/>
            <w:hideMark/>
          </w:tcPr>
          <w:p w:rsidR="00A0410B" w:rsidRPr="00A0410B" w:rsidRDefault="00A0410B" w:rsidP="00A0410B">
            <w:pPr>
              <w:jc w:val="right"/>
              <w:rPr>
                <w:sz w:val="18"/>
                <w:szCs w:val="18"/>
                <w:lang w:val="en-US"/>
              </w:rPr>
            </w:pPr>
            <w:r w:rsidRPr="00A0410B">
              <w:rPr>
                <w:sz w:val="18"/>
                <w:szCs w:val="18"/>
                <w:lang w:val="en-US"/>
              </w:rPr>
              <w:t>122,5</w:t>
            </w:r>
          </w:p>
        </w:tc>
        <w:tc>
          <w:tcPr>
            <w:tcW w:w="1304" w:type="dxa"/>
            <w:tcBorders>
              <w:top w:val="nil"/>
              <w:left w:val="nil"/>
              <w:bottom w:val="nil"/>
              <w:right w:val="single" w:sz="8" w:space="0" w:color="auto"/>
            </w:tcBorders>
            <w:noWrap/>
            <w:vAlign w:val="bottom"/>
            <w:hideMark/>
          </w:tcPr>
          <w:p w:rsidR="00A0410B" w:rsidRPr="00A0410B" w:rsidRDefault="00A0410B" w:rsidP="00A0410B">
            <w:pPr>
              <w:jc w:val="right"/>
              <w:rPr>
                <w:sz w:val="18"/>
                <w:szCs w:val="18"/>
                <w:lang w:val="en-US"/>
              </w:rPr>
            </w:pPr>
            <w:r w:rsidRPr="00A0410B">
              <w:rPr>
                <w:sz w:val="18"/>
                <w:szCs w:val="18"/>
                <w:lang w:val="en-US"/>
              </w:rPr>
              <w:t>91,9%</w:t>
            </w:r>
          </w:p>
        </w:tc>
      </w:tr>
      <w:tr w:rsidR="00A0410B" w:rsidRPr="00A0410B" w:rsidTr="00A0410B">
        <w:trPr>
          <w:trHeight w:val="60"/>
          <w:jc w:val="center"/>
        </w:trPr>
        <w:tc>
          <w:tcPr>
            <w:tcW w:w="4854" w:type="dxa"/>
            <w:tcBorders>
              <w:top w:val="nil"/>
              <w:left w:val="single" w:sz="4" w:space="0" w:color="auto"/>
              <w:bottom w:val="nil"/>
              <w:right w:val="single" w:sz="4" w:space="0" w:color="auto"/>
            </w:tcBorders>
            <w:noWrap/>
            <w:vAlign w:val="bottom"/>
            <w:hideMark/>
          </w:tcPr>
          <w:p w:rsidR="00A0410B" w:rsidRPr="00A0410B" w:rsidRDefault="00A0410B" w:rsidP="00A0410B">
            <w:pPr>
              <w:rPr>
                <w:sz w:val="18"/>
                <w:szCs w:val="18"/>
              </w:rPr>
            </w:pPr>
            <w:r w:rsidRPr="00A0410B">
              <w:rPr>
                <w:sz w:val="18"/>
                <w:szCs w:val="18"/>
              </w:rPr>
              <w:t xml:space="preserve"> - Резерв за непредвидени и неотложни разходи</w:t>
            </w:r>
            <w:r w:rsidRPr="00062107">
              <w:rPr>
                <w:sz w:val="18"/>
                <w:szCs w:val="18"/>
                <w:vertAlign w:val="superscript"/>
              </w:rPr>
              <w:footnoteReference w:id="8"/>
            </w:r>
            <w:r w:rsidRPr="00A0410B">
              <w:rPr>
                <w:sz w:val="18"/>
                <w:szCs w:val="18"/>
              </w:rPr>
              <w:tab/>
            </w:r>
          </w:p>
        </w:tc>
        <w:tc>
          <w:tcPr>
            <w:tcW w:w="1276" w:type="dxa"/>
            <w:noWrap/>
            <w:vAlign w:val="bottom"/>
            <w:hideMark/>
          </w:tcPr>
          <w:p w:rsidR="00A0410B" w:rsidRPr="00A0410B" w:rsidRDefault="00A0410B" w:rsidP="00A0410B">
            <w:pPr>
              <w:jc w:val="right"/>
              <w:rPr>
                <w:sz w:val="18"/>
                <w:szCs w:val="18"/>
                <w:lang w:val="en-US"/>
              </w:rPr>
            </w:pPr>
            <w:r w:rsidRPr="00A0410B">
              <w:rPr>
                <w:sz w:val="18"/>
                <w:szCs w:val="18"/>
                <w:lang w:val="en-US"/>
              </w:rPr>
              <w:t>131,4</w:t>
            </w:r>
          </w:p>
        </w:tc>
        <w:tc>
          <w:tcPr>
            <w:tcW w:w="1616" w:type="dxa"/>
            <w:noWrap/>
            <w:vAlign w:val="bottom"/>
          </w:tcPr>
          <w:p w:rsidR="00A0410B" w:rsidRPr="00A0410B" w:rsidRDefault="00A0410B" w:rsidP="00A0410B">
            <w:pPr>
              <w:jc w:val="right"/>
              <w:rPr>
                <w:sz w:val="18"/>
                <w:szCs w:val="18"/>
                <w:lang w:val="en-US"/>
              </w:rPr>
            </w:pPr>
          </w:p>
        </w:tc>
        <w:tc>
          <w:tcPr>
            <w:tcW w:w="1304" w:type="dxa"/>
            <w:tcBorders>
              <w:top w:val="nil"/>
              <w:left w:val="nil"/>
              <w:bottom w:val="nil"/>
              <w:right w:val="single" w:sz="8" w:space="0" w:color="auto"/>
            </w:tcBorders>
            <w:noWrap/>
            <w:vAlign w:val="bottom"/>
            <w:hideMark/>
          </w:tcPr>
          <w:p w:rsidR="00A0410B" w:rsidRPr="00A0410B" w:rsidRDefault="00A0410B" w:rsidP="00A0410B">
            <w:pPr>
              <w:rPr>
                <w:sz w:val="18"/>
                <w:szCs w:val="18"/>
                <w:lang w:val="en-US"/>
              </w:rPr>
            </w:pPr>
            <w:r w:rsidRPr="00A0410B">
              <w:rPr>
                <w:sz w:val="18"/>
                <w:szCs w:val="18"/>
                <w:lang w:val="en-US"/>
              </w:rPr>
              <w:t> </w:t>
            </w:r>
          </w:p>
        </w:tc>
      </w:tr>
      <w:tr w:rsidR="00A0410B" w:rsidRPr="00A0410B" w:rsidTr="00A0410B">
        <w:trPr>
          <w:trHeight w:val="85"/>
          <w:jc w:val="center"/>
        </w:trPr>
        <w:tc>
          <w:tcPr>
            <w:tcW w:w="4854" w:type="dxa"/>
            <w:tcBorders>
              <w:top w:val="nil"/>
              <w:left w:val="single" w:sz="4" w:space="0" w:color="auto"/>
              <w:bottom w:val="nil"/>
              <w:right w:val="single" w:sz="4" w:space="0" w:color="auto"/>
            </w:tcBorders>
            <w:noWrap/>
            <w:vAlign w:val="bottom"/>
            <w:hideMark/>
          </w:tcPr>
          <w:p w:rsidR="00A0410B" w:rsidRPr="00A0410B" w:rsidRDefault="00A0410B" w:rsidP="00A0410B">
            <w:pPr>
              <w:rPr>
                <w:sz w:val="18"/>
                <w:szCs w:val="18"/>
              </w:rPr>
            </w:pPr>
            <w:r w:rsidRPr="00A0410B">
              <w:rPr>
                <w:sz w:val="18"/>
                <w:szCs w:val="18"/>
              </w:rPr>
              <w:t xml:space="preserve"> -Трансфери за  др. бюджети – нето</w:t>
            </w:r>
          </w:p>
        </w:tc>
        <w:tc>
          <w:tcPr>
            <w:tcW w:w="1276" w:type="dxa"/>
            <w:noWrap/>
            <w:vAlign w:val="bottom"/>
            <w:hideMark/>
          </w:tcPr>
          <w:p w:rsidR="00A0410B" w:rsidRPr="00A0410B" w:rsidRDefault="00A0410B" w:rsidP="00A0410B">
            <w:pPr>
              <w:jc w:val="right"/>
              <w:rPr>
                <w:sz w:val="18"/>
                <w:szCs w:val="18"/>
                <w:lang w:val="en-US"/>
              </w:rPr>
            </w:pPr>
            <w:r w:rsidRPr="00A0410B">
              <w:rPr>
                <w:sz w:val="18"/>
                <w:szCs w:val="18"/>
                <w:lang w:val="en-US"/>
              </w:rPr>
              <w:t>25 508,1</w:t>
            </w:r>
          </w:p>
        </w:tc>
        <w:tc>
          <w:tcPr>
            <w:tcW w:w="1616" w:type="dxa"/>
            <w:noWrap/>
            <w:vAlign w:val="bottom"/>
            <w:hideMark/>
          </w:tcPr>
          <w:p w:rsidR="00A0410B" w:rsidRPr="00A0410B" w:rsidRDefault="00A0410B" w:rsidP="00A0410B">
            <w:pPr>
              <w:jc w:val="right"/>
              <w:rPr>
                <w:sz w:val="18"/>
                <w:szCs w:val="18"/>
                <w:lang w:val="en-US"/>
              </w:rPr>
            </w:pPr>
            <w:r w:rsidRPr="00A0410B">
              <w:rPr>
                <w:sz w:val="18"/>
                <w:szCs w:val="18"/>
                <w:lang w:val="en-US"/>
              </w:rPr>
              <w:t>28 129,9</w:t>
            </w:r>
          </w:p>
        </w:tc>
        <w:tc>
          <w:tcPr>
            <w:tcW w:w="1304" w:type="dxa"/>
            <w:tcBorders>
              <w:top w:val="nil"/>
              <w:left w:val="nil"/>
              <w:bottom w:val="nil"/>
              <w:right w:val="single" w:sz="8" w:space="0" w:color="auto"/>
            </w:tcBorders>
            <w:noWrap/>
            <w:vAlign w:val="bottom"/>
            <w:hideMark/>
          </w:tcPr>
          <w:p w:rsidR="00A0410B" w:rsidRPr="00A0410B" w:rsidRDefault="00A0410B" w:rsidP="00A0410B">
            <w:pPr>
              <w:jc w:val="right"/>
              <w:rPr>
                <w:sz w:val="18"/>
                <w:szCs w:val="18"/>
                <w:lang w:val="en-US"/>
              </w:rPr>
            </w:pPr>
            <w:r w:rsidRPr="00A0410B">
              <w:rPr>
                <w:sz w:val="18"/>
                <w:szCs w:val="18"/>
                <w:lang w:val="en-US"/>
              </w:rPr>
              <w:t>110,3%</w:t>
            </w:r>
          </w:p>
        </w:tc>
      </w:tr>
      <w:tr w:rsidR="00A0410B" w:rsidRPr="00A0410B" w:rsidTr="00A0410B">
        <w:trPr>
          <w:trHeight w:val="60"/>
          <w:jc w:val="center"/>
        </w:trPr>
        <w:tc>
          <w:tcPr>
            <w:tcW w:w="4854" w:type="dxa"/>
            <w:tcBorders>
              <w:top w:val="nil"/>
              <w:left w:val="single" w:sz="4" w:space="0" w:color="auto"/>
              <w:bottom w:val="single" w:sz="4" w:space="0" w:color="auto"/>
              <w:right w:val="single" w:sz="4" w:space="0" w:color="auto"/>
            </w:tcBorders>
            <w:noWrap/>
            <w:vAlign w:val="bottom"/>
            <w:hideMark/>
          </w:tcPr>
          <w:p w:rsidR="00A0410B" w:rsidRPr="00A0410B" w:rsidRDefault="00A0410B" w:rsidP="00A0410B">
            <w:pPr>
              <w:rPr>
                <w:bCs/>
                <w:sz w:val="18"/>
                <w:szCs w:val="18"/>
              </w:rPr>
            </w:pPr>
            <w:r w:rsidRPr="00A0410B">
              <w:rPr>
                <w:bCs/>
                <w:sz w:val="18"/>
                <w:szCs w:val="18"/>
              </w:rPr>
              <w:t xml:space="preserve"> - Вноска в бюджета на ЕС</w:t>
            </w:r>
          </w:p>
        </w:tc>
        <w:tc>
          <w:tcPr>
            <w:tcW w:w="1276" w:type="dxa"/>
            <w:tcBorders>
              <w:top w:val="nil"/>
              <w:left w:val="nil"/>
              <w:bottom w:val="single" w:sz="4" w:space="0" w:color="auto"/>
              <w:right w:val="nil"/>
            </w:tcBorders>
            <w:noWrap/>
            <w:vAlign w:val="bottom"/>
            <w:hideMark/>
          </w:tcPr>
          <w:p w:rsidR="00A0410B" w:rsidRPr="00A0410B" w:rsidRDefault="00A0410B" w:rsidP="00A0410B">
            <w:pPr>
              <w:jc w:val="right"/>
              <w:rPr>
                <w:sz w:val="18"/>
                <w:szCs w:val="18"/>
                <w:lang w:val="en-US"/>
              </w:rPr>
            </w:pPr>
            <w:r w:rsidRPr="00A0410B">
              <w:rPr>
                <w:sz w:val="18"/>
                <w:szCs w:val="18"/>
                <w:lang w:val="en-US"/>
              </w:rPr>
              <w:t>2 271,1</w:t>
            </w:r>
          </w:p>
        </w:tc>
        <w:tc>
          <w:tcPr>
            <w:tcW w:w="1616" w:type="dxa"/>
            <w:tcBorders>
              <w:top w:val="nil"/>
              <w:left w:val="nil"/>
              <w:bottom w:val="single" w:sz="4" w:space="0" w:color="auto"/>
              <w:right w:val="nil"/>
            </w:tcBorders>
            <w:noWrap/>
            <w:vAlign w:val="bottom"/>
            <w:hideMark/>
          </w:tcPr>
          <w:p w:rsidR="00A0410B" w:rsidRPr="00A0410B" w:rsidRDefault="00A0410B" w:rsidP="00A0410B">
            <w:pPr>
              <w:jc w:val="right"/>
              <w:rPr>
                <w:sz w:val="18"/>
                <w:szCs w:val="18"/>
                <w:lang w:val="en-US"/>
              </w:rPr>
            </w:pPr>
            <w:r w:rsidRPr="00A0410B">
              <w:rPr>
                <w:sz w:val="18"/>
                <w:szCs w:val="18"/>
                <w:lang w:val="en-US"/>
              </w:rPr>
              <w:t>1 592,1</w:t>
            </w:r>
          </w:p>
        </w:tc>
        <w:tc>
          <w:tcPr>
            <w:tcW w:w="1304" w:type="dxa"/>
            <w:tcBorders>
              <w:top w:val="nil"/>
              <w:left w:val="nil"/>
              <w:bottom w:val="single" w:sz="4" w:space="0" w:color="auto"/>
              <w:right w:val="single" w:sz="8" w:space="0" w:color="auto"/>
            </w:tcBorders>
            <w:noWrap/>
            <w:vAlign w:val="bottom"/>
            <w:hideMark/>
          </w:tcPr>
          <w:p w:rsidR="00A0410B" w:rsidRPr="00A0410B" w:rsidRDefault="00A0410B" w:rsidP="00A0410B">
            <w:pPr>
              <w:jc w:val="right"/>
              <w:rPr>
                <w:sz w:val="18"/>
                <w:szCs w:val="18"/>
                <w:lang w:val="en-US"/>
              </w:rPr>
            </w:pPr>
            <w:r w:rsidRPr="00A0410B">
              <w:rPr>
                <w:sz w:val="18"/>
                <w:szCs w:val="18"/>
                <w:lang w:val="en-US"/>
              </w:rPr>
              <w:t>70,1%</w:t>
            </w:r>
          </w:p>
        </w:tc>
      </w:tr>
      <w:tr w:rsidR="00A0410B" w:rsidRPr="00A0410B" w:rsidTr="00A0410B">
        <w:trPr>
          <w:trHeight w:val="50"/>
          <w:jc w:val="center"/>
        </w:trPr>
        <w:tc>
          <w:tcPr>
            <w:tcW w:w="4854" w:type="dxa"/>
            <w:tcBorders>
              <w:top w:val="single" w:sz="4" w:space="0" w:color="auto"/>
              <w:left w:val="single" w:sz="4" w:space="0" w:color="auto"/>
              <w:bottom w:val="single" w:sz="4" w:space="0" w:color="auto"/>
              <w:right w:val="single" w:sz="4" w:space="0" w:color="auto"/>
            </w:tcBorders>
            <w:noWrap/>
            <w:vAlign w:val="bottom"/>
            <w:hideMark/>
          </w:tcPr>
          <w:p w:rsidR="00A0410B" w:rsidRPr="00A0410B" w:rsidRDefault="00A0410B" w:rsidP="00A0410B">
            <w:pPr>
              <w:rPr>
                <w:b/>
                <w:bCs/>
                <w:sz w:val="18"/>
                <w:szCs w:val="18"/>
              </w:rPr>
            </w:pPr>
            <w:r w:rsidRPr="00A0410B">
              <w:rPr>
                <w:b/>
                <w:bCs/>
                <w:sz w:val="18"/>
                <w:szCs w:val="18"/>
              </w:rPr>
              <w:t>Бюджетен баланс</w:t>
            </w:r>
          </w:p>
        </w:tc>
        <w:tc>
          <w:tcPr>
            <w:tcW w:w="1276" w:type="dxa"/>
            <w:tcBorders>
              <w:top w:val="nil"/>
              <w:left w:val="nil"/>
              <w:bottom w:val="single" w:sz="8" w:space="0" w:color="auto"/>
              <w:right w:val="nil"/>
            </w:tcBorders>
            <w:noWrap/>
            <w:vAlign w:val="bottom"/>
            <w:hideMark/>
          </w:tcPr>
          <w:p w:rsidR="00A0410B" w:rsidRPr="00A0410B" w:rsidRDefault="00A0410B" w:rsidP="00A0410B">
            <w:pPr>
              <w:jc w:val="right"/>
              <w:rPr>
                <w:b/>
                <w:bCs/>
                <w:sz w:val="18"/>
                <w:szCs w:val="18"/>
                <w:lang w:val="en-US"/>
              </w:rPr>
            </w:pPr>
            <w:r w:rsidRPr="00A0410B">
              <w:rPr>
                <w:b/>
                <w:bCs/>
                <w:sz w:val="18"/>
                <w:szCs w:val="18"/>
                <w:lang w:val="en-US"/>
              </w:rPr>
              <w:t>-8 032,4</w:t>
            </w:r>
          </w:p>
        </w:tc>
        <w:tc>
          <w:tcPr>
            <w:tcW w:w="1616" w:type="dxa"/>
            <w:tcBorders>
              <w:top w:val="nil"/>
              <w:left w:val="nil"/>
              <w:bottom w:val="single" w:sz="8" w:space="0" w:color="auto"/>
              <w:right w:val="nil"/>
            </w:tcBorders>
            <w:noWrap/>
            <w:vAlign w:val="bottom"/>
            <w:hideMark/>
          </w:tcPr>
          <w:p w:rsidR="00A0410B" w:rsidRPr="00A0410B" w:rsidRDefault="00A0410B" w:rsidP="00A0410B">
            <w:pPr>
              <w:jc w:val="right"/>
              <w:rPr>
                <w:b/>
                <w:bCs/>
                <w:sz w:val="18"/>
                <w:szCs w:val="18"/>
                <w:lang w:val="en-US"/>
              </w:rPr>
            </w:pPr>
            <w:r w:rsidRPr="00A0410B">
              <w:rPr>
                <w:b/>
                <w:bCs/>
                <w:sz w:val="18"/>
                <w:szCs w:val="18"/>
                <w:lang w:val="en-US"/>
              </w:rPr>
              <w:t>-6 504,1</w:t>
            </w:r>
          </w:p>
        </w:tc>
        <w:tc>
          <w:tcPr>
            <w:tcW w:w="1304" w:type="dxa"/>
            <w:tcBorders>
              <w:top w:val="nil"/>
              <w:left w:val="nil"/>
              <w:bottom w:val="single" w:sz="8" w:space="0" w:color="auto"/>
              <w:right w:val="single" w:sz="8" w:space="0" w:color="auto"/>
            </w:tcBorders>
            <w:noWrap/>
            <w:vAlign w:val="bottom"/>
            <w:hideMark/>
          </w:tcPr>
          <w:p w:rsidR="00A0410B" w:rsidRPr="00A0410B" w:rsidRDefault="00A0410B" w:rsidP="00A0410B">
            <w:pPr>
              <w:rPr>
                <w:b/>
                <w:bCs/>
                <w:sz w:val="18"/>
                <w:szCs w:val="18"/>
                <w:lang w:val="en-US"/>
              </w:rPr>
            </w:pPr>
            <w:r w:rsidRPr="00A0410B">
              <w:rPr>
                <w:b/>
                <w:bCs/>
                <w:sz w:val="18"/>
                <w:szCs w:val="18"/>
                <w:lang w:val="en-US"/>
              </w:rPr>
              <w:t> </w:t>
            </w:r>
          </w:p>
        </w:tc>
      </w:tr>
    </w:tbl>
    <w:p w:rsidR="00A0410B" w:rsidRPr="00A0410B" w:rsidRDefault="00A0410B" w:rsidP="00A0410B">
      <w:pPr>
        <w:ind w:right="-242"/>
        <w:rPr>
          <w:b/>
          <w:bCs/>
          <w:color w:val="0070C0"/>
          <w:sz w:val="6"/>
          <w:szCs w:val="6"/>
          <w:lang w:eastAsia="bg-BG"/>
        </w:rPr>
      </w:pPr>
    </w:p>
    <w:p w:rsidR="00A0410B" w:rsidRPr="00A0410B" w:rsidRDefault="00A0410B" w:rsidP="00A0410B">
      <w:pPr>
        <w:spacing w:after="120"/>
        <w:jc w:val="both"/>
        <w:rPr>
          <w:b/>
          <w:color w:val="0070C0"/>
          <w:sz w:val="6"/>
        </w:rPr>
      </w:pPr>
    </w:p>
    <w:p w:rsidR="00A0410B" w:rsidRPr="00A0410B" w:rsidRDefault="00A0410B" w:rsidP="00A0410B">
      <w:pPr>
        <w:numPr>
          <w:ilvl w:val="0"/>
          <w:numId w:val="31"/>
        </w:numPr>
        <w:spacing w:after="120"/>
        <w:jc w:val="both"/>
        <w:rPr>
          <w:b/>
        </w:rPr>
      </w:pPr>
      <w:r w:rsidRPr="00A0410B">
        <w:rPr>
          <w:b/>
          <w:bCs/>
        </w:rPr>
        <w:t xml:space="preserve">Приходи по държавния бюджет </w:t>
      </w:r>
    </w:p>
    <w:p w:rsidR="00A0410B" w:rsidRPr="00A0410B" w:rsidRDefault="00A0410B" w:rsidP="00A0410B">
      <w:pPr>
        <w:spacing w:after="120"/>
        <w:jc w:val="both"/>
        <w:rPr>
          <w:bCs/>
          <w:lang w:val="en-US" w:eastAsia="bg-BG"/>
        </w:rPr>
      </w:pPr>
      <w:r w:rsidRPr="00A0410B">
        <w:rPr>
          <w:bCs/>
          <w:lang w:eastAsia="bg-BG"/>
        </w:rPr>
        <w:t>Общият размер на</w:t>
      </w:r>
      <w:r w:rsidRPr="00A0410B">
        <w:rPr>
          <w:b/>
          <w:bCs/>
          <w:lang w:eastAsia="bg-BG"/>
        </w:rPr>
        <w:t xml:space="preserve"> приходите, помощите и даренията по държавния бюджет</w:t>
      </w:r>
      <w:r w:rsidRPr="00A0410B">
        <w:rPr>
          <w:bCs/>
          <w:lang w:eastAsia="bg-BG"/>
        </w:rPr>
        <w:t xml:space="preserve"> към декември 2024 г. е</w:t>
      </w:r>
      <w:r w:rsidRPr="00A0410B">
        <w:rPr>
          <w:b/>
          <w:bCs/>
          <w:lang w:eastAsia="bg-BG"/>
        </w:rPr>
        <w:t xml:space="preserve"> 43 544,0 млн. лв.</w:t>
      </w:r>
      <w:r w:rsidRPr="00A0410B">
        <w:rPr>
          <w:bCs/>
          <w:lang w:eastAsia="bg-BG"/>
        </w:rPr>
        <w:t xml:space="preserve">, което представлява </w:t>
      </w:r>
      <w:r w:rsidRPr="00A0410B">
        <w:rPr>
          <w:bCs/>
          <w:lang w:val="ru-RU" w:eastAsia="bg-BG"/>
        </w:rPr>
        <w:t>100,3</w:t>
      </w:r>
      <w:r w:rsidRPr="00A0410B">
        <w:rPr>
          <w:bCs/>
          <w:lang w:eastAsia="bg-BG"/>
        </w:rPr>
        <w:t xml:space="preserve"> % изпълнение на разчетите по ЗДБРБ за </w:t>
      </w:r>
      <w:r w:rsidR="00000BB0" w:rsidRPr="00A0410B">
        <w:rPr>
          <w:bCs/>
          <w:lang w:eastAsia="bg-BG"/>
        </w:rPr>
        <w:t>2024</w:t>
      </w:r>
      <w:r w:rsidR="00000BB0">
        <w:rPr>
          <w:bCs/>
          <w:lang w:eastAsia="bg-BG"/>
        </w:rPr>
        <w:t> </w:t>
      </w:r>
      <w:r w:rsidRPr="00A0410B">
        <w:rPr>
          <w:bCs/>
          <w:lang w:eastAsia="bg-BG"/>
        </w:rPr>
        <w:t>г. и ръст от 3 </w:t>
      </w:r>
      <w:r w:rsidRPr="00A0410B">
        <w:rPr>
          <w:bCs/>
          <w:lang w:val="ru-RU" w:eastAsia="bg-BG"/>
        </w:rPr>
        <w:t>759,0</w:t>
      </w:r>
      <w:r w:rsidRPr="00A0410B">
        <w:rPr>
          <w:bCs/>
          <w:lang w:eastAsia="bg-BG"/>
        </w:rPr>
        <w:t xml:space="preserve"> млн. лв. </w:t>
      </w:r>
      <w:r w:rsidRPr="00A0410B">
        <w:rPr>
          <w:bCs/>
          <w:lang w:val="en-US" w:eastAsia="bg-BG"/>
        </w:rPr>
        <w:t>(</w:t>
      </w:r>
      <w:r w:rsidRPr="00A0410B">
        <w:rPr>
          <w:bCs/>
          <w:lang w:eastAsia="bg-BG"/>
        </w:rPr>
        <w:t>9,4 %</w:t>
      </w:r>
      <w:r w:rsidRPr="00A0410B">
        <w:rPr>
          <w:bCs/>
          <w:lang w:val="en-US" w:eastAsia="bg-BG"/>
        </w:rPr>
        <w:t>)</w:t>
      </w:r>
      <w:r w:rsidRPr="00A0410B">
        <w:rPr>
          <w:bCs/>
          <w:lang w:eastAsia="bg-BG"/>
        </w:rPr>
        <w:t xml:space="preserve"> спрямо отчетените за предходната година.</w:t>
      </w:r>
      <w:r w:rsidRPr="00A0410B">
        <w:rPr>
          <w:bCs/>
          <w:lang w:val="en-US" w:eastAsia="bg-BG"/>
        </w:rPr>
        <w:t xml:space="preserve"> </w:t>
      </w:r>
    </w:p>
    <w:p w:rsidR="00A0410B" w:rsidRPr="00A0410B" w:rsidRDefault="00A0410B" w:rsidP="00A0410B">
      <w:pPr>
        <w:numPr>
          <w:ilvl w:val="0"/>
          <w:numId w:val="32"/>
        </w:numPr>
        <w:tabs>
          <w:tab w:val="num" w:pos="720"/>
        </w:tabs>
        <w:ind w:left="0" w:firstLine="180"/>
        <w:jc w:val="both"/>
        <w:rPr>
          <w:b/>
          <w:bCs/>
          <w:lang w:eastAsia="bg-BG"/>
        </w:rPr>
      </w:pPr>
      <w:r w:rsidRPr="00A0410B">
        <w:rPr>
          <w:bCs/>
          <w:lang w:val="en-US" w:eastAsia="bg-BG"/>
        </w:rPr>
        <w:t xml:space="preserve"> </w:t>
      </w:r>
      <w:r w:rsidRPr="00A0410B">
        <w:rPr>
          <w:b/>
          <w:bCs/>
          <w:lang w:eastAsia="bg-BG"/>
        </w:rPr>
        <w:t>Данъчни приходи</w:t>
      </w:r>
    </w:p>
    <w:p w:rsidR="00A0410B" w:rsidRPr="00A0410B" w:rsidRDefault="00A0410B" w:rsidP="00A0410B">
      <w:pPr>
        <w:jc w:val="both"/>
        <w:rPr>
          <w:bCs/>
          <w:sz w:val="4"/>
          <w:szCs w:val="4"/>
          <w:lang w:eastAsia="bg-BG"/>
        </w:rPr>
      </w:pPr>
    </w:p>
    <w:p w:rsidR="00A0410B" w:rsidRPr="00A0410B" w:rsidRDefault="00A0410B" w:rsidP="00A0410B">
      <w:pPr>
        <w:jc w:val="both"/>
        <w:rPr>
          <w:lang w:val="ru-RU" w:eastAsia="bg-BG"/>
        </w:rPr>
      </w:pPr>
      <w:r w:rsidRPr="00A0410B">
        <w:rPr>
          <w:bCs/>
          <w:lang w:eastAsia="bg-BG"/>
        </w:rPr>
        <w:t>Размерът на</w:t>
      </w:r>
      <w:r w:rsidRPr="00A0410B">
        <w:rPr>
          <w:b/>
          <w:bCs/>
          <w:lang w:eastAsia="bg-BG"/>
        </w:rPr>
        <w:t xml:space="preserve"> данъчните постъпления по държавния бюджет</w:t>
      </w:r>
      <w:r w:rsidRPr="00A0410B">
        <w:rPr>
          <w:bCs/>
          <w:lang w:eastAsia="bg-BG"/>
        </w:rPr>
        <w:t xml:space="preserve"> към декември 2024 г. </w:t>
      </w:r>
      <w:r w:rsidRPr="00A0410B">
        <w:rPr>
          <w:lang w:eastAsia="bg-BG"/>
        </w:rPr>
        <w:t xml:space="preserve">е </w:t>
      </w:r>
      <w:r w:rsidRPr="00A0410B">
        <w:rPr>
          <w:b/>
          <w:lang w:val="ru-RU" w:eastAsia="bg-BG"/>
        </w:rPr>
        <w:t>38 565,2</w:t>
      </w:r>
      <w:r w:rsidRPr="00A0410B">
        <w:rPr>
          <w:b/>
          <w:lang w:eastAsia="bg-BG"/>
        </w:rPr>
        <w:t> млн.</w:t>
      </w:r>
      <w:r w:rsidRPr="00A0410B">
        <w:rPr>
          <w:b/>
          <w:lang w:val="en-US" w:eastAsia="bg-BG"/>
        </w:rPr>
        <w:t> </w:t>
      </w:r>
      <w:r w:rsidRPr="00A0410B">
        <w:rPr>
          <w:b/>
          <w:lang w:eastAsia="bg-BG"/>
        </w:rPr>
        <w:t>лв</w:t>
      </w:r>
      <w:r w:rsidRPr="00A0410B">
        <w:rPr>
          <w:lang w:eastAsia="bg-BG"/>
        </w:rPr>
        <w:t xml:space="preserve">., което представлява </w:t>
      </w:r>
      <w:r w:rsidRPr="00A0410B">
        <w:rPr>
          <w:lang w:val="ru-RU" w:eastAsia="bg-BG"/>
        </w:rPr>
        <w:t>99</w:t>
      </w:r>
      <w:r w:rsidRPr="00A0410B">
        <w:rPr>
          <w:lang w:eastAsia="bg-BG"/>
        </w:rPr>
        <w:t xml:space="preserve">,9 % изпълнение на годишните разчети. </w:t>
      </w:r>
      <w:r w:rsidRPr="00A0410B">
        <w:rPr>
          <w:bCs/>
          <w:lang w:eastAsia="bg-BG"/>
        </w:rPr>
        <w:t>Сравнени с данните към декември</w:t>
      </w:r>
      <w:r w:rsidRPr="00A0410B">
        <w:rPr>
          <w:bCs/>
          <w:lang w:val="ru-RU" w:eastAsia="bg-BG"/>
        </w:rPr>
        <w:t xml:space="preserve"> 2023 г. </w:t>
      </w:r>
      <w:r w:rsidRPr="00A0410B">
        <w:rPr>
          <w:bCs/>
          <w:lang w:eastAsia="bg-BG"/>
        </w:rPr>
        <w:t>д</w:t>
      </w:r>
      <w:r w:rsidRPr="00A0410B">
        <w:rPr>
          <w:bCs/>
          <w:lang w:val="ru-RU" w:eastAsia="bg-BG"/>
        </w:rPr>
        <w:t xml:space="preserve">анъчните приходи </w:t>
      </w:r>
      <w:r w:rsidRPr="00A0410B">
        <w:rPr>
          <w:rFonts w:eastAsia="Calibri"/>
        </w:rPr>
        <w:t xml:space="preserve">нарастват с 4 215,3 млн. лв. </w:t>
      </w:r>
      <w:r w:rsidRPr="00A0410B">
        <w:rPr>
          <w:rFonts w:eastAsia="Calibri"/>
          <w:lang w:val="en-US"/>
        </w:rPr>
        <w:t>(</w:t>
      </w:r>
      <w:r w:rsidRPr="00A0410B">
        <w:rPr>
          <w:rFonts w:eastAsia="Calibri"/>
        </w:rPr>
        <w:t>12,3 на сто</w:t>
      </w:r>
      <w:r w:rsidRPr="00A0410B">
        <w:rPr>
          <w:rFonts w:eastAsia="Calibri"/>
          <w:lang w:val="en-US"/>
        </w:rPr>
        <w:t>)</w:t>
      </w:r>
      <w:r w:rsidRPr="00A0410B">
        <w:rPr>
          <w:rFonts w:eastAsia="Calibri"/>
        </w:rPr>
        <w:t xml:space="preserve">, </w:t>
      </w:r>
      <w:r w:rsidRPr="00A0410B">
        <w:rPr>
          <w:lang w:eastAsia="bg-BG"/>
        </w:rPr>
        <w:t>което основно се дължи на номиналния ръст при приходите от данък добавена стойност (ръст от 2 359,7 млн. лв.), от данък върху доходите на физическите лица (ръст от 761,0 млн. лв.) и от акцизи (ръст от 756,8 млн. лв.)</w:t>
      </w:r>
      <w:r w:rsidRPr="00A0410B">
        <w:rPr>
          <w:rFonts w:eastAsia="Calibri"/>
        </w:rPr>
        <w:t>.</w:t>
      </w:r>
    </w:p>
    <w:p w:rsidR="00A0410B" w:rsidRPr="00A0410B" w:rsidRDefault="00A0410B" w:rsidP="00A0410B">
      <w:pPr>
        <w:numPr>
          <w:ilvl w:val="0"/>
          <w:numId w:val="33"/>
        </w:numPr>
        <w:tabs>
          <w:tab w:val="clear" w:pos="1440"/>
          <w:tab w:val="num" w:pos="540"/>
        </w:tabs>
        <w:spacing w:before="120" w:after="120"/>
        <w:ind w:left="0" w:firstLine="181"/>
        <w:jc w:val="both"/>
        <w:rPr>
          <w:b/>
          <w:bCs/>
          <w:lang w:eastAsia="bg-BG"/>
        </w:rPr>
      </w:pPr>
      <w:r w:rsidRPr="00A0410B">
        <w:rPr>
          <w:b/>
          <w:bCs/>
          <w:lang w:eastAsia="bg-BG"/>
        </w:rPr>
        <w:t>Преки данъци</w:t>
      </w:r>
    </w:p>
    <w:p w:rsidR="00A0410B" w:rsidRPr="00A0410B" w:rsidRDefault="00A0410B" w:rsidP="00A0410B">
      <w:pPr>
        <w:spacing w:before="120"/>
        <w:jc w:val="both"/>
        <w:rPr>
          <w:color w:val="0070C0"/>
          <w:lang w:eastAsia="bg-BG"/>
        </w:rPr>
      </w:pPr>
      <w:r w:rsidRPr="00A0410B">
        <w:rPr>
          <w:lang w:eastAsia="bg-BG"/>
        </w:rPr>
        <w:t>Приходите от</w:t>
      </w:r>
      <w:r w:rsidRPr="00A0410B">
        <w:rPr>
          <w:b/>
          <w:lang w:eastAsia="bg-BG"/>
        </w:rPr>
        <w:t xml:space="preserve"> преки данъци</w:t>
      </w:r>
      <w:r w:rsidRPr="00A0410B">
        <w:rPr>
          <w:lang w:eastAsia="bg-BG"/>
        </w:rPr>
        <w:t xml:space="preserve"> са в размер на</w:t>
      </w:r>
      <w:r w:rsidRPr="00A0410B">
        <w:rPr>
          <w:b/>
          <w:lang w:eastAsia="bg-BG"/>
        </w:rPr>
        <w:t> </w:t>
      </w:r>
      <w:r w:rsidRPr="00A0410B">
        <w:rPr>
          <w:b/>
          <w:lang w:val="ru-RU" w:eastAsia="bg-BG"/>
        </w:rPr>
        <w:t>12 465,4</w:t>
      </w:r>
      <w:r w:rsidRPr="00A0410B">
        <w:rPr>
          <w:b/>
          <w:lang w:eastAsia="bg-BG"/>
        </w:rPr>
        <w:t xml:space="preserve"> млн. лв</w:t>
      </w:r>
      <w:r w:rsidRPr="00A0410B">
        <w:rPr>
          <w:lang w:eastAsia="bg-BG"/>
        </w:rPr>
        <w:t xml:space="preserve">. или </w:t>
      </w:r>
      <w:r w:rsidRPr="00A0410B">
        <w:rPr>
          <w:lang w:val="ru-RU" w:eastAsia="bg-BG"/>
        </w:rPr>
        <w:t>97,1</w:t>
      </w:r>
      <w:r w:rsidRPr="00A0410B">
        <w:rPr>
          <w:lang w:eastAsia="bg-BG"/>
        </w:rPr>
        <w:t xml:space="preserve"> % от планираните за годината, като съпоставени със същия период на предходната година постъпленията нарастват с 1 </w:t>
      </w:r>
      <w:r w:rsidRPr="00A0410B">
        <w:rPr>
          <w:lang w:val="ru-RU" w:eastAsia="bg-BG"/>
        </w:rPr>
        <w:t>258,5</w:t>
      </w:r>
      <w:r w:rsidRPr="00A0410B">
        <w:rPr>
          <w:lang w:eastAsia="bg-BG"/>
        </w:rPr>
        <w:t xml:space="preserve"> млн. лв. (11,2 %). Приходите от</w:t>
      </w:r>
      <w:r w:rsidRPr="00A0410B">
        <w:rPr>
          <w:b/>
          <w:lang w:eastAsia="bg-BG"/>
        </w:rPr>
        <w:t xml:space="preserve"> </w:t>
      </w:r>
      <w:r w:rsidRPr="00A0410B">
        <w:rPr>
          <w:b/>
          <w:bCs/>
          <w:i/>
          <w:lang w:eastAsia="bg-BG"/>
        </w:rPr>
        <w:t>корпоративни данъци</w:t>
      </w:r>
      <w:r w:rsidRPr="00A0410B">
        <w:rPr>
          <w:lang w:eastAsia="bg-BG"/>
        </w:rPr>
        <w:t xml:space="preserve"> </w:t>
      </w:r>
      <w:r w:rsidRPr="00A0410B">
        <w:rPr>
          <w:bCs/>
          <w:lang w:eastAsia="bg-BG"/>
        </w:rPr>
        <w:t>към декември 2024 г.</w:t>
      </w:r>
      <w:r w:rsidRPr="00A0410B">
        <w:rPr>
          <w:lang w:eastAsia="bg-BG"/>
        </w:rPr>
        <w:t xml:space="preserve"> са в размер на </w:t>
      </w:r>
      <w:r w:rsidRPr="00A0410B">
        <w:rPr>
          <w:lang w:val="ru-RU" w:eastAsia="bg-BG"/>
        </w:rPr>
        <w:t>5</w:t>
      </w:r>
      <w:r w:rsidRPr="00A0410B">
        <w:rPr>
          <w:lang w:eastAsia="bg-BG"/>
        </w:rPr>
        <w:t> </w:t>
      </w:r>
      <w:r w:rsidRPr="00A0410B">
        <w:rPr>
          <w:lang w:val="ru-RU" w:eastAsia="bg-BG"/>
        </w:rPr>
        <w:t>412</w:t>
      </w:r>
      <w:r w:rsidRPr="00A0410B">
        <w:rPr>
          <w:lang w:eastAsia="bg-BG"/>
        </w:rPr>
        <w:t xml:space="preserve">,4 млн. лв. или </w:t>
      </w:r>
      <w:r w:rsidRPr="00A0410B">
        <w:rPr>
          <w:lang w:val="ru-RU" w:eastAsia="bg-BG"/>
        </w:rPr>
        <w:t>91,3</w:t>
      </w:r>
      <w:r w:rsidRPr="00A0410B">
        <w:rPr>
          <w:lang w:eastAsia="bg-BG"/>
        </w:rPr>
        <w:t xml:space="preserve"> % от годишния план. Сравнени с данните към декември на предходната година постъпленията нарастват с </w:t>
      </w:r>
      <w:r w:rsidRPr="00A0410B">
        <w:rPr>
          <w:lang w:val="ru-RU" w:eastAsia="bg-BG"/>
        </w:rPr>
        <w:t>497,6</w:t>
      </w:r>
      <w:r w:rsidRPr="00A0410B">
        <w:rPr>
          <w:lang w:eastAsia="bg-BG"/>
        </w:rPr>
        <w:t xml:space="preserve"> млн. лв</w:t>
      </w:r>
      <w:r w:rsidRPr="00A0410B">
        <w:rPr>
          <w:lang w:val="ru-RU" w:eastAsia="bg-BG"/>
        </w:rPr>
        <w:t>. (</w:t>
      </w:r>
      <w:r w:rsidRPr="00A0410B">
        <w:rPr>
          <w:lang w:eastAsia="bg-BG"/>
        </w:rPr>
        <w:t>10,1</w:t>
      </w:r>
      <w:r w:rsidRPr="00A0410B">
        <w:rPr>
          <w:lang w:val="ru-RU" w:eastAsia="bg-BG"/>
        </w:rPr>
        <w:t xml:space="preserve"> на сто)</w:t>
      </w:r>
      <w:r w:rsidRPr="00A0410B">
        <w:rPr>
          <w:lang w:eastAsia="bg-BG"/>
        </w:rPr>
        <w:t xml:space="preserve">. </w:t>
      </w:r>
    </w:p>
    <w:p w:rsidR="00A0410B" w:rsidRPr="00A0410B" w:rsidRDefault="00A0410B" w:rsidP="00A0410B">
      <w:pPr>
        <w:spacing w:before="120"/>
        <w:jc w:val="both"/>
        <w:rPr>
          <w:lang w:eastAsia="bg-BG"/>
        </w:rPr>
      </w:pPr>
      <w:r w:rsidRPr="00A0410B">
        <w:rPr>
          <w:lang w:eastAsia="bg-BG"/>
        </w:rPr>
        <w:t>В тази група данъци са и приходите от данък върху дивидентите, ликвидационните дялове и доходите на местни и чуждестранни юридически лица, които са в размер на 124,9 млн. лв., като съпоставени с 2023</w:t>
      </w:r>
      <w:r w:rsidRPr="00A0410B">
        <w:rPr>
          <w:lang w:val="en-US" w:eastAsia="bg-BG"/>
        </w:rPr>
        <w:t> </w:t>
      </w:r>
      <w:r w:rsidRPr="00A0410B">
        <w:rPr>
          <w:lang w:eastAsia="bg-BG"/>
        </w:rPr>
        <w:t xml:space="preserve">г. приходите са повече с 33,5 млн. лв. </w:t>
      </w:r>
      <w:r w:rsidRPr="00A0410B">
        <w:rPr>
          <w:lang w:val="ru-RU" w:eastAsia="bg-BG"/>
        </w:rPr>
        <w:t>(</w:t>
      </w:r>
      <w:r w:rsidRPr="00A0410B">
        <w:rPr>
          <w:lang w:eastAsia="bg-BG"/>
        </w:rPr>
        <w:t>36,6</w:t>
      </w:r>
      <w:r w:rsidRPr="00A0410B">
        <w:rPr>
          <w:lang w:val="ru-RU" w:eastAsia="bg-BG"/>
        </w:rPr>
        <w:t xml:space="preserve"> %)</w:t>
      </w:r>
      <w:r w:rsidRPr="00A0410B">
        <w:rPr>
          <w:lang w:eastAsia="bg-BG"/>
        </w:rPr>
        <w:t>. Постъпленията от този данък зависят от състоянието на икономиката и взетите от фирмите решения за разпределение на дивиденти.</w:t>
      </w:r>
    </w:p>
    <w:p w:rsidR="00A0410B" w:rsidRPr="00A0410B" w:rsidRDefault="00A0410B" w:rsidP="00A0410B">
      <w:pPr>
        <w:spacing w:before="120" w:after="120"/>
        <w:jc w:val="both"/>
        <w:rPr>
          <w:lang w:val="ru-RU" w:eastAsia="bg-BG"/>
        </w:rPr>
      </w:pPr>
      <w:r w:rsidRPr="00A0410B">
        <w:rPr>
          <w:lang w:eastAsia="bg-BG"/>
        </w:rPr>
        <w:t>Приходите от</w:t>
      </w:r>
      <w:r w:rsidRPr="00A0410B">
        <w:rPr>
          <w:b/>
          <w:lang w:eastAsia="bg-BG"/>
        </w:rPr>
        <w:t xml:space="preserve"> данъци върху доходите на физически лица </w:t>
      </w:r>
      <w:r w:rsidRPr="00A0410B">
        <w:rPr>
          <w:lang w:eastAsia="bg-BG"/>
        </w:rPr>
        <w:t xml:space="preserve">(ДДФЛ) са в размер на </w:t>
      </w:r>
      <w:r w:rsidRPr="00A0410B">
        <w:rPr>
          <w:b/>
          <w:lang w:val="ru-RU" w:eastAsia="bg-BG"/>
        </w:rPr>
        <w:t>7 053,0</w:t>
      </w:r>
      <w:r w:rsidRPr="00A0410B">
        <w:rPr>
          <w:b/>
          <w:lang w:val="en-US" w:eastAsia="bg-BG"/>
        </w:rPr>
        <w:t> </w:t>
      </w:r>
      <w:r w:rsidRPr="00A0410B">
        <w:rPr>
          <w:b/>
          <w:lang w:eastAsia="bg-BG"/>
        </w:rPr>
        <w:t>млн. лв.</w:t>
      </w:r>
      <w:r w:rsidRPr="00A0410B">
        <w:rPr>
          <w:lang w:eastAsia="bg-BG"/>
        </w:rPr>
        <w:t xml:space="preserve"> или 102,1 % спрямо заложените в разчета за годината. Тези приходи са със 761,0 млн. лв. повече или 12,1 % ръст спрямо предходната година.</w:t>
      </w:r>
      <w:r w:rsidRPr="00A0410B">
        <w:rPr>
          <w:lang w:val="ru-RU" w:eastAsia="bg-BG"/>
        </w:rPr>
        <w:t xml:space="preserve"> </w:t>
      </w:r>
    </w:p>
    <w:p w:rsidR="00A0410B" w:rsidRPr="00A0410B" w:rsidRDefault="00A0410B" w:rsidP="00A0410B">
      <w:pPr>
        <w:spacing w:before="120" w:after="120"/>
        <w:jc w:val="both"/>
        <w:rPr>
          <w:color w:val="0070C0"/>
          <w:lang w:eastAsia="bg-BG"/>
        </w:rPr>
      </w:pPr>
      <w:r w:rsidRPr="00A0410B">
        <w:rPr>
          <w:lang w:eastAsia="bg-BG"/>
        </w:rPr>
        <w:lastRenderedPageBreak/>
        <w:t xml:space="preserve">Основен фактор за размера на данъчните постъпления от ДДФЛ е развитието на  параметрите на пазара на труда: заетост, безработица и заплащане на труда. Влияние върху размера на постъпленията от ДДФЛ оказват действащите законодателни и административни мерки в областта на трудовото, социалното и данъчното законодателство. </w:t>
      </w:r>
      <w:r w:rsidR="006A5A5C">
        <w:t>За повишаване на</w:t>
      </w:r>
      <w:r w:rsidR="00184E93">
        <w:t xml:space="preserve"> </w:t>
      </w:r>
      <w:r w:rsidR="00184E93" w:rsidRPr="00D21829">
        <w:t>тази група данъчни приходи допринасят и предприетите мерки за намаляване на недекларирания труд, мерките за повишаване на събираемостта на задължения за минали периоди и тематичните кампании за контрол, провеждани от НАП</w:t>
      </w:r>
      <w:r w:rsidRPr="00A0410B">
        <w:rPr>
          <w:lang w:eastAsia="bg-BG"/>
        </w:rPr>
        <w:t>.</w:t>
      </w:r>
    </w:p>
    <w:p w:rsidR="00A0410B" w:rsidRPr="00A0410B" w:rsidRDefault="00A0410B" w:rsidP="00A0410B">
      <w:pPr>
        <w:spacing w:before="120"/>
        <w:jc w:val="both"/>
        <w:rPr>
          <w:bCs/>
          <w:lang w:eastAsia="bg-BG"/>
        </w:rPr>
      </w:pPr>
      <w:r w:rsidRPr="00A0410B">
        <w:rPr>
          <w:i/>
          <w:lang w:eastAsia="bg-BG"/>
        </w:rPr>
        <w:t>По трудови правоотношения</w:t>
      </w:r>
      <w:r w:rsidRPr="00A0410B">
        <w:rPr>
          <w:lang w:eastAsia="bg-BG"/>
        </w:rPr>
        <w:t xml:space="preserve"> приходите от данъка </w:t>
      </w:r>
      <w:r w:rsidRPr="00A0410B">
        <w:rPr>
          <w:bCs/>
          <w:lang w:eastAsia="bg-BG"/>
        </w:rPr>
        <w:t>към декември 2024 г.</w:t>
      </w:r>
      <w:r w:rsidRPr="00A0410B">
        <w:rPr>
          <w:lang w:eastAsia="bg-BG"/>
        </w:rPr>
        <w:t xml:space="preserve"> са </w:t>
      </w:r>
      <w:r w:rsidRPr="00A0410B">
        <w:rPr>
          <w:lang w:val="ru-RU" w:eastAsia="bg-BG"/>
        </w:rPr>
        <w:t>5</w:t>
      </w:r>
      <w:r w:rsidRPr="00A0410B">
        <w:rPr>
          <w:lang w:val="en-US" w:eastAsia="bg-BG"/>
        </w:rPr>
        <w:t> </w:t>
      </w:r>
      <w:r w:rsidRPr="00A0410B">
        <w:rPr>
          <w:lang w:eastAsia="bg-BG"/>
        </w:rPr>
        <w:t>981,4 млн. лв., 105,3 % спрямо годишните разчети. Тези приходи нарастват с 852,7 млн. лв. (16,6 %) в сравнение с предходната година</w:t>
      </w:r>
      <w:r w:rsidRPr="00A0410B">
        <w:rPr>
          <w:bCs/>
          <w:lang w:eastAsia="bg-BG"/>
        </w:rPr>
        <w:t>.</w:t>
      </w:r>
    </w:p>
    <w:p w:rsidR="00A0410B" w:rsidRPr="00A0410B" w:rsidRDefault="00A0410B" w:rsidP="00A0410B">
      <w:pPr>
        <w:jc w:val="both"/>
        <w:rPr>
          <w:lang w:eastAsia="bg-BG"/>
        </w:rPr>
      </w:pPr>
      <w:r w:rsidRPr="00A0410B">
        <w:rPr>
          <w:lang w:eastAsia="bg-BG"/>
        </w:rPr>
        <w:t xml:space="preserve">Отчетеният ръст при тази група данъчни приходи е повлиян в голяма степен от Кодекса на труда (чл. 244, ал. 2). Механизъм, съгласно който минималното трудово възнаграждение за страната за следващата календарна година се определя до 1 септември на текущата година в размер на 50 на сто от средната брутна работна заплата за период от 12 месеца, който включва последните две тримесечия на предходната година и първите две тримесечия на текущата година. В съответствие с новия механизъм от 1 януари 2024 г. минималната работна заплата за страната е увеличена от 780 лв. на 933 лв. или с 19,6 %. Други фактори за нарастване на приходите от ДДФЛ са отчетеният висок номинален ръст на средната работна заплата през първите три тримесечия на 2024 г., както в частния сектор, така и в обществения сектор, в т. ч. увеличението на заплатите в сферата на образованието и на разходите за персонал в бюджетните организации.  </w:t>
      </w:r>
    </w:p>
    <w:p w:rsidR="00A0410B" w:rsidRPr="00A0410B" w:rsidRDefault="00A0410B" w:rsidP="00A0410B">
      <w:pPr>
        <w:tabs>
          <w:tab w:val="left" w:pos="0"/>
        </w:tabs>
        <w:jc w:val="both"/>
        <w:rPr>
          <w:lang w:eastAsia="bg-BG"/>
        </w:rPr>
      </w:pPr>
      <w:r w:rsidRPr="00A0410B">
        <w:rPr>
          <w:lang w:eastAsia="bg-BG"/>
        </w:rPr>
        <w:t>Влияние върху приходите от трудови правоотношения в посока намаление от началото  на годината оказва ползването на облекченията за деца по чл. 22в и чл. 22г от ЗДДФЛ чрез подаване на декларация по образец при работодателя през месец декември и чрез подаване на годишната данъчна декларация за доходите, придобити през 2023 година. Авансовото ползване при работодател за придобитите доходи през 2024 г. също оказва въздействие текущо през  отчетната година.</w:t>
      </w:r>
    </w:p>
    <w:p w:rsidR="00A0410B" w:rsidRPr="00A0410B" w:rsidRDefault="00A0410B" w:rsidP="00A0410B">
      <w:pPr>
        <w:spacing w:before="120" w:after="120"/>
        <w:jc w:val="both"/>
        <w:rPr>
          <w:color w:val="0070C0"/>
          <w:highlight w:val="cyan"/>
          <w:lang w:eastAsia="bg-BG"/>
        </w:rPr>
      </w:pPr>
      <w:r w:rsidRPr="00A0410B">
        <w:rPr>
          <w:i/>
          <w:lang w:eastAsia="bg-BG"/>
        </w:rPr>
        <w:t>По извънтрудови правоотношения (свободни професии, граждански договори, еднолични търговци и др.)</w:t>
      </w:r>
      <w:r w:rsidRPr="00A0410B">
        <w:rPr>
          <w:lang w:eastAsia="bg-BG"/>
        </w:rPr>
        <w:t xml:space="preserve"> приходите от данъка </w:t>
      </w:r>
      <w:r w:rsidRPr="00A0410B">
        <w:rPr>
          <w:bCs/>
          <w:lang w:eastAsia="bg-BG"/>
        </w:rPr>
        <w:t>към декември 2024 г.</w:t>
      </w:r>
      <w:r w:rsidRPr="00A0410B">
        <w:rPr>
          <w:lang w:eastAsia="bg-BG"/>
        </w:rPr>
        <w:t xml:space="preserve"> са в размер на 460,2 млн. лв., което е 83,8 % от годишния разчет. За 2024 г. са постъпили с 12,0 млн. лв. по-малко приходи или 2,5 % спад спрямо предходната година. Основно влияние върху тези приходи оказват резултатите от годишните данъчни декларации по чл. 50 от ЗДДФЛ (дължим данък за довнасяне или надвнесен данък) и дължимите авансови вноски. Върху размера на приходите от тези групи данъци влияе и ползването с подаването на годишните декларации на постановените в ЗДДФЛ данъчни облекчения, от които с най-голям ефект за намаляване на данъчните приходи са облекченията за деца и данъчното облекчение за лица с намалена работоспособност. </w:t>
      </w:r>
    </w:p>
    <w:p w:rsidR="00A0410B" w:rsidRPr="00A0410B" w:rsidRDefault="00A0410B" w:rsidP="00A0410B">
      <w:pPr>
        <w:spacing w:after="120"/>
        <w:jc w:val="both"/>
        <w:rPr>
          <w:color w:val="0070C0"/>
          <w:lang w:eastAsia="bg-BG"/>
        </w:rPr>
      </w:pPr>
      <w:r w:rsidRPr="00A0410B">
        <w:rPr>
          <w:i/>
          <w:lang w:eastAsia="bg-BG"/>
        </w:rPr>
        <w:t xml:space="preserve">Окончателен данък на местните и чуждестранни физически лица по чл. 37 и 38 от ЗДДФЛ </w:t>
      </w:r>
      <w:r w:rsidRPr="00A0410B">
        <w:rPr>
          <w:lang w:eastAsia="bg-BG"/>
        </w:rPr>
        <w:t xml:space="preserve">и </w:t>
      </w:r>
      <w:r w:rsidRPr="00A0410B">
        <w:rPr>
          <w:i/>
          <w:lang w:eastAsia="bg-BG"/>
        </w:rPr>
        <w:t>данък върху дивидентите и ликвидационните дялове на физически лица</w:t>
      </w:r>
      <w:r w:rsidRPr="00A0410B">
        <w:rPr>
          <w:lang w:eastAsia="bg-BG"/>
        </w:rPr>
        <w:t xml:space="preserve"> - постъпленията от тези данъци към 31.12.2024 г. са в размер на 611,3 млн. лв. или 90,5 % от плана за 2024 година. За отчетния период постъпленията от тази група данъци са със 79,7 млн. лв. по-малко (11,5 % спад) спрямо 2023 година. Размерът на тези приходи се дължи, както на отчетените финансови резултати от нефинансовите предприятия през 2023 г., така и от предприетите законодателни и контролни мерки. Влияние за изпълнение</w:t>
      </w:r>
      <w:r w:rsidR="00D11874">
        <w:rPr>
          <w:lang w:eastAsia="bg-BG"/>
        </w:rPr>
        <w:t>то</w:t>
      </w:r>
      <w:r w:rsidRPr="00A0410B">
        <w:rPr>
          <w:lang w:eastAsia="bg-BG"/>
        </w:rPr>
        <w:t xml:space="preserve"> на приходите от данък върху дивидентите и ликвидационните дялове на местни и чуждестранни физически и юридически лица има предприетата комуникационна кампания и контролни действия от НАП за проверка на касови наличности. Контролните действия са насочени приоритетно към лица, за които има информация за висока касова наличност (над 100 хил. лв.) и при които има риск от наличие на сделки, сключени при условия, водещи до отклонение от данъчно облагане, наличието на скрито разпределение на печалбата по смисъла на § 1, т. 5 от ДР на ЗКПО. Скритото разпределение на печалбата се третира като дивидент, за който се внася 5 % данък върху разпределените суми. От 1.09.2023 г. е в сила разпоредба от Закона за ограничаване на плащанията в брой, според която плащанията на територията на страната на дивиденти, със стойност равна на или надвишаваща 1 000 лв., да се извършват само чрез превод или внасяне по платежна сметка, в резултат на което постъпленията от данъка върху дивидентите нарастват допълнително.</w:t>
      </w:r>
    </w:p>
    <w:p w:rsidR="00A0410B" w:rsidRPr="00A0410B" w:rsidRDefault="00A0410B" w:rsidP="00A0410B">
      <w:pPr>
        <w:numPr>
          <w:ilvl w:val="0"/>
          <w:numId w:val="33"/>
        </w:numPr>
        <w:tabs>
          <w:tab w:val="clear" w:pos="1440"/>
          <w:tab w:val="num" w:pos="540"/>
        </w:tabs>
        <w:ind w:left="0" w:firstLine="180"/>
        <w:jc w:val="both"/>
        <w:rPr>
          <w:b/>
          <w:bCs/>
          <w:lang w:eastAsia="bg-BG"/>
        </w:rPr>
      </w:pPr>
      <w:r w:rsidRPr="00A0410B">
        <w:rPr>
          <w:b/>
          <w:bCs/>
          <w:lang w:eastAsia="bg-BG"/>
        </w:rPr>
        <w:lastRenderedPageBreak/>
        <w:t>Косвени данъци</w:t>
      </w:r>
    </w:p>
    <w:p w:rsidR="00A0410B" w:rsidRPr="00A0410B" w:rsidRDefault="00A0410B" w:rsidP="00A0410B">
      <w:pPr>
        <w:jc w:val="both"/>
        <w:rPr>
          <w:b/>
          <w:bCs/>
          <w:sz w:val="4"/>
          <w:szCs w:val="4"/>
          <w:lang w:eastAsia="bg-BG"/>
        </w:rPr>
      </w:pPr>
    </w:p>
    <w:p w:rsidR="00A0410B" w:rsidRPr="00A0410B" w:rsidRDefault="00A0410B" w:rsidP="00A0410B">
      <w:pPr>
        <w:spacing w:after="120"/>
        <w:jc w:val="both"/>
        <w:rPr>
          <w:color w:val="0070C0"/>
          <w:lang w:val="ru-RU" w:eastAsia="bg-BG"/>
        </w:rPr>
      </w:pPr>
      <w:r w:rsidRPr="00A0410B">
        <w:rPr>
          <w:lang w:eastAsia="bg-BG"/>
        </w:rPr>
        <w:t xml:space="preserve">Приходите от </w:t>
      </w:r>
      <w:r w:rsidRPr="00A0410B">
        <w:rPr>
          <w:b/>
          <w:lang w:eastAsia="bg-BG"/>
        </w:rPr>
        <w:t>косвени данъци</w:t>
      </w:r>
      <w:r w:rsidRPr="00A0410B">
        <w:rPr>
          <w:lang w:eastAsia="bg-BG"/>
        </w:rPr>
        <w:t xml:space="preserve"> </w:t>
      </w:r>
      <w:r w:rsidRPr="00A0410B">
        <w:rPr>
          <w:bCs/>
          <w:lang w:eastAsia="bg-BG"/>
        </w:rPr>
        <w:t>към декември 2024 г.</w:t>
      </w:r>
      <w:r w:rsidRPr="00A0410B">
        <w:rPr>
          <w:lang w:eastAsia="bg-BG"/>
        </w:rPr>
        <w:t xml:space="preserve"> са в размер на</w:t>
      </w:r>
      <w:r w:rsidRPr="00A0410B">
        <w:rPr>
          <w:b/>
          <w:lang w:eastAsia="bg-BG"/>
        </w:rPr>
        <w:t xml:space="preserve"> 25 888,9 млн. лв</w:t>
      </w:r>
      <w:r w:rsidRPr="00A0410B">
        <w:rPr>
          <w:lang w:eastAsia="bg-BG"/>
        </w:rPr>
        <w:t xml:space="preserve">. или </w:t>
      </w:r>
      <w:r w:rsidRPr="00A0410B">
        <w:rPr>
          <w:lang w:val="ru-RU" w:eastAsia="bg-BG"/>
        </w:rPr>
        <w:t>101,5</w:t>
      </w:r>
      <w:r w:rsidRPr="00A0410B">
        <w:rPr>
          <w:lang w:eastAsia="bg-BG"/>
        </w:rPr>
        <w:t xml:space="preserve"> % спрямо годишния разчет. Сравнени с данните за предходната година постъпленията </w:t>
      </w:r>
      <w:r w:rsidRPr="00A0410B">
        <w:rPr>
          <w:bCs/>
          <w:lang w:eastAsia="bg-BG"/>
        </w:rPr>
        <w:t>нарастват</w:t>
      </w:r>
      <w:r w:rsidRPr="00A0410B">
        <w:rPr>
          <w:lang w:eastAsia="bg-BG"/>
        </w:rPr>
        <w:t xml:space="preserve"> с 3 141,4 млн. лв. </w:t>
      </w:r>
      <w:r w:rsidRPr="00A0410B">
        <w:rPr>
          <w:lang w:val="ru-RU" w:eastAsia="bg-BG"/>
        </w:rPr>
        <w:t>(</w:t>
      </w:r>
      <w:r w:rsidRPr="00A0410B">
        <w:rPr>
          <w:lang w:eastAsia="bg-BG"/>
        </w:rPr>
        <w:t>13,8 на сто</w:t>
      </w:r>
      <w:r w:rsidRPr="00A0410B">
        <w:rPr>
          <w:lang w:val="ru-RU" w:eastAsia="bg-BG"/>
        </w:rPr>
        <w:t xml:space="preserve">). </w:t>
      </w:r>
    </w:p>
    <w:p w:rsidR="00A0410B" w:rsidRPr="00A0410B" w:rsidRDefault="00A0410B" w:rsidP="00A0410B">
      <w:pPr>
        <w:spacing w:after="120"/>
        <w:jc w:val="both"/>
        <w:rPr>
          <w:color w:val="0070C0"/>
          <w:lang w:eastAsia="bg-BG"/>
        </w:rPr>
      </w:pPr>
      <w:r w:rsidRPr="00A0410B">
        <w:rPr>
          <w:b/>
          <w:lang w:eastAsia="bg-BG"/>
        </w:rPr>
        <w:t>Приходите от ДДС</w:t>
      </w:r>
      <w:r w:rsidRPr="00A0410B">
        <w:rPr>
          <w:lang w:eastAsia="bg-BG"/>
        </w:rPr>
        <w:t xml:space="preserve"> са в размер на </w:t>
      </w:r>
      <w:r w:rsidRPr="00A0410B">
        <w:rPr>
          <w:b/>
          <w:lang w:eastAsia="bg-BG"/>
        </w:rPr>
        <w:t xml:space="preserve">18 576,2 млн. лв., </w:t>
      </w:r>
      <w:r w:rsidRPr="00A0410B">
        <w:rPr>
          <w:lang w:eastAsia="bg-BG"/>
        </w:rPr>
        <w:t xml:space="preserve">което представлява 99,7 % от планираните със ЗДБРБ за 2024 година. Съпоставени с 2023 г., приходите от ДДС нарастват с 2 359,7 млн. лв. </w:t>
      </w:r>
      <w:r w:rsidRPr="00A0410B">
        <w:rPr>
          <w:lang w:val="ru-RU" w:eastAsia="bg-BG"/>
        </w:rPr>
        <w:t>(</w:t>
      </w:r>
      <w:r w:rsidRPr="00A0410B">
        <w:rPr>
          <w:lang w:eastAsia="bg-BG"/>
        </w:rPr>
        <w:t>14,6 на сто</w:t>
      </w:r>
      <w:r w:rsidRPr="00A0410B">
        <w:rPr>
          <w:lang w:val="ru-RU" w:eastAsia="bg-BG"/>
        </w:rPr>
        <w:t xml:space="preserve">), </w:t>
      </w:r>
      <w:r w:rsidRPr="00A0410B">
        <w:rPr>
          <w:lang w:eastAsia="bg-BG"/>
        </w:rPr>
        <w:t>което е в резултат на повишеното потребление, ръстът в цените на стоките и предприетите мерки от приходните агенции за подобряване на митническия и данъчен контрол.</w:t>
      </w:r>
    </w:p>
    <w:p w:rsidR="00A0410B" w:rsidRPr="00A0410B" w:rsidRDefault="00A0410B" w:rsidP="00A0410B">
      <w:pPr>
        <w:ind w:right="-2"/>
        <w:jc w:val="both"/>
        <w:rPr>
          <w:color w:val="0070C0"/>
          <w:lang w:eastAsia="bg-BG"/>
        </w:rPr>
      </w:pPr>
      <w:r w:rsidRPr="00A0410B">
        <w:rPr>
          <w:lang w:eastAsia="bg-BG"/>
        </w:rPr>
        <w:t xml:space="preserve">Нетният размер на приходите от </w:t>
      </w:r>
      <w:r w:rsidRPr="00A0410B">
        <w:rPr>
          <w:i/>
          <w:lang w:eastAsia="bg-BG"/>
        </w:rPr>
        <w:t>ДДС от внос</w:t>
      </w:r>
      <w:r w:rsidRPr="00A0410B">
        <w:rPr>
          <w:lang w:eastAsia="bg-BG"/>
        </w:rPr>
        <w:t xml:space="preserve"> </w:t>
      </w:r>
      <w:r w:rsidRPr="00A0410B">
        <w:rPr>
          <w:bCs/>
          <w:lang w:eastAsia="bg-BG"/>
        </w:rPr>
        <w:t>към декември 2024 г.</w:t>
      </w:r>
      <w:r w:rsidRPr="00A0410B">
        <w:rPr>
          <w:lang w:eastAsia="bg-BG"/>
        </w:rPr>
        <w:t xml:space="preserve"> е 6 551,3 млн. лв. и се отчита ръст от 8,8 % (</w:t>
      </w:r>
      <w:r w:rsidRPr="00A0410B">
        <w:rPr>
          <w:lang w:val="ru-RU" w:eastAsia="bg-BG"/>
        </w:rPr>
        <w:t>529,7</w:t>
      </w:r>
      <w:r w:rsidRPr="00A0410B">
        <w:rPr>
          <w:lang w:eastAsia="bg-BG"/>
        </w:rPr>
        <w:t xml:space="preserve"> млн. лв.) спрямо данните за предходната година. </w:t>
      </w:r>
      <w:r w:rsidRPr="00A0410B">
        <w:rPr>
          <w:shd w:val="clear" w:color="auto" w:fill="FFFFFF"/>
          <w:lang w:eastAsia="bg-BG"/>
        </w:rPr>
        <w:t>Разглеждайки</w:t>
      </w:r>
      <w:r w:rsidRPr="00A0410B">
        <w:rPr>
          <w:lang w:eastAsia="bg-BG"/>
        </w:rPr>
        <w:t xml:space="preserve"> декларирания ДДС при внос по групи стоки, съобразно Класификатора на широките икономически категории (</w:t>
      </w:r>
      <w:r w:rsidRPr="00A0410B">
        <w:rPr>
          <w:lang w:val="en-US" w:eastAsia="bg-BG"/>
        </w:rPr>
        <w:t>BEC</w:t>
      </w:r>
      <w:r w:rsidRPr="00A0410B">
        <w:rPr>
          <w:lang w:eastAsia="bg-BG"/>
        </w:rPr>
        <w:t xml:space="preserve">), през 2024 г. спрямо предходната година се наблюдава повишение при всички групи стоки. Върху постъпленията от ДДС от внос влияние оказва възможността </w:t>
      </w:r>
      <w:r w:rsidRPr="00A0410B">
        <w:rPr>
          <w:iCs/>
          <w:lang w:eastAsia="bg-BG"/>
        </w:rPr>
        <w:t>за отложено начисляване на ДДС от вносител при внос на стоки от трети страни, в съответствие с разпоредбата на чл. 167а от Закона за данък върху добавената стойност.</w:t>
      </w:r>
      <w:r w:rsidRPr="00A0410B">
        <w:rPr>
          <w:bCs/>
          <w:lang w:eastAsia="bg-BG"/>
        </w:rPr>
        <w:t xml:space="preserve"> </w:t>
      </w:r>
      <w:r w:rsidRPr="00A0410B">
        <w:rPr>
          <w:lang w:eastAsia="bg-BG"/>
        </w:rPr>
        <w:t xml:space="preserve">Ефектът от прилагането на този режим през 2024 г. </w:t>
      </w:r>
      <w:r w:rsidRPr="00A0410B">
        <w:rPr>
          <w:bCs/>
          <w:lang w:eastAsia="bg-BG"/>
        </w:rPr>
        <w:t>е неначислен ДДС при внос в размер на 1 600,4</w:t>
      </w:r>
      <w:r w:rsidRPr="00A0410B">
        <w:rPr>
          <w:lang w:eastAsia="bg-BG"/>
        </w:rPr>
        <w:t xml:space="preserve"> млн. лв., което е с 260,8 млн. лв. повече спрямо 2023</w:t>
      </w:r>
      <w:r w:rsidR="00C948AF">
        <w:rPr>
          <w:lang w:val="en-US" w:eastAsia="bg-BG"/>
        </w:rPr>
        <w:t> </w:t>
      </w:r>
      <w:r w:rsidRPr="00A0410B">
        <w:rPr>
          <w:lang w:eastAsia="bg-BG"/>
        </w:rPr>
        <w:t>г., като се регистрира ръст от 19,5 %</w:t>
      </w:r>
      <w:r w:rsidRPr="00A0410B">
        <w:rPr>
          <w:bCs/>
          <w:lang w:eastAsia="bg-BG"/>
        </w:rPr>
        <w:t>. Стоките с най-значителен дял през 2024 г. са: руди, шлаки и пепели – 1 028,2 млн. лв. (увеличение с 251,6 млн. лв., 32,4 %), мед и изделия от мед – 237,0 млн. лв. (намаление със 7,3 млн. лв., 3,0 %) и чугун, желязо и стомана – 160,2 млн. лв. (увеличение с 21,8 млн. лв., 15,8 %). Изброените три групи стоки формират 89,1 % от неначисления ДДС за 2024 година</w:t>
      </w:r>
      <w:r w:rsidRPr="00A0410B">
        <w:rPr>
          <w:lang w:eastAsia="bg-BG"/>
        </w:rPr>
        <w:t xml:space="preserve">. </w:t>
      </w:r>
    </w:p>
    <w:p w:rsidR="00A0410B" w:rsidRPr="00A0410B" w:rsidRDefault="00A0410B" w:rsidP="00A0410B">
      <w:pPr>
        <w:spacing w:before="120"/>
        <w:jc w:val="both"/>
        <w:rPr>
          <w:bCs/>
          <w:color w:val="0070C0"/>
          <w:lang w:eastAsia="bg-BG"/>
        </w:rPr>
      </w:pPr>
      <w:r w:rsidRPr="00A0410B">
        <w:rPr>
          <w:lang w:eastAsia="bg-BG"/>
        </w:rPr>
        <w:t>Постъпленията от</w:t>
      </w:r>
      <w:r w:rsidRPr="00A0410B">
        <w:rPr>
          <w:i/>
          <w:lang w:eastAsia="bg-BG"/>
        </w:rPr>
        <w:t xml:space="preserve"> ДДС при сделки в страната и вътреобщностни придобивания (ВОП) – нето </w:t>
      </w:r>
      <w:r w:rsidRPr="00A0410B">
        <w:rPr>
          <w:bCs/>
          <w:lang w:eastAsia="bg-BG"/>
        </w:rPr>
        <w:t>към декември 2024 г.</w:t>
      </w:r>
      <w:r w:rsidRPr="00A0410B">
        <w:rPr>
          <w:lang w:eastAsia="bg-BG"/>
        </w:rPr>
        <w:t xml:space="preserve"> възлизат на 12 024,9 млн. лв. Сравнени с данните за предходната година постъпленията </w:t>
      </w:r>
      <w:r w:rsidRPr="00A0410B">
        <w:rPr>
          <w:bCs/>
          <w:lang w:eastAsia="bg-BG"/>
        </w:rPr>
        <w:t xml:space="preserve">нарастват с 18,0 % </w:t>
      </w:r>
      <w:r w:rsidRPr="00A0410B">
        <w:rPr>
          <w:bCs/>
          <w:lang w:val="ru-RU" w:eastAsia="bg-BG"/>
        </w:rPr>
        <w:t>(1 830,0 млн. лева)</w:t>
      </w:r>
      <w:r w:rsidRPr="00A0410B">
        <w:rPr>
          <w:bCs/>
          <w:lang w:eastAsia="bg-BG"/>
        </w:rPr>
        <w:t xml:space="preserve">. </w:t>
      </w:r>
    </w:p>
    <w:p w:rsidR="00A0410B" w:rsidRPr="00A0410B" w:rsidRDefault="00A0410B" w:rsidP="00A0410B">
      <w:pPr>
        <w:jc w:val="both"/>
        <w:rPr>
          <w:bCs/>
          <w:color w:val="0070C0"/>
          <w:lang w:eastAsia="bg-BG"/>
        </w:rPr>
      </w:pPr>
      <w:r w:rsidRPr="00A0410B">
        <w:rPr>
          <w:i/>
          <w:lang w:eastAsia="bg-BG"/>
        </w:rPr>
        <w:t>Ефективно внесеният ДДС</w:t>
      </w:r>
      <w:r w:rsidRPr="00A0410B">
        <w:rPr>
          <w:lang w:eastAsia="bg-BG"/>
        </w:rPr>
        <w:t xml:space="preserve"> по сметките на Националната агенция за приходите</w:t>
      </w:r>
      <w:r w:rsidRPr="00A0410B">
        <w:rPr>
          <w:i/>
          <w:lang w:eastAsia="bg-BG"/>
        </w:rPr>
        <w:t xml:space="preserve"> </w:t>
      </w:r>
      <w:r w:rsidRPr="00A0410B">
        <w:rPr>
          <w:lang w:eastAsia="bg-BG"/>
        </w:rPr>
        <w:t>се</w:t>
      </w:r>
      <w:r w:rsidRPr="00A0410B">
        <w:rPr>
          <w:i/>
          <w:lang w:eastAsia="bg-BG"/>
        </w:rPr>
        <w:t xml:space="preserve"> </w:t>
      </w:r>
      <w:r w:rsidRPr="00A0410B">
        <w:rPr>
          <w:lang w:eastAsia="bg-BG"/>
        </w:rPr>
        <w:t>формира от внесен данък по справки-декларации от сделки в страната и ВОП и допълнително внесени суми, разкрити с данъчно-ревизионни актове при ревизии. За 2024 г. ефективно внесеният ДДС от сделки в страната и ВОП възлиза на 22 425,5 млн. лв. и спрямо предходната година се увеличава с 1 822,9 млн. лв. (8,9 %). От тях по ревизионни актове са постъпили 251,0 млн. лв. или с 14,7 млн. лв. (5,5 %) по-малко от отчета за 2023 година.</w:t>
      </w:r>
      <w:r w:rsidRPr="00A0410B">
        <w:rPr>
          <w:lang w:val="ru-RU" w:eastAsia="bg-BG"/>
        </w:rPr>
        <w:t xml:space="preserve"> </w:t>
      </w:r>
      <w:r w:rsidRPr="00A0410B">
        <w:rPr>
          <w:lang w:eastAsia="bg-BG"/>
        </w:rPr>
        <w:t>Декларираният ДДС за възстановяване зависи основно от размера на износа и извършените инвестиции. Регистрираните лица по ДДС упражняват право на данъчен кредит чрез приспадане по реда на чл. 92, ал. 1 от ЗДДС или чрез ефективно възстановяване от данъчната администрация след определения срок</w:t>
      </w:r>
      <w:r w:rsidRPr="00A0410B">
        <w:rPr>
          <w:color w:val="0070C0"/>
          <w:lang w:eastAsia="bg-BG"/>
        </w:rPr>
        <w:t xml:space="preserve">. </w:t>
      </w:r>
      <w:r w:rsidRPr="00A0410B">
        <w:rPr>
          <w:i/>
          <w:lang w:eastAsia="bg-BG"/>
        </w:rPr>
        <w:t>Приспаднатият данък</w:t>
      </w:r>
      <w:r w:rsidRPr="00A0410B">
        <w:rPr>
          <w:lang w:eastAsia="bg-BG"/>
        </w:rPr>
        <w:t xml:space="preserve"> за 2024 г. е 852,7 млн. лв. и е със 76,1 млн. лв. (8,2 %) по-малко спрямо 2023 година. </w:t>
      </w:r>
      <w:r w:rsidRPr="00A0410B">
        <w:rPr>
          <w:i/>
          <w:lang w:eastAsia="bg-BG"/>
        </w:rPr>
        <w:t>Възстановеният данък</w:t>
      </w:r>
      <w:r w:rsidRPr="00A0410B">
        <w:rPr>
          <w:lang w:eastAsia="bg-BG"/>
        </w:rPr>
        <w:t xml:space="preserve"> възлиза на 10</w:t>
      </w:r>
      <w:r w:rsidRPr="00A0410B">
        <w:rPr>
          <w:lang w:val="en-US" w:eastAsia="bg-BG"/>
        </w:rPr>
        <w:t> </w:t>
      </w:r>
      <w:r w:rsidRPr="00A0410B">
        <w:rPr>
          <w:lang w:eastAsia="bg-BG"/>
        </w:rPr>
        <w:t xml:space="preserve">400,5 млн. лв., като се увеличава с 2,1 млн. лв. (0,02 %) на годишна база. </w:t>
      </w:r>
      <w:r w:rsidR="00996D56">
        <w:rPr>
          <w:lang w:eastAsia="bg-BG"/>
        </w:rPr>
        <w:t>Декларираните с</w:t>
      </w:r>
      <w:r w:rsidR="00996D56" w:rsidRPr="00A0410B">
        <w:rPr>
          <w:lang w:eastAsia="bg-BG"/>
        </w:rPr>
        <w:t>уми</w:t>
      </w:r>
      <w:r w:rsidR="00996D56">
        <w:rPr>
          <w:lang w:eastAsia="bg-BG"/>
        </w:rPr>
        <w:t xml:space="preserve"> за ДДС</w:t>
      </w:r>
      <w:r w:rsidR="00996D56" w:rsidRPr="00A0410B">
        <w:rPr>
          <w:lang w:eastAsia="bg-BG"/>
        </w:rPr>
        <w:t>, подлежащи на възстановяване</w:t>
      </w:r>
      <w:r w:rsidR="00996D56">
        <w:rPr>
          <w:bCs/>
          <w:lang w:eastAsia="bg-BG"/>
        </w:rPr>
        <w:t>, но за които е</w:t>
      </w:r>
      <w:r w:rsidR="00996D56" w:rsidRPr="005049C1">
        <w:t xml:space="preserve"> </w:t>
      </w:r>
      <w:r w:rsidR="00996D56" w:rsidRPr="005049C1">
        <w:rPr>
          <w:bCs/>
          <w:lang w:eastAsia="bg-BG"/>
        </w:rPr>
        <w:t xml:space="preserve">възложена проверка </w:t>
      </w:r>
      <w:r w:rsidR="00996D56">
        <w:rPr>
          <w:bCs/>
          <w:lang w:eastAsia="bg-BG"/>
        </w:rPr>
        <w:t>или</w:t>
      </w:r>
      <w:r w:rsidR="00996D56" w:rsidRPr="005049C1">
        <w:rPr>
          <w:bCs/>
          <w:lang w:eastAsia="bg-BG"/>
        </w:rPr>
        <w:t xml:space="preserve"> ревизия</w:t>
      </w:r>
      <w:r w:rsidR="00996D56">
        <w:rPr>
          <w:bCs/>
          <w:lang w:eastAsia="bg-BG"/>
        </w:rPr>
        <w:t xml:space="preserve"> съгласно чл. 92, ал. 8-11</w:t>
      </w:r>
      <w:r w:rsidR="00996D56" w:rsidRPr="008E5641">
        <w:rPr>
          <w:bCs/>
          <w:lang w:eastAsia="bg-BG"/>
        </w:rPr>
        <w:t xml:space="preserve"> </w:t>
      </w:r>
      <w:r w:rsidR="00996D56" w:rsidRPr="005049C1">
        <w:rPr>
          <w:bCs/>
          <w:lang w:eastAsia="bg-BG"/>
        </w:rPr>
        <w:t>от ЗДДС</w:t>
      </w:r>
      <w:r w:rsidR="00996D56">
        <w:rPr>
          <w:bCs/>
          <w:lang w:eastAsia="bg-BG"/>
        </w:rPr>
        <w:t xml:space="preserve">, или </w:t>
      </w:r>
      <w:r w:rsidR="00996D56" w:rsidRPr="005049C1">
        <w:rPr>
          <w:bCs/>
          <w:lang w:eastAsia="bg-BG"/>
        </w:rPr>
        <w:t>са издадени заповеди за спиране на сроковете за възстановяване съгласно чл. 93</w:t>
      </w:r>
      <w:r w:rsidR="00996D56">
        <w:rPr>
          <w:bCs/>
          <w:lang w:eastAsia="bg-BG"/>
        </w:rPr>
        <w:t>,</w:t>
      </w:r>
      <w:r w:rsidR="00996D56" w:rsidRPr="00A0410B">
        <w:rPr>
          <w:bCs/>
          <w:lang w:eastAsia="bg-BG"/>
        </w:rPr>
        <w:t xml:space="preserve"> към 31.12.2024 г.</w:t>
      </w:r>
      <w:r w:rsidR="00996D56">
        <w:rPr>
          <w:bCs/>
          <w:lang w:eastAsia="bg-BG"/>
        </w:rPr>
        <w:t xml:space="preserve"> </w:t>
      </w:r>
      <w:r w:rsidR="00996D56" w:rsidRPr="00A0410B">
        <w:rPr>
          <w:bCs/>
          <w:lang w:eastAsia="bg-BG"/>
        </w:rPr>
        <w:t>са в размер на 56,8 млн. лева.</w:t>
      </w:r>
    </w:p>
    <w:p w:rsidR="00A0410B" w:rsidRPr="00A0410B" w:rsidRDefault="00A0410B" w:rsidP="00A0410B">
      <w:pPr>
        <w:spacing w:before="120" w:after="120"/>
        <w:jc w:val="both"/>
        <w:rPr>
          <w:color w:val="0070C0"/>
          <w:lang w:eastAsia="bg-BG"/>
        </w:rPr>
      </w:pPr>
      <w:r w:rsidRPr="00A0410B">
        <w:rPr>
          <w:b/>
          <w:lang w:eastAsia="bg-BG"/>
        </w:rPr>
        <w:t xml:space="preserve">Приходите от акцизи (нето) </w:t>
      </w:r>
      <w:r w:rsidRPr="00A0410B">
        <w:rPr>
          <w:lang w:eastAsia="bg-BG"/>
        </w:rPr>
        <w:t xml:space="preserve">от внос, вътрешно производство и въведени в страната от други държави-членки на ЕС акцизни стоки са в размер на </w:t>
      </w:r>
      <w:r w:rsidRPr="00A0410B">
        <w:rPr>
          <w:b/>
          <w:lang w:eastAsia="bg-BG"/>
        </w:rPr>
        <w:t>6 </w:t>
      </w:r>
      <w:r w:rsidRPr="00A0410B">
        <w:rPr>
          <w:b/>
          <w:lang w:val="ru-RU" w:eastAsia="bg-BG"/>
        </w:rPr>
        <w:t>904,7</w:t>
      </w:r>
      <w:r w:rsidRPr="00A0410B">
        <w:rPr>
          <w:b/>
          <w:lang w:eastAsia="bg-BG"/>
        </w:rPr>
        <w:t xml:space="preserve"> млн. лв</w:t>
      </w:r>
      <w:r w:rsidRPr="00A0410B">
        <w:rPr>
          <w:lang w:eastAsia="bg-BG"/>
        </w:rPr>
        <w:t xml:space="preserve">., което е 107,1 % спрямо планираните със ЗДБРБ за 2024 г. Съпоставени с 2023 г. постъпленията от акцизи нарастват номинално със </w:t>
      </w:r>
      <w:r w:rsidRPr="00A0410B">
        <w:rPr>
          <w:lang w:val="ru-RU" w:eastAsia="bg-BG"/>
        </w:rPr>
        <w:t>756,8</w:t>
      </w:r>
      <w:r w:rsidRPr="00A0410B">
        <w:rPr>
          <w:lang w:eastAsia="bg-BG"/>
        </w:rPr>
        <w:t xml:space="preserve"> млн. лв. (12,3 %).</w:t>
      </w:r>
    </w:p>
    <w:p w:rsidR="00A0410B" w:rsidRPr="00A0410B" w:rsidRDefault="00A0410B" w:rsidP="00A0410B">
      <w:pPr>
        <w:spacing w:before="120" w:after="120"/>
        <w:jc w:val="both"/>
        <w:rPr>
          <w:color w:val="0070C0"/>
          <w:lang w:eastAsia="bg-BG"/>
        </w:rPr>
      </w:pPr>
      <w:r w:rsidRPr="00A0410B">
        <w:rPr>
          <w:lang w:eastAsia="bg-BG"/>
        </w:rPr>
        <w:t>Относителният дял на нетните постъпления от акциз по стокови групи е, както следва: тютюн и тютюневи изделия (55,8 %); горива (38,6 %); алкохол и алкохолни напитки, вкл. бира (5,0 %) и други акцизни стоки (0,5 %). Постъпленията от акциз за 2024 г. по основни стокови групи, са както следва:</w:t>
      </w:r>
    </w:p>
    <w:p w:rsidR="00A0410B" w:rsidRPr="00A0410B" w:rsidRDefault="00A0410B" w:rsidP="00A0410B">
      <w:pPr>
        <w:numPr>
          <w:ilvl w:val="0"/>
          <w:numId w:val="34"/>
        </w:numPr>
        <w:ind w:firstLine="66"/>
        <w:jc w:val="both"/>
        <w:rPr>
          <w:i/>
          <w:lang w:eastAsia="bg-BG"/>
        </w:rPr>
      </w:pPr>
      <w:r w:rsidRPr="00A0410B">
        <w:rPr>
          <w:i/>
          <w:lang w:eastAsia="bg-BG"/>
        </w:rPr>
        <w:t xml:space="preserve">акцизите от тютюн и тютюневи изделия </w:t>
      </w:r>
      <w:r w:rsidRPr="00A0410B">
        <w:rPr>
          <w:lang w:eastAsia="bg-BG"/>
        </w:rPr>
        <w:t>възлизат на 3 855,8 млн. лева</w:t>
      </w:r>
      <w:r w:rsidRPr="00A0410B">
        <w:rPr>
          <w:i/>
          <w:lang w:eastAsia="bg-BG"/>
        </w:rPr>
        <w:t xml:space="preserve">; </w:t>
      </w:r>
    </w:p>
    <w:p w:rsidR="00A0410B" w:rsidRPr="00A0410B" w:rsidRDefault="00A0410B" w:rsidP="00A0410B">
      <w:pPr>
        <w:numPr>
          <w:ilvl w:val="0"/>
          <w:numId w:val="34"/>
        </w:numPr>
        <w:ind w:firstLine="66"/>
        <w:jc w:val="both"/>
        <w:rPr>
          <w:lang w:eastAsia="bg-BG"/>
        </w:rPr>
      </w:pPr>
      <w:r w:rsidRPr="00A0410B">
        <w:rPr>
          <w:i/>
          <w:lang w:eastAsia="bg-BG"/>
        </w:rPr>
        <w:t>акцизите от горива</w:t>
      </w:r>
      <w:r w:rsidRPr="00A0410B">
        <w:rPr>
          <w:lang w:eastAsia="bg-BG"/>
        </w:rPr>
        <w:t xml:space="preserve"> са в размер на 2 668,4 млн. лева; </w:t>
      </w:r>
    </w:p>
    <w:p w:rsidR="00A0410B" w:rsidRPr="00A0410B" w:rsidRDefault="00A0410B" w:rsidP="00A0410B">
      <w:pPr>
        <w:numPr>
          <w:ilvl w:val="0"/>
          <w:numId w:val="34"/>
        </w:numPr>
        <w:ind w:firstLine="66"/>
        <w:jc w:val="both"/>
        <w:rPr>
          <w:lang w:eastAsia="bg-BG"/>
        </w:rPr>
      </w:pPr>
      <w:r w:rsidRPr="00A0410B">
        <w:rPr>
          <w:i/>
          <w:lang w:eastAsia="bg-BG"/>
        </w:rPr>
        <w:t xml:space="preserve">акцизите от алкохол и алкохолни напитки (вкл. бира) </w:t>
      </w:r>
      <w:r w:rsidRPr="00A0410B">
        <w:rPr>
          <w:lang w:eastAsia="bg-BG"/>
        </w:rPr>
        <w:t xml:space="preserve">възлизат на 346,5 млн. лева; </w:t>
      </w:r>
    </w:p>
    <w:p w:rsidR="00A0410B" w:rsidRPr="00A0410B" w:rsidRDefault="00A0410B" w:rsidP="00A0410B">
      <w:pPr>
        <w:numPr>
          <w:ilvl w:val="0"/>
          <w:numId w:val="34"/>
        </w:numPr>
        <w:ind w:firstLine="66"/>
        <w:jc w:val="both"/>
        <w:rPr>
          <w:lang w:eastAsia="bg-BG"/>
        </w:rPr>
      </w:pPr>
      <w:r w:rsidRPr="00A0410B">
        <w:rPr>
          <w:i/>
          <w:lang w:eastAsia="bg-BG"/>
        </w:rPr>
        <w:t xml:space="preserve">приходите от ел. енергия и др. акцизни стоки </w:t>
      </w:r>
      <w:r w:rsidRPr="00A0410B">
        <w:rPr>
          <w:lang w:eastAsia="bg-BG"/>
        </w:rPr>
        <w:t>възлизат на 34,0 млн. лева.</w:t>
      </w:r>
    </w:p>
    <w:p w:rsidR="00A0410B" w:rsidRPr="00A0410B" w:rsidRDefault="00A0410B" w:rsidP="00A0410B">
      <w:pPr>
        <w:ind w:left="360"/>
        <w:jc w:val="both"/>
        <w:rPr>
          <w:sz w:val="8"/>
          <w:szCs w:val="8"/>
          <w:lang w:eastAsia="bg-BG"/>
        </w:rPr>
      </w:pPr>
    </w:p>
    <w:p w:rsidR="00A0410B" w:rsidRPr="00A0410B" w:rsidRDefault="00A0410B" w:rsidP="00A0410B">
      <w:pPr>
        <w:spacing w:after="120"/>
        <w:jc w:val="both"/>
        <w:rPr>
          <w:lang w:val="ru-RU" w:eastAsia="bg-BG"/>
        </w:rPr>
      </w:pPr>
      <w:r w:rsidRPr="00A0410B">
        <w:rPr>
          <w:b/>
          <w:lang w:eastAsia="bg-BG"/>
        </w:rPr>
        <w:lastRenderedPageBreak/>
        <w:t>Приходите от данък върху застрахователните премии</w:t>
      </w:r>
      <w:r w:rsidRPr="00A0410B">
        <w:rPr>
          <w:lang w:eastAsia="bg-BG"/>
        </w:rPr>
        <w:t xml:space="preserve"> са в размер на </w:t>
      </w:r>
      <w:r w:rsidRPr="00A0410B">
        <w:rPr>
          <w:b/>
          <w:lang w:eastAsia="bg-BG"/>
        </w:rPr>
        <w:t>68,9 млн. лв</w:t>
      </w:r>
      <w:r w:rsidRPr="00A0410B">
        <w:rPr>
          <w:lang w:eastAsia="bg-BG"/>
        </w:rPr>
        <w:t xml:space="preserve">., при планирани за годината 63,0 млн. лева. В сравнение с предходната година приходите отчитат ръст от 8,6 млн. лв. (14,3 на сто). Изпълнението на приходите от данъка върху застрахователните премии по облагаеми застрахователни договори, рисковете по които са поети от застрахователи, зависят основно от ръста или спада на записаните застрахователни премии. </w:t>
      </w:r>
    </w:p>
    <w:p w:rsidR="00A0410B" w:rsidRPr="00A0410B" w:rsidRDefault="00A0410B" w:rsidP="00A0410B">
      <w:pPr>
        <w:autoSpaceDE w:val="0"/>
        <w:autoSpaceDN w:val="0"/>
        <w:adjustRightInd w:val="0"/>
        <w:spacing w:after="120"/>
        <w:jc w:val="both"/>
        <w:rPr>
          <w:rFonts w:eastAsia="Batang"/>
          <w:bCs/>
          <w:color w:val="0070C0"/>
        </w:rPr>
      </w:pPr>
      <w:r w:rsidRPr="00A0410B">
        <w:rPr>
          <w:b/>
          <w:lang w:eastAsia="bg-BG"/>
        </w:rPr>
        <w:t>Постъпленията от</w:t>
      </w:r>
      <w:r w:rsidRPr="00A0410B">
        <w:rPr>
          <w:lang w:eastAsia="bg-BG"/>
        </w:rPr>
        <w:t xml:space="preserve"> </w:t>
      </w:r>
      <w:r w:rsidRPr="00A0410B">
        <w:rPr>
          <w:b/>
          <w:bCs/>
          <w:lang w:eastAsia="bg-BG"/>
        </w:rPr>
        <w:t xml:space="preserve">мита </w:t>
      </w:r>
      <w:r w:rsidRPr="00A0410B">
        <w:rPr>
          <w:lang w:eastAsia="bg-BG"/>
        </w:rPr>
        <w:t xml:space="preserve">възлизат на </w:t>
      </w:r>
      <w:r w:rsidRPr="00A0410B">
        <w:rPr>
          <w:b/>
          <w:lang w:eastAsia="bg-BG"/>
        </w:rPr>
        <w:t>339,0 млн. лв</w:t>
      </w:r>
      <w:r w:rsidRPr="00A0410B">
        <w:rPr>
          <w:lang w:eastAsia="bg-BG"/>
        </w:rPr>
        <w:t xml:space="preserve">. или </w:t>
      </w:r>
      <w:r w:rsidRPr="00A0410B">
        <w:rPr>
          <w:lang w:val="ru-RU" w:eastAsia="bg-BG"/>
        </w:rPr>
        <w:t>91,6</w:t>
      </w:r>
      <w:r w:rsidRPr="00A0410B">
        <w:rPr>
          <w:lang w:eastAsia="bg-BG"/>
        </w:rPr>
        <w:t xml:space="preserve"> % от планираните със ЗДБРБ за 2024</w:t>
      </w:r>
      <w:r w:rsidR="00565F34">
        <w:rPr>
          <w:lang w:eastAsia="bg-BG"/>
        </w:rPr>
        <w:t> </w:t>
      </w:r>
      <w:r w:rsidRPr="00A0410B">
        <w:rPr>
          <w:lang w:eastAsia="bg-BG"/>
        </w:rPr>
        <w:t>г., като заемат 0,9 % относителен дял в общия размер на данъчните приходи по държавния бюджет. Събраните приходи от мита за 2024 г. са с 16,3 млн. лв. (5,1 %) повече спрямо предходната година. Влияние върху приходите от мита оказват нарушените вериги на доставки в резултат на събитията в Червено море, както и въведените от ЕС ограничителни мерки спрямо Русия в съответствие с Регламент (ЕС) № 833/2014 и неговите последващи изменения и допълнения. Друг фактор върху намалените постъпления от мита има Регламент (ЕС) 2024/1392  на ЕП и Съвета от 14 май 2024 г., както и действащия преди това Регламент (ЕС) 2023/1077 (прилага се до 5 юни 2024 г.) във връзка с преференциалния режим спрямо Украйна под формата на пълно премахване на вносните мита върху вноса на промишлени продукти от страната, спиране на прилагането на механизма на „входните цени“ по отношение на продукти съгласно приложение I-A към Споразумението за асоцииране, спиране на прилагането на тарифните квоти и пълно премахване на вносните мита за тези продукти, и други.</w:t>
      </w:r>
    </w:p>
    <w:p w:rsidR="00A0410B" w:rsidRPr="00A0410B" w:rsidRDefault="00A0410B" w:rsidP="00A0410B">
      <w:pPr>
        <w:tabs>
          <w:tab w:val="right" w:pos="9072"/>
        </w:tabs>
        <w:spacing w:before="120" w:after="120"/>
        <w:jc w:val="both"/>
        <w:rPr>
          <w:color w:val="0070C0"/>
          <w:lang w:eastAsia="bg-BG"/>
        </w:rPr>
      </w:pPr>
      <w:r w:rsidRPr="00A0410B">
        <w:rPr>
          <w:lang w:eastAsia="bg-BG"/>
        </w:rPr>
        <w:t>При два от показателите, които се използват за оценка на динамиката на приходите от мита при внесените стоки, обложени със ставка на митото, различна от „0“ се отбелязва спад в края на 2024</w:t>
      </w:r>
      <w:r w:rsidR="00565F34">
        <w:rPr>
          <w:lang w:eastAsia="bg-BG"/>
        </w:rPr>
        <w:t> </w:t>
      </w:r>
      <w:r w:rsidRPr="00A0410B">
        <w:rPr>
          <w:lang w:eastAsia="bg-BG"/>
        </w:rPr>
        <w:t xml:space="preserve">г. спрямо същия период на предходната година. Намалените приходи от мита са в резултат от </w:t>
      </w:r>
      <w:r w:rsidRPr="00A0410B">
        <w:rPr>
          <w:i/>
          <w:lang w:eastAsia="bg-BG"/>
        </w:rPr>
        <w:t>спада на количествата</w:t>
      </w:r>
      <w:r w:rsidRPr="00A0410B">
        <w:rPr>
          <w:lang w:eastAsia="bg-BG"/>
        </w:rPr>
        <w:t xml:space="preserve"> на внесените стоки, обложени със ставка на митото, различна от „0“ с </w:t>
      </w:r>
      <w:r w:rsidRPr="00A0410B">
        <w:rPr>
          <w:color w:val="000000"/>
          <w:lang w:eastAsia="bg-BG"/>
        </w:rPr>
        <w:t>10,2</w:t>
      </w:r>
      <w:r w:rsidRPr="00A0410B">
        <w:rPr>
          <w:lang w:eastAsia="bg-BG"/>
        </w:rPr>
        <w:t xml:space="preserve"> % и от спада на </w:t>
      </w:r>
      <w:r w:rsidRPr="00A0410B">
        <w:rPr>
          <w:i/>
          <w:color w:val="000000"/>
          <w:lang w:eastAsia="bg-BG"/>
        </w:rPr>
        <w:t>осреднената ставка на митото</w:t>
      </w:r>
      <w:r w:rsidRPr="00A0410B">
        <w:rPr>
          <w:lang w:eastAsia="bg-BG"/>
        </w:rPr>
        <w:t xml:space="preserve">, приложена за облагане на </w:t>
      </w:r>
      <w:r w:rsidRPr="00A0410B">
        <w:rPr>
          <w:color w:val="000000"/>
          <w:lang w:eastAsia="bg-BG"/>
        </w:rPr>
        <w:t xml:space="preserve">внесените от трети страни стоки </w:t>
      </w:r>
      <w:r w:rsidRPr="00A0410B">
        <w:rPr>
          <w:lang w:eastAsia="bg-BG"/>
        </w:rPr>
        <w:t xml:space="preserve">от 2,0 % на годишна база. При </w:t>
      </w:r>
      <w:r w:rsidRPr="00A0410B">
        <w:rPr>
          <w:i/>
          <w:lang w:eastAsia="bg-BG"/>
        </w:rPr>
        <w:t>осреднената статистическа стойност за килограм</w:t>
      </w:r>
      <w:r w:rsidRPr="00A0410B">
        <w:rPr>
          <w:lang w:eastAsia="bg-BG"/>
        </w:rPr>
        <w:t xml:space="preserve"> внесена стока се отчита ръст от </w:t>
      </w:r>
      <w:r w:rsidRPr="00A0410B">
        <w:rPr>
          <w:color w:val="000000"/>
          <w:lang w:eastAsia="bg-BG"/>
        </w:rPr>
        <w:t>13,9</w:t>
      </w:r>
      <w:r w:rsidRPr="00A0410B">
        <w:rPr>
          <w:lang w:eastAsia="bg-BG"/>
        </w:rPr>
        <w:t> % спрямо същия период на предната година</w:t>
      </w:r>
      <w:r w:rsidRPr="00A0410B">
        <w:rPr>
          <w:color w:val="0070C0"/>
          <w:lang w:eastAsia="bg-BG"/>
        </w:rPr>
        <w:t>.</w:t>
      </w:r>
    </w:p>
    <w:p w:rsidR="00A0410B" w:rsidRPr="00A0410B" w:rsidRDefault="00A0410B" w:rsidP="00A0410B">
      <w:pPr>
        <w:spacing w:after="120"/>
        <w:jc w:val="both"/>
        <w:rPr>
          <w:color w:val="0070C0"/>
          <w:lang w:eastAsia="bg-BG"/>
        </w:rPr>
      </w:pPr>
      <w:r w:rsidRPr="00A0410B">
        <w:rPr>
          <w:lang w:eastAsia="bg-BG"/>
        </w:rPr>
        <w:t xml:space="preserve">В зависимост от произхода на внасяните стоки, през 2024 г. най-голям е делът на начислените приходи от мита при внос на стоки от Китай. Декларираната сума е </w:t>
      </w:r>
      <w:r w:rsidRPr="00A0410B">
        <w:rPr>
          <w:color w:val="000000"/>
          <w:lang w:eastAsia="bg-BG"/>
        </w:rPr>
        <w:t xml:space="preserve">177,2 </w:t>
      </w:r>
      <w:r w:rsidRPr="00A0410B">
        <w:rPr>
          <w:lang w:eastAsia="bg-BG"/>
        </w:rPr>
        <w:t xml:space="preserve">млн. лева, което представлява </w:t>
      </w:r>
      <w:r w:rsidRPr="00A0410B">
        <w:rPr>
          <w:color w:val="000000"/>
          <w:lang w:eastAsia="bg-BG"/>
        </w:rPr>
        <w:t>55,0</w:t>
      </w:r>
      <w:r w:rsidRPr="00A0410B">
        <w:rPr>
          <w:lang w:eastAsia="bg-BG"/>
        </w:rPr>
        <w:t xml:space="preserve"> % от всички начислени мита, като спрямо 2023 г. е отчетен ръст от 0,9 %</w:t>
      </w:r>
      <w:r w:rsidRPr="00A0410B">
        <w:rPr>
          <w:color w:val="0070C0"/>
          <w:lang w:eastAsia="bg-BG"/>
        </w:rPr>
        <w:t>.</w:t>
      </w:r>
    </w:p>
    <w:p w:rsidR="00A0410B" w:rsidRPr="00A0410B" w:rsidRDefault="00A0410B" w:rsidP="00A0410B">
      <w:pPr>
        <w:numPr>
          <w:ilvl w:val="0"/>
          <w:numId w:val="33"/>
        </w:numPr>
        <w:tabs>
          <w:tab w:val="clear" w:pos="1440"/>
          <w:tab w:val="num" w:pos="540"/>
        </w:tabs>
        <w:ind w:left="0" w:firstLine="181"/>
        <w:jc w:val="both"/>
        <w:rPr>
          <w:b/>
          <w:bCs/>
          <w:lang w:eastAsia="bg-BG"/>
        </w:rPr>
      </w:pPr>
      <w:r w:rsidRPr="00A0410B">
        <w:rPr>
          <w:b/>
          <w:bCs/>
          <w:lang w:eastAsia="bg-BG"/>
        </w:rPr>
        <w:t>Други данъци</w:t>
      </w:r>
    </w:p>
    <w:p w:rsidR="00A0410B" w:rsidRPr="00A0410B" w:rsidRDefault="00A0410B" w:rsidP="00A0410B">
      <w:pPr>
        <w:spacing w:after="120"/>
        <w:jc w:val="both"/>
        <w:rPr>
          <w:color w:val="0070C0"/>
          <w:lang w:eastAsia="bg-BG"/>
        </w:rPr>
      </w:pPr>
      <w:r w:rsidRPr="00A0410B">
        <w:rPr>
          <w:lang w:eastAsia="bg-BG"/>
        </w:rPr>
        <w:t xml:space="preserve">Постъпленията от </w:t>
      </w:r>
      <w:r w:rsidRPr="00A0410B">
        <w:rPr>
          <w:b/>
          <w:lang w:eastAsia="bg-BG"/>
        </w:rPr>
        <w:t>други данъци</w:t>
      </w:r>
      <w:r w:rsidRPr="00A0410B">
        <w:rPr>
          <w:lang w:eastAsia="bg-BG"/>
        </w:rPr>
        <w:t xml:space="preserve"> по държавния бюджет </w:t>
      </w:r>
      <w:r w:rsidRPr="00A0410B">
        <w:rPr>
          <w:bCs/>
          <w:lang w:eastAsia="bg-BG"/>
        </w:rPr>
        <w:t>към края на декември 2024</w:t>
      </w:r>
      <w:r w:rsidRPr="00A0410B">
        <w:rPr>
          <w:lang w:eastAsia="bg-BG"/>
        </w:rPr>
        <w:t xml:space="preserve"> г. са в размер на </w:t>
      </w:r>
      <w:r w:rsidRPr="00A0410B">
        <w:rPr>
          <w:b/>
          <w:lang w:val="en-US" w:eastAsia="bg-BG"/>
        </w:rPr>
        <w:t>210</w:t>
      </w:r>
      <w:r w:rsidRPr="00A0410B">
        <w:rPr>
          <w:b/>
          <w:lang w:eastAsia="bg-BG"/>
        </w:rPr>
        <w:t>,9 млн. лв.</w:t>
      </w:r>
      <w:r w:rsidRPr="00A0410B">
        <w:rPr>
          <w:bCs/>
          <w:lang w:eastAsia="bg-BG"/>
        </w:rPr>
        <w:t xml:space="preserve"> или </w:t>
      </w:r>
      <w:r w:rsidRPr="00A0410B">
        <w:rPr>
          <w:bCs/>
          <w:lang w:val="en-US" w:eastAsia="bg-BG"/>
        </w:rPr>
        <w:t>76</w:t>
      </w:r>
      <w:r w:rsidRPr="00A0410B">
        <w:rPr>
          <w:bCs/>
          <w:lang w:eastAsia="bg-BG"/>
        </w:rPr>
        <w:t>,</w:t>
      </w:r>
      <w:r w:rsidRPr="00A0410B">
        <w:rPr>
          <w:bCs/>
          <w:lang w:val="en-US" w:eastAsia="bg-BG"/>
        </w:rPr>
        <w:t>2</w:t>
      </w:r>
      <w:r w:rsidRPr="00A0410B">
        <w:rPr>
          <w:bCs/>
          <w:lang w:eastAsia="bg-BG"/>
        </w:rPr>
        <w:t xml:space="preserve"> % от планираните със ЗДБРБ за 2024 г. Съпоставени с данните към декември 2023 г. приходите от други данъци са със 184,6 млн. лв. по-малко</w:t>
      </w:r>
      <w:r w:rsidRPr="00A0410B">
        <w:rPr>
          <w:bCs/>
          <w:lang w:val="ru-RU" w:eastAsia="bg-BG"/>
        </w:rPr>
        <w:t>.</w:t>
      </w:r>
      <w:r w:rsidRPr="00A0410B">
        <w:rPr>
          <w:bCs/>
          <w:lang w:eastAsia="bg-BG"/>
        </w:rPr>
        <w:t xml:space="preserve"> Въведената мярка „временна солидарна вноска и енергийни вноски“ по Регламент (ЕС) 2022/1854 на Съвета от 6 </w:t>
      </w:r>
      <w:r w:rsidRPr="00A0410B">
        <w:rPr>
          <w:lang w:eastAsia="bg-BG"/>
        </w:rPr>
        <w:t xml:space="preserve">ноември </w:t>
      </w:r>
      <w:r w:rsidRPr="00A0410B">
        <w:rPr>
          <w:bCs/>
          <w:lang w:eastAsia="bg-BG"/>
        </w:rPr>
        <w:t>2022 г. относно спешна намеса за справяне с високите цени на енергията с действие от 1 </w:t>
      </w:r>
      <w:r w:rsidRPr="00A0410B">
        <w:rPr>
          <w:lang w:eastAsia="bg-BG"/>
        </w:rPr>
        <w:t xml:space="preserve">ноември </w:t>
      </w:r>
      <w:r w:rsidRPr="00A0410B">
        <w:rPr>
          <w:bCs/>
          <w:lang w:eastAsia="bg-BG"/>
        </w:rPr>
        <w:t>2022 година е с изтекъл срок на действие и не се прилага през 2024 година</w:t>
      </w:r>
      <w:r w:rsidRPr="00A0410B">
        <w:rPr>
          <w:lang w:eastAsia="bg-BG"/>
        </w:rPr>
        <w:t>.</w:t>
      </w:r>
    </w:p>
    <w:p w:rsidR="00A0410B" w:rsidRPr="00A0410B" w:rsidRDefault="00A0410B" w:rsidP="00A0410B">
      <w:pPr>
        <w:numPr>
          <w:ilvl w:val="0"/>
          <w:numId w:val="32"/>
        </w:numPr>
        <w:tabs>
          <w:tab w:val="num" w:pos="720"/>
        </w:tabs>
        <w:ind w:left="0" w:firstLine="181"/>
        <w:jc w:val="both"/>
        <w:rPr>
          <w:lang w:eastAsia="bg-BG"/>
        </w:rPr>
      </w:pPr>
      <w:r w:rsidRPr="00A0410B">
        <w:rPr>
          <w:b/>
          <w:bCs/>
          <w:lang w:eastAsia="bg-BG"/>
        </w:rPr>
        <w:t>Неданъчни приходи</w:t>
      </w:r>
    </w:p>
    <w:p w:rsidR="00A0410B" w:rsidRPr="00A0410B" w:rsidRDefault="00A0410B" w:rsidP="00A0410B">
      <w:pPr>
        <w:tabs>
          <w:tab w:val="left" w:pos="900"/>
        </w:tabs>
        <w:spacing w:after="120"/>
        <w:jc w:val="both"/>
        <w:rPr>
          <w:lang w:val="ru-RU" w:eastAsia="bg-BG"/>
        </w:rPr>
      </w:pPr>
      <w:r w:rsidRPr="00A0410B">
        <w:rPr>
          <w:lang w:eastAsia="bg-BG"/>
        </w:rPr>
        <w:t>Отчетените</w:t>
      </w:r>
      <w:r w:rsidRPr="00A0410B">
        <w:rPr>
          <w:b/>
          <w:bCs/>
          <w:lang w:eastAsia="bg-BG"/>
        </w:rPr>
        <w:t xml:space="preserve"> неданъчни приходи</w:t>
      </w:r>
      <w:r w:rsidRPr="00A0410B">
        <w:rPr>
          <w:lang w:eastAsia="bg-BG"/>
        </w:rPr>
        <w:t xml:space="preserve"> по държавния бюджет </w:t>
      </w:r>
      <w:r w:rsidRPr="00A0410B">
        <w:rPr>
          <w:bCs/>
          <w:lang w:eastAsia="bg-BG"/>
        </w:rPr>
        <w:t>към декември 2024 г.</w:t>
      </w:r>
      <w:r w:rsidRPr="00A0410B">
        <w:rPr>
          <w:lang w:eastAsia="bg-BG"/>
        </w:rPr>
        <w:t xml:space="preserve"> са в размер на </w:t>
      </w:r>
      <w:r w:rsidRPr="00A0410B">
        <w:rPr>
          <w:b/>
          <w:lang w:eastAsia="bg-BG"/>
        </w:rPr>
        <w:t>4 914,0 млн. лв</w:t>
      </w:r>
      <w:r w:rsidRPr="00A0410B">
        <w:rPr>
          <w:lang w:eastAsia="bg-BG"/>
        </w:rPr>
        <w:t xml:space="preserve">. </w:t>
      </w:r>
      <w:r w:rsidRPr="00A0410B">
        <w:rPr>
          <w:lang w:val="ru-RU" w:eastAsia="bg-BG"/>
        </w:rPr>
        <w:t xml:space="preserve">(102,6 % спрямо планираните за 2024 г.) </w:t>
      </w:r>
      <w:r w:rsidRPr="00A0410B">
        <w:rPr>
          <w:lang w:eastAsia="bg-BG"/>
        </w:rPr>
        <w:t>и се формират основно от приходи от държавни такси, приходи и доходи от собственост, вкл. приходи от дивидент за държавата от държавните предприятия, приходи от концесии и други неданъчни приходи.</w:t>
      </w:r>
      <w:r w:rsidRPr="00A0410B">
        <w:rPr>
          <w:lang w:val="ru-RU" w:eastAsia="bg-BG"/>
        </w:rPr>
        <w:t xml:space="preserve"> </w:t>
      </w:r>
    </w:p>
    <w:p w:rsidR="00A0410B" w:rsidRPr="00A0410B" w:rsidRDefault="00A0410B" w:rsidP="00A0410B">
      <w:pPr>
        <w:tabs>
          <w:tab w:val="left" w:pos="900"/>
        </w:tabs>
        <w:spacing w:after="120"/>
        <w:jc w:val="both"/>
        <w:rPr>
          <w:b/>
          <w:bCs/>
          <w:lang w:eastAsia="bg-BG"/>
        </w:rPr>
      </w:pPr>
      <w:r w:rsidRPr="00A0410B">
        <w:rPr>
          <w:b/>
          <w:bCs/>
          <w:lang w:eastAsia="bg-BG"/>
        </w:rPr>
        <w:t>Помощи и дарения</w:t>
      </w:r>
    </w:p>
    <w:p w:rsidR="00A0410B" w:rsidRPr="00A0410B" w:rsidRDefault="00A0410B" w:rsidP="00A0410B">
      <w:pPr>
        <w:spacing w:before="120" w:after="120"/>
        <w:jc w:val="both"/>
        <w:rPr>
          <w:b/>
          <w:lang w:eastAsia="bg-BG"/>
        </w:rPr>
      </w:pPr>
      <w:r w:rsidRPr="00A0410B">
        <w:rPr>
          <w:lang w:eastAsia="bg-BG"/>
        </w:rPr>
        <w:t xml:space="preserve">Постъпилите </w:t>
      </w:r>
      <w:r w:rsidRPr="00A0410B">
        <w:rPr>
          <w:b/>
          <w:lang w:eastAsia="bg-BG"/>
        </w:rPr>
        <w:t>помощи</w:t>
      </w:r>
      <w:r w:rsidRPr="00A0410B">
        <w:rPr>
          <w:lang w:eastAsia="bg-BG"/>
        </w:rPr>
        <w:t xml:space="preserve"> </w:t>
      </w:r>
      <w:r w:rsidRPr="00A0410B">
        <w:rPr>
          <w:b/>
          <w:lang w:eastAsia="bg-BG"/>
        </w:rPr>
        <w:t>и дарения</w:t>
      </w:r>
      <w:r w:rsidRPr="00A0410B">
        <w:rPr>
          <w:lang w:eastAsia="bg-BG"/>
        </w:rPr>
        <w:t xml:space="preserve"> по държавния бюджет към декември 2024 г. са в размер на </w:t>
      </w:r>
      <w:r w:rsidRPr="00A0410B">
        <w:rPr>
          <w:b/>
          <w:lang w:eastAsia="bg-BG"/>
        </w:rPr>
        <w:t>64,9 млн. лева.</w:t>
      </w:r>
    </w:p>
    <w:p w:rsidR="00A0410B" w:rsidRDefault="00A0410B" w:rsidP="00A0410B">
      <w:pPr>
        <w:spacing w:before="120" w:after="120"/>
        <w:jc w:val="both"/>
        <w:rPr>
          <w:b/>
          <w:color w:val="0070C0"/>
          <w:lang w:eastAsia="bg-BG"/>
        </w:rPr>
      </w:pPr>
    </w:p>
    <w:p w:rsidR="00D14795" w:rsidRPr="00A0410B" w:rsidRDefault="00D14795" w:rsidP="00A0410B">
      <w:pPr>
        <w:spacing w:before="120" w:after="120"/>
        <w:jc w:val="both"/>
        <w:rPr>
          <w:b/>
          <w:color w:val="0070C0"/>
          <w:lang w:eastAsia="bg-BG"/>
        </w:rPr>
      </w:pPr>
    </w:p>
    <w:p w:rsidR="00A0410B" w:rsidRPr="00A0410B" w:rsidRDefault="00A0410B" w:rsidP="00A0410B">
      <w:pPr>
        <w:numPr>
          <w:ilvl w:val="0"/>
          <w:numId w:val="35"/>
        </w:numPr>
        <w:tabs>
          <w:tab w:val="clear" w:pos="7650"/>
          <w:tab w:val="num" w:pos="426"/>
          <w:tab w:val="num" w:pos="786"/>
        </w:tabs>
        <w:ind w:left="0" w:firstLine="0"/>
        <w:jc w:val="both"/>
        <w:rPr>
          <w:b/>
          <w:bCs/>
          <w:lang w:eastAsia="bg-BG"/>
        </w:rPr>
      </w:pPr>
      <w:r w:rsidRPr="00A0410B">
        <w:rPr>
          <w:b/>
          <w:bCs/>
          <w:lang w:eastAsia="bg-BG"/>
        </w:rPr>
        <w:t>Разходи по държавния бюджет</w:t>
      </w:r>
    </w:p>
    <w:p w:rsidR="00A0410B" w:rsidRPr="00A0410B" w:rsidRDefault="00A0410B" w:rsidP="00A0410B">
      <w:pPr>
        <w:jc w:val="both"/>
        <w:rPr>
          <w:b/>
          <w:bCs/>
          <w:color w:val="0070C0"/>
          <w:sz w:val="4"/>
          <w:szCs w:val="4"/>
          <w:lang w:eastAsia="bg-BG"/>
        </w:rPr>
      </w:pPr>
    </w:p>
    <w:p w:rsidR="00A0410B" w:rsidRDefault="00A0410B" w:rsidP="00A0410B">
      <w:pPr>
        <w:jc w:val="both"/>
      </w:pPr>
      <w:r w:rsidRPr="00A0410B">
        <w:t xml:space="preserve">Общият размер на </w:t>
      </w:r>
      <w:r w:rsidRPr="00A0410B">
        <w:rPr>
          <w:b/>
        </w:rPr>
        <w:t>разходите по държавния бюджет</w:t>
      </w:r>
      <w:r w:rsidRPr="00A0410B">
        <w:t xml:space="preserve"> </w:t>
      </w:r>
      <w:r w:rsidRPr="00A0410B">
        <w:rPr>
          <w:lang w:val="ru-RU"/>
        </w:rPr>
        <w:t xml:space="preserve">(вкл. трансферите за др. бюджети и вноската в бюджета на ЕС) </w:t>
      </w:r>
      <w:r w:rsidRPr="00A0410B">
        <w:rPr>
          <w:bCs/>
        </w:rPr>
        <w:t>към декември 2024 г.</w:t>
      </w:r>
      <w:r w:rsidRPr="00A0410B">
        <w:t xml:space="preserve"> е </w:t>
      </w:r>
      <w:r w:rsidRPr="00A0410B">
        <w:rPr>
          <w:b/>
        </w:rPr>
        <w:t>50 048,1 млн. лв</w:t>
      </w:r>
      <w:r w:rsidRPr="00A0410B">
        <w:t>., 97,3 % от разчета.</w:t>
      </w:r>
    </w:p>
    <w:p w:rsidR="00E962FD" w:rsidRDefault="00E962FD" w:rsidP="00A0410B">
      <w:pPr>
        <w:jc w:val="both"/>
      </w:pPr>
    </w:p>
    <w:p w:rsidR="00E962FD" w:rsidRDefault="00E962FD" w:rsidP="00A0410B">
      <w:pPr>
        <w:jc w:val="both"/>
      </w:pPr>
    </w:p>
    <w:p w:rsidR="00E962FD" w:rsidRPr="00A0410B" w:rsidRDefault="00E962FD" w:rsidP="00A0410B">
      <w:pPr>
        <w:jc w:val="both"/>
        <w:rPr>
          <w:sz w:val="8"/>
          <w:lang w:val="ru-RU"/>
        </w:rPr>
      </w:pPr>
    </w:p>
    <w:p w:rsidR="00A0410B" w:rsidRPr="00A0410B" w:rsidRDefault="00A0410B" w:rsidP="00A0410B">
      <w:pPr>
        <w:jc w:val="center"/>
        <w:rPr>
          <w:b/>
          <w:color w:val="0070C0"/>
          <w:sz w:val="4"/>
          <w:szCs w:val="4"/>
          <w:u w:val="single"/>
        </w:rPr>
      </w:pPr>
    </w:p>
    <w:p w:rsidR="00A0410B" w:rsidRPr="00A0410B" w:rsidRDefault="00A0410B" w:rsidP="00A0410B">
      <w:pPr>
        <w:spacing w:before="120"/>
        <w:jc w:val="center"/>
        <w:rPr>
          <w:b/>
          <w:u w:val="single"/>
        </w:rPr>
      </w:pPr>
      <w:r w:rsidRPr="00A0410B">
        <w:rPr>
          <w:b/>
          <w:u w:val="single"/>
        </w:rPr>
        <w:t xml:space="preserve">Разходи, трансфери за други бюджети и вноска в бюджета на ЕС </w:t>
      </w:r>
    </w:p>
    <w:p w:rsidR="00A0410B" w:rsidRPr="00A0410B" w:rsidRDefault="00A0410B" w:rsidP="00A0410B">
      <w:pPr>
        <w:jc w:val="center"/>
        <w:rPr>
          <w:b/>
          <w:u w:val="single"/>
        </w:rPr>
      </w:pPr>
      <w:r w:rsidRPr="00A0410B">
        <w:rPr>
          <w:b/>
          <w:u w:val="single"/>
        </w:rPr>
        <w:t xml:space="preserve">към декември 2023 г. и 2024 г. </w:t>
      </w:r>
    </w:p>
    <w:p w:rsidR="00A0410B" w:rsidRPr="00A0410B" w:rsidRDefault="00A0410B" w:rsidP="00A0410B">
      <w:pPr>
        <w:jc w:val="center"/>
        <w:rPr>
          <w:b/>
          <w:color w:val="0070C0"/>
          <w:u w:val="single"/>
          <w:lang w:val="ru-RU"/>
        </w:rPr>
      </w:pPr>
    </w:p>
    <w:p w:rsidR="00A0410B" w:rsidRPr="00A0410B" w:rsidRDefault="00A0410B" w:rsidP="00A0410B">
      <w:pPr>
        <w:jc w:val="center"/>
        <w:rPr>
          <w:b/>
          <w:color w:val="0070C0"/>
          <w:u w:val="single"/>
        </w:rPr>
      </w:pPr>
      <w:r w:rsidRPr="00A0410B">
        <w:rPr>
          <w:noProof/>
          <w:color w:val="0070C0"/>
          <w:lang w:eastAsia="bg-BG"/>
        </w:rPr>
        <w:drawing>
          <wp:inline distT="0" distB="0" distL="0" distR="0" wp14:anchorId="4C8B2077" wp14:editId="10696327">
            <wp:extent cx="5324475" cy="2733675"/>
            <wp:effectExtent l="0" t="0" r="9525" b="9525"/>
            <wp:docPr id="8" name="Objec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0410B" w:rsidRPr="00A0410B" w:rsidRDefault="00A0410B" w:rsidP="00A0410B">
      <w:pPr>
        <w:jc w:val="center"/>
        <w:rPr>
          <w:b/>
          <w:color w:val="0070C0"/>
          <w:sz w:val="8"/>
          <w:szCs w:val="8"/>
          <w:u w:val="single"/>
        </w:rPr>
      </w:pPr>
    </w:p>
    <w:p w:rsidR="00A0410B" w:rsidRPr="00A0410B" w:rsidRDefault="00A0410B" w:rsidP="00A0410B">
      <w:pPr>
        <w:numPr>
          <w:ilvl w:val="0"/>
          <w:numId w:val="36"/>
        </w:numPr>
        <w:spacing w:before="360"/>
        <w:ind w:left="714" w:hanging="357"/>
        <w:jc w:val="both"/>
        <w:rPr>
          <w:b/>
          <w:bCs/>
        </w:rPr>
      </w:pPr>
      <w:bookmarkStart w:id="53" w:name="_MON_1562146415"/>
      <w:bookmarkStart w:id="54" w:name="_MON_1562146493"/>
      <w:bookmarkStart w:id="55" w:name="_MON_1562146700"/>
      <w:bookmarkStart w:id="56" w:name="_MON_1562146782"/>
      <w:bookmarkStart w:id="57" w:name="_MON_1562146967"/>
      <w:bookmarkStart w:id="58" w:name="_MON_1562147372"/>
      <w:bookmarkStart w:id="59" w:name="_MON_1562147473"/>
      <w:bookmarkStart w:id="60" w:name="_MON_1562147677"/>
      <w:bookmarkStart w:id="61" w:name="_MON_1562147743"/>
      <w:bookmarkStart w:id="62" w:name="_MON_1562147867"/>
      <w:bookmarkStart w:id="63" w:name="_MON_1562147934"/>
      <w:bookmarkStart w:id="64" w:name="_MON_1562148056"/>
      <w:bookmarkStart w:id="65" w:name="_MON_1562148171"/>
      <w:bookmarkStart w:id="66" w:name="_MON_1562148229"/>
      <w:bookmarkStart w:id="67" w:name="_MON_1562148307"/>
      <w:bookmarkStart w:id="68" w:name="_MON_1562148447"/>
      <w:bookmarkStart w:id="69" w:name="_MON_1562148558"/>
      <w:bookmarkStart w:id="70" w:name="_MON_1562152805"/>
      <w:bookmarkStart w:id="71" w:name="_MON_1562152984"/>
      <w:bookmarkStart w:id="72" w:name="_MON_1562153459"/>
      <w:bookmarkStart w:id="73" w:name="_MON_1562153503"/>
      <w:bookmarkStart w:id="74" w:name="_MON_1562153559"/>
      <w:bookmarkStart w:id="75" w:name="_MON_1562153646"/>
      <w:bookmarkStart w:id="76" w:name="_MON_1562153939"/>
      <w:bookmarkStart w:id="77" w:name="_MON_1562154053"/>
      <w:bookmarkStart w:id="78" w:name="_MON_1562154282"/>
      <w:bookmarkStart w:id="79" w:name="_MON_1562146286"/>
      <w:bookmarkStart w:id="80" w:name="_MON_1562154881"/>
      <w:bookmarkStart w:id="81" w:name="_MON_1562154973"/>
      <w:bookmarkStart w:id="82" w:name="_MON_1562155194"/>
      <w:bookmarkStart w:id="83" w:name="_MON_1562155231"/>
      <w:bookmarkStart w:id="84" w:name="_MON_1562155321"/>
      <w:bookmarkStart w:id="85" w:name="_MON_1562155390"/>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sidRPr="00A0410B">
        <w:rPr>
          <w:b/>
          <w:bCs/>
        </w:rPr>
        <w:t>Нелихвени разходи</w:t>
      </w:r>
    </w:p>
    <w:p w:rsidR="00A0410B" w:rsidRPr="00A0410B" w:rsidRDefault="00A0410B" w:rsidP="00A0410B">
      <w:pPr>
        <w:spacing w:before="120"/>
        <w:jc w:val="both"/>
        <w:rPr>
          <w:bCs/>
          <w:lang w:eastAsia="bg-BG"/>
        </w:rPr>
      </w:pPr>
      <w:r w:rsidRPr="00A0410B">
        <w:rPr>
          <w:b/>
          <w:bCs/>
          <w:lang w:eastAsia="bg-BG"/>
        </w:rPr>
        <w:t>Нелихвените разходи</w:t>
      </w:r>
      <w:r w:rsidRPr="00A0410B">
        <w:rPr>
          <w:bCs/>
          <w:lang w:eastAsia="bg-BG"/>
        </w:rPr>
        <w:t xml:space="preserve"> по държавния бюджет към декември 2024 г.</w:t>
      </w:r>
      <w:r w:rsidRPr="00A0410B">
        <w:rPr>
          <w:lang w:eastAsia="bg-BG"/>
        </w:rPr>
        <w:t xml:space="preserve"> </w:t>
      </w:r>
      <w:r w:rsidRPr="00A0410B">
        <w:rPr>
          <w:bCs/>
          <w:lang w:eastAsia="bg-BG"/>
        </w:rPr>
        <w:t xml:space="preserve">са в размер на </w:t>
      </w:r>
      <w:r w:rsidRPr="00A0410B">
        <w:rPr>
          <w:b/>
          <w:bCs/>
          <w:lang w:eastAsia="bg-BG"/>
        </w:rPr>
        <w:t>19 372,7 млн. лв.</w:t>
      </w:r>
      <w:r w:rsidR="003C259F">
        <w:rPr>
          <w:bCs/>
          <w:lang w:eastAsia="bg-BG"/>
        </w:rPr>
        <w:t xml:space="preserve">, </w:t>
      </w:r>
      <w:r w:rsidR="003C259F" w:rsidRPr="003C259F">
        <w:rPr>
          <w:bCs/>
          <w:lang w:eastAsia="bg-BG"/>
        </w:rPr>
        <w:t>което представлява 85,9 % от годишния разчет. Съпоставени с данните към декември 2023</w:t>
      </w:r>
      <w:r w:rsidR="00D14795">
        <w:rPr>
          <w:bCs/>
          <w:lang w:eastAsia="bg-BG"/>
        </w:rPr>
        <w:t> </w:t>
      </w:r>
      <w:r w:rsidR="003C259F" w:rsidRPr="003C259F">
        <w:rPr>
          <w:bCs/>
          <w:lang w:eastAsia="bg-BG"/>
        </w:rPr>
        <w:t>г. нелихвените разходи нарастват с 613,5 млн. лв. (3,3 %)</w:t>
      </w:r>
      <w:r w:rsidR="003C259F">
        <w:rPr>
          <w:bCs/>
          <w:lang w:eastAsia="bg-BG"/>
        </w:rPr>
        <w:t>.</w:t>
      </w:r>
    </w:p>
    <w:p w:rsidR="00A0410B" w:rsidRPr="00A0410B" w:rsidRDefault="00A0410B" w:rsidP="00A0410B">
      <w:pPr>
        <w:jc w:val="both"/>
        <w:rPr>
          <w:bCs/>
          <w:color w:val="0070C0"/>
          <w:lang w:eastAsia="bg-BG"/>
        </w:rPr>
      </w:pPr>
      <w:r w:rsidRPr="00A0410B">
        <w:rPr>
          <w:bCs/>
          <w:lang w:eastAsia="bg-BG"/>
        </w:rPr>
        <w:t xml:space="preserve">Разходите за персонал (заплати и възнаграждения, други възнаграждения и плащания за персонала и осигурителни вноски) са в общ размер на </w:t>
      </w:r>
      <w:r w:rsidRPr="00A0410B">
        <w:rPr>
          <w:bCs/>
          <w:lang w:val="ru-RU" w:eastAsia="bg-BG"/>
        </w:rPr>
        <w:t>9 853,2</w:t>
      </w:r>
      <w:r w:rsidRPr="00A0410B">
        <w:rPr>
          <w:bCs/>
          <w:lang w:eastAsia="bg-BG"/>
        </w:rPr>
        <w:t xml:space="preserve"> млн. лв. или 100,8 % спрямо планираните за 202</w:t>
      </w:r>
      <w:r w:rsidRPr="00A0410B">
        <w:rPr>
          <w:bCs/>
          <w:lang w:val="ru-RU" w:eastAsia="bg-BG"/>
        </w:rPr>
        <w:t>4</w:t>
      </w:r>
      <w:r w:rsidRPr="00A0410B">
        <w:rPr>
          <w:bCs/>
          <w:lang w:eastAsia="bg-BG"/>
        </w:rPr>
        <w:t xml:space="preserve"> г.</w:t>
      </w:r>
      <w:r w:rsidRPr="00A0410B">
        <w:rPr>
          <w:bCs/>
          <w:lang w:val="ru-RU" w:eastAsia="bg-BG"/>
        </w:rPr>
        <w:t xml:space="preserve"> </w:t>
      </w:r>
      <w:r w:rsidRPr="00A0410B">
        <w:rPr>
          <w:bCs/>
          <w:lang w:eastAsia="bg-BG"/>
        </w:rPr>
        <w:t xml:space="preserve">и ръст от 1 354,5 млн. лв. (15,9 %) спрямо 2023 г. Разходите за издръжка (вкл. разходи за членски внос и участие в нетърговски организации и дейности и платени данъци, такси и административни санкции) са в размер на 3 699,0 млн. лв. или 78,2 % от планираните за годината. Социалните разходи (вкл. разходите за стипендии) са в размер на 1 743,6 млн. лв. или 65,3 % от предвидените </w:t>
      </w:r>
      <w:r w:rsidRPr="00A0410B">
        <w:rPr>
          <w:lang w:eastAsia="bg-BG"/>
        </w:rPr>
        <w:t>за годината</w:t>
      </w:r>
      <w:r w:rsidRPr="00A0410B">
        <w:rPr>
          <w:bCs/>
          <w:lang w:eastAsia="bg-BG"/>
        </w:rPr>
        <w:t xml:space="preserve"> като нарастват с 404,1 млн. лв. (</w:t>
      </w:r>
      <w:r w:rsidRPr="00A0410B">
        <w:rPr>
          <w:bCs/>
          <w:lang w:val="ru-RU" w:eastAsia="bg-BG"/>
        </w:rPr>
        <w:t>30,2</w:t>
      </w:r>
      <w:r w:rsidRPr="00A0410B">
        <w:rPr>
          <w:bCs/>
          <w:lang w:eastAsia="bg-BG"/>
        </w:rPr>
        <w:t xml:space="preserve"> %) спрямо 2023 г. </w:t>
      </w:r>
      <w:r w:rsidRPr="00A0410B">
        <w:rPr>
          <w:lang w:eastAsia="bg-BG"/>
        </w:rPr>
        <w:t>Част от планираните социални разходи по държавния бюджет се предоставят като трансфери за общинските бюджети.</w:t>
      </w:r>
      <w:r w:rsidRPr="00A0410B">
        <w:rPr>
          <w:bCs/>
          <w:lang w:eastAsia="bg-BG"/>
        </w:rPr>
        <w:t xml:space="preserve"> Предоставените текущи и капиталови трансфери за чужбина са в размер на 28,5 млн. лв. Разходите за субсидии са в размер на 2 382,4 млн. лв. или 122,2 % спрямо планираните за годината и нарастват с 927,8 млн. лв. (</w:t>
      </w:r>
      <w:r w:rsidRPr="00A0410B">
        <w:rPr>
          <w:bCs/>
          <w:lang w:val="ru-RU" w:eastAsia="bg-BG"/>
        </w:rPr>
        <w:t>63,8</w:t>
      </w:r>
      <w:r w:rsidRPr="00A0410B">
        <w:rPr>
          <w:bCs/>
          <w:lang w:eastAsia="bg-BG"/>
        </w:rPr>
        <w:t> %</w:t>
      </w:r>
      <w:r w:rsidRPr="00A0410B">
        <w:rPr>
          <w:bCs/>
          <w:lang w:val="ru-RU" w:eastAsia="bg-BG"/>
        </w:rPr>
        <w:t>) сравнени с предходната година</w:t>
      </w:r>
      <w:r w:rsidRPr="00A0410B">
        <w:rPr>
          <w:bCs/>
          <w:lang w:eastAsia="bg-BG"/>
        </w:rPr>
        <w:t>.</w:t>
      </w:r>
      <w:r w:rsidRPr="00A0410B">
        <w:rPr>
          <w:bCs/>
          <w:lang w:val="ru-RU" w:eastAsia="bg-BG"/>
        </w:rPr>
        <w:t xml:space="preserve"> </w:t>
      </w:r>
      <w:r w:rsidRPr="00A0410B">
        <w:rPr>
          <w:bCs/>
          <w:lang w:eastAsia="bg-BG"/>
        </w:rPr>
        <w:t xml:space="preserve">За 2024 г. субсидиите за „БДЖ – Пътнически превози” ЕООД са в размер на 257,3 млн. лв. </w:t>
      </w:r>
      <w:r w:rsidRPr="00A0410B">
        <w:rPr>
          <w:bCs/>
          <w:lang w:val="ru-RU" w:eastAsia="bg-BG"/>
        </w:rPr>
        <w:t>(</w:t>
      </w:r>
      <w:r w:rsidRPr="00A0410B">
        <w:rPr>
          <w:bCs/>
          <w:lang w:eastAsia="bg-BG"/>
        </w:rPr>
        <w:t>в т. ч.</w:t>
      </w:r>
      <w:r w:rsidRPr="00A0410B">
        <w:rPr>
          <w:bCs/>
          <w:lang w:val="ru-RU" w:eastAsia="bg-BG"/>
        </w:rPr>
        <w:t xml:space="preserve"> 48</w:t>
      </w:r>
      <w:r w:rsidRPr="00A0410B">
        <w:rPr>
          <w:bCs/>
          <w:lang w:eastAsia="bg-BG"/>
        </w:rPr>
        <w:t>,</w:t>
      </w:r>
      <w:r w:rsidRPr="00A0410B">
        <w:rPr>
          <w:bCs/>
          <w:lang w:val="ru-RU" w:eastAsia="bg-BG"/>
        </w:rPr>
        <w:t xml:space="preserve">1 </w:t>
      </w:r>
      <w:r w:rsidRPr="00A0410B">
        <w:rPr>
          <w:bCs/>
          <w:lang w:eastAsia="bg-BG"/>
        </w:rPr>
        <w:t>млн. лв. допълнителна субсидия за изпълнението на обществена превозна услуга за месец декември 2024 г. - ПМС 410/28.11.2024 г.</w:t>
      </w:r>
      <w:r w:rsidRPr="00A0410B">
        <w:rPr>
          <w:bCs/>
          <w:lang w:val="ru-RU" w:eastAsia="bg-BG"/>
        </w:rPr>
        <w:t>)</w:t>
      </w:r>
      <w:r w:rsidRPr="00A0410B">
        <w:rPr>
          <w:bCs/>
          <w:lang w:eastAsia="bg-BG"/>
        </w:rPr>
        <w:t xml:space="preserve">, субсидиите за Национална компания „Железопътна инфраструктура” са 320,4 млн. лв. </w:t>
      </w:r>
      <w:r w:rsidRPr="00A0410B">
        <w:rPr>
          <w:bCs/>
          <w:lang w:val="ru-RU" w:eastAsia="bg-BG"/>
        </w:rPr>
        <w:t>(</w:t>
      </w:r>
      <w:r w:rsidRPr="00A0410B">
        <w:rPr>
          <w:bCs/>
          <w:lang w:eastAsia="bg-BG"/>
        </w:rPr>
        <w:t>в т. ч. допълнителна субсидия за текущо поддържане и експлоатация на железопътната инфраструктура за месец декември 2024 г. в размер на 19,0 млн. лв. и отпуснати средства за стихийни бедствия в размер на 0,146 млн. лв. - ПМС 423/04.12.2024</w:t>
      </w:r>
      <w:r>
        <w:rPr>
          <w:bCs/>
          <w:lang w:eastAsia="bg-BG"/>
        </w:rPr>
        <w:t> </w:t>
      </w:r>
      <w:r w:rsidRPr="00A0410B">
        <w:rPr>
          <w:bCs/>
          <w:lang w:eastAsia="bg-BG"/>
        </w:rPr>
        <w:t>г.)</w:t>
      </w:r>
      <w:r w:rsidRPr="00A0410B">
        <w:rPr>
          <w:bCs/>
          <w:lang w:val="ru-RU" w:eastAsia="bg-BG"/>
        </w:rPr>
        <w:t xml:space="preserve"> </w:t>
      </w:r>
      <w:r w:rsidRPr="00A0410B">
        <w:rPr>
          <w:bCs/>
          <w:lang w:eastAsia="bg-BG"/>
        </w:rPr>
        <w:t>и 78,3</w:t>
      </w:r>
      <w:r w:rsidRPr="00A0410B">
        <w:rPr>
          <w:bCs/>
          <w:lang w:val="en-US" w:eastAsia="bg-BG"/>
        </w:rPr>
        <w:t> </w:t>
      </w:r>
      <w:r w:rsidRPr="00A0410B">
        <w:rPr>
          <w:bCs/>
          <w:lang w:eastAsia="bg-BG"/>
        </w:rPr>
        <w:t xml:space="preserve">млн. лв. са за „Български пощи” ЕАД, в т.ч. 29,1 млн. лв. за извършване на универсална пощенска услуга </w:t>
      </w:r>
      <w:r w:rsidRPr="00A0410B">
        <w:rPr>
          <w:bCs/>
          <w:lang w:val="ru-RU" w:eastAsia="bg-BG"/>
        </w:rPr>
        <w:t>(</w:t>
      </w:r>
      <w:r w:rsidRPr="00A0410B">
        <w:rPr>
          <w:bCs/>
          <w:lang w:eastAsia="bg-BG"/>
        </w:rPr>
        <w:t>вкл. 0,6 млн. лв. доплащане за 2022 г.</w:t>
      </w:r>
      <w:r w:rsidRPr="00A0410B">
        <w:rPr>
          <w:bCs/>
          <w:lang w:val="ru-RU" w:eastAsia="bg-BG"/>
        </w:rPr>
        <w:t>)</w:t>
      </w:r>
      <w:r w:rsidRPr="00A0410B">
        <w:rPr>
          <w:bCs/>
          <w:lang w:eastAsia="bg-BG"/>
        </w:rPr>
        <w:t xml:space="preserve">, 30,8 млн. лв. за разпространение на периодични печатни издания - вестници и списания </w:t>
      </w:r>
      <w:r w:rsidRPr="00A0410B">
        <w:rPr>
          <w:bCs/>
          <w:lang w:val="ru-RU" w:eastAsia="bg-BG"/>
        </w:rPr>
        <w:t>(</w:t>
      </w:r>
      <w:r w:rsidRPr="00A0410B">
        <w:rPr>
          <w:bCs/>
          <w:lang w:eastAsia="bg-BG"/>
        </w:rPr>
        <w:t>вкл. 3,8 млн. лв. доплащане за 2022 г. и 2023</w:t>
      </w:r>
      <w:r>
        <w:rPr>
          <w:bCs/>
          <w:lang w:eastAsia="bg-BG"/>
        </w:rPr>
        <w:t> </w:t>
      </w:r>
      <w:r w:rsidRPr="00A0410B">
        <w:rPr>
          <w:bCs/>
          <w:lang w:eastAsia="bg-BG"/>
        </w:rPr>
        <w:t>г.</w:t>
      </w:r>
      <w:r w:rsidRPr="00A0410B">
        <w:rPr>
          <w:bCs/>
          <w:lang w:val="ru-RU" w:eastAsia="bg-BG"/>
        </w:rPr>
        <w:t xml:space="preserve">) </w:t>
      </w:r>
      <w:r w:rsidRPr="00A0410B">
        <w:rPr>
          <w:bCs/>
          <w:lang w:eastAsia="bg-BG"/>
        </w:rPr>
        <w:t>и 18,4</w:t>
      </w:r>
      <w:r w:rsidRPr="00A0410B">
        <w:rPr>
          <w:bCs/>
          <w:lang w:val="en-US" w:eastAsia="bg-BG"/>
        </w:rPr>
        <w:t> </w:t>
      </w:r>
      <w:r w:rsidRPr="00A0410B">
        <w:rPr>
          <w:bCs/>
          <w:lang w:eastAsia="bg-BG"/>
        </w:rPr>
        <w:t xml:space="preserve">млн. лв. за предоставяне на административни услуги. За отчетния период субсидиите за „България Хели Мед Сървиз“ </w:t>
      </w:r>
      <w:r w:rsidRPr="00A0410B">
        <w:rPr>
          <w:bCs/>
          <w:lang w:val="ru-RU" w:eastAsia="bg-BG"/>
        </w:rPr>
        <w:t>(</w:t>
      </w:r>
      <w:r w:rsidRPr="00A0410B">
        <w:rPr>
          <w:bCs/>
          <w:lang w:eastAsia="bg-BG"/>
        </w:rPr>
        <w:t>център за спешна медицинска помощ по въздуха</w:t>
      </w:r>
      <w:r w:rsidRPr="00A0410B">
        <w:rPr>
          <w:bCs/>
          <w:lang w:val="ru-RU" w:eastAsia="bg-BG"/>
        </w:rPr>
        <w:t xml:space="preserve">) </w:t>
      </w:r>
      <w:r w:rsidRPr="00A0410B">
        <w:rPr>
          <w:bCs/>
          <w:lang w:eastAsia="bg-BG"/>
        </w:rPr>
        <w:t xml:space="preserve">са в размер на 2,1 млн. лв. </w:t>
      </w:r>
      <w:r w:rsidRPr="00A0410B">
        <w:rPr>
          <w:bCs/>
          <w:lang w:val="ru-RU" w:eastAsia="bg-BG"/>
        </w:rPr>
        <w:t>(</w:t>
      </w:r>
      <w:r w:rsidRPr="00A0410B">
        <w:rPr>
          <w:bCs/>
          <w:lang w:eastAsia="bg-BG"/>
        </w:rPr>
        <w:t>отчетена е възстановена субсидия в размер на 3,9 млн. лв.</w:t>
      </w:r>
      <w:r w:rsidRPr="00A0410B">
        <w:rPr>
          <w:bCs/>
          <w:lang w:val="ru-RU" w:eastAsia="bg-BG"/>
        </w:rPr>
        <w:t>)</w:t>
      </w:r>
      <w:r w:rsidRPr="00A0410B">
        <w:rPr>
          <w:bCs/>
          <w:lang w:eastAsia="bg-BG"/>
        </w:rPr>
        <w:t>. Към края на декември 2024</w:t>
      </w:r>
      <w:r w:rsidRPr="00A0410B">
        <w:rPr>
          <w:bCs/>
          <w:lang w:val="en-US" w:eastAsia="bg-BG"/>
        </w:rPr>
        <w:t> </w:t>
      </w:r>
      <w:r w:rsidRPr="00A0410B">
        <w:rPr>
          <w:bCs/>
          <w:lang w:eastAsia="bg-BG"/>
        </w:rPr>
        <w:t xml:space="preserve">г. ДФ „Земеделие“ e изплатил субсидии в общ размер на 937,8 млн. лв., от които 810,7 млн. лв. държавна помощ; 69,7 млн. лв. преходна национална помощ за тютюн; 48,7 млн. лв. преходна национална помощ за сектор „Животновъдство“ и 8,1 млн. лв. средства за ДДС по схеми „Училищен плод“ и „Училищно мляко“. </w:t>
      </w:r>
    </w:p>
    <w:p w:rsidR="00A0410B" w:rsidRPr="00A0410B" w:rsidRDefault="00A0410B" w:rsidP="00A0410B">
      <w:pPr>
        <w:jc w:val="both"/>
        <w:rPr>
          <w:bCs/>
          <w:lang w:eastAsia="bg-BG"/>
        </w:rPr>
      </w:pPr>
      <w:r w:rsidRPr="00A0410B">
        <w:rPr>
          <w:bCs/>
          <w:i/>
          <w:lang w:eastAsia="bg-BG"/>
        </w:rPr>
        <w:t>Капиталовите разходи</w:t>
      </w:r>
      <w:r w:rsidRPr="00A0410B">
        <w:rPr>
          <w:bCs/>
          <w:lang w:eastAsia="bg-BG"/>
        </w:rPr>
        <w:t xml:space="preserve"> (вкл. нетния прираст на държавния резерв) по държавния бюджет възлизат на 1 666,0 млн. лева.</w:t>
      </w:r>
      <w:r w:rsidR="008846CB">
        <w:rPr>
          <w:bCs/>
          <w:lang w:eastAsia="bg-BG"/>
        </w:rPr>
        <w:t xml:space="preserve"> </w:t>
      </w:r>
    </w:p>
    <w:p w:rsidR="00A0410B" w:rsidRPr="00A0410B" w:rsidRDefault="00A0410B" w:rsidP="00A0410B">
      <w:pPr>
        <w:jc w:val="both"/>
        <w:rPr>
          <w:bCs/>
          <w:color w:val="0070C0"/>
          <w:lang w:eastAsia="bg-BG"/>
        </w:rPr>
      </w:pPr>
    </w:p>
    <w:p w:rsidR="00A0410B" w:rsidRPr="00A0410B" w:rsidRDefault="00A0410B" w:rsidP="00A0410B">
      <w:pPr>
        <w:numPr>
          <w:ilvl w:val="0"/>
          <w:numId w:val="37"/>
        </w:numPr>
        <w:ind w:left="0" w:firstLine="357"/>
        <w:jc w:val="both"/>
        <w:rPr>
          <w:b/>
          <w:lang w:eastAsia="bg-BG"/>
        </w:rPr>
      </w:pPr>
      <w:r w:rsidRPr="00A0410B">
        <w:rPr>
          <w:b/>
          <w:lang w:eastAsia="bg-BG"/>
        </w:rPr>
        <w:t xml:space="preserve">Разходи за лихви </w:t>
      </w:r>
    </w:p>
    <w:p w:rsidR="00A0410B" w:rsidRPr="00A0410B" w:rsidRDefault="00A0410B" w:rsidP="00A0410B">
      <w:pPr>
        <w:spacing w:after="60"/>
        <w:jc w:val="both"/>
        <w:rPr>
          <w:lang w:eastAsia="bg-BG"/>
        </w:rPr>
      </w:pPr>
      <w:r w:rsidRPr="00A0410B">
        <w:rPr>
          <w:b/>
          <w:lang w:eastAsia="bg-BG"/>
        </w:rPr>
        <w:t xml:space="preserve">Лихвените плащания </w:t>
      </w:r>
      <w:r w:rsidRPr="00A0410B">
        <w:rPr>
          <w:lang w:eastAsia="bg-BG"/>
        </w:rPr>
        <w:t xml:space="preserve">по държавния бюджет към </w:t>
      </w:r>
      <w:r w:rsidRPr="00A0410B">
        <w:rPr>
          <w:lang w:val="ru-RU" w:eastAsia="bg-BG"/>
        </w:rPr>
        <w:t xml:space="preserve">31.12.2024 г. </w:t>
      </w:r>
      <w:r w:rsidRPr="00A0410B">
        <w:rPr>
          <w:lang w:eastAsia="bg-BG"/>
        </w:rPr>
        <w:t xml:space="preserve">са в общ размер на </w:t>
      </w:r>
      <w:r w:rsidRPr="00A0410B">
        <w:rPr>
          <w:b/>
          <w:lang w:eastAsia="bg-BG"/>
        </w:rPr>
        <w:t>953,4 млн. лв</w:t>
      </w:r>
      <w:r w:rsidRPr="00A0410B">
        <w:rPr>
          <w:lang w:eastAsia="bg-BG"/>
        </w:rPr>
        <w:t>. или 98,6 % от предвидените в годишните разчети.</w:t>
      </w:r>
    </w:p>
    <w:p w:rsidR="00A0410B" w:rsidRPr="00A0410B" w:rsidRDefault="00A0410B" w:rsidP="00A0410B">
      <w:pPr>
        <w:spacing w:after="120"/>
        <w:jc w:val="both"/>
        <w:rPr>
          <w:color w:val="0070C0"/>
          <w:highlight w:val="yellow"/>
          <w:lang w:eastAsia="bg-BG"/>
        </w:rPr>
      </w:pPr>
      <w:r w:rsidRPr="00A0410B">
        <w:rPr>
          <w:lang w:eastAsia="bg-BG"/>
        </w:rPr>
        <w:t xml:space="preserve">Разходите за </w:t>
      </w:r>
      <w:r w:rsidRPr="00A0410B">
        <w:rPr>
          <w:b/>
          <w:lang w:eastAsia="bg-BG"/>
        </w:rPr>
        <w:t>лихви по външни заеми</w:t>
      </w:r>
      <w:r w:rsidRPr="00A0410B">
        <w:rPr>
          <w:lang w:eastAsia="bg-BG"/>
        </w:rPr>
        <w:t xml:space="preserve"> са в размер на </w:t>
      </w:r>
      <w:r w:rsidRPr="00A0410B">
        <w:rPr>
          <w:lang w:val="ru-RU" w:eastAsia="bg-BG"/>
        </w:rPr>
        <w:t xml:space="preserve">830,9 </w:t>
      </w:r>
      <w:r w:rsidRPr="00A0410B">
        <w:rPr>
          <w:lang w:eastAsia="bg-BG"/>
        </w:rPr>
        <w:t>млн. лв., в т.ч. 814,1 млн. лв. по централния бюджет. По ДИЗ, управлявани от министерства и ведомства, са изплатени 16,8 млн. лв. (от тях 1,0 млн. лв. са лихвите по заемите с краен бенефициент - търговско дружество).</w:t>
      </w:r>
    </w:p>
    <w:p w:rsidR="00A0410B" w:rsidRPr="00A0410B" w:rsidRDefault="00A0410B" w:rsidP="00A0410B">
      <w:pPr>
        <w:spacing w:after="120"/>
        <w:jc w:val="both"/>
        <w:rPr>
          <w:b/>
          <w:lang w:eastAsia="bg-BG"/>
        </w:rPr>
      </w:pPr>
      <w:r w:rsidRPr="00A0410B">
        <w:rPr>
          <w:lang w:eastAsia="bg-BG"/>
        </w:rPr>
        <w:t>Към края на декември не са използвани средствата, предвидени в ЗДБРБ за 2024 г., за покриване на риска от активиране на държавни гаранции.</w:t>
      </w:r>
      <w:r w:rsidRPr="00A0410B">
        <w:rPr>
          <w:b/>
          <w:lang w:eastAsia="bg-BG"/>
        </w:rPr>
        <w:t xml:space="preserve"> </w:t>
      </w:r>
    </w:p>
    <w:p w:rsidR="00A0410B" w:rsidRPr="00A0410B" w:rsidRDefault="00A0410B" w:rsidP="00A0410B">
      <w:pPr>
        <w:spacing w:before="120" w:after="120"/>
        <w:jc w:val="both"/>
        <w:rPr>
          <w:b/>
          <w:color w:val="0070C0"/>
          <w:highlight w:val="yellow"/>
          <w:lang w:eastAsia="bg-BG"/>
        </w:rPr>
      </w:pPr>
      <w:r w:rsidRPr="00A0410B">
        <w:rPr>
          <w:b/>
          <w:lang w:eastAsia="bg-BG"/>
        </w:rPr>
        <w:t>Лихвите по вътрешни заеми</w:t>
      </w:r>
      <w:r w:rsidRPr="00A0410B">
        <w:rPr>
          <w:lang w:eastAsia="bg-BG"/>
        </w:rPr>
        <w:t xml:space="preserve"> по държавния бюджет </w:t>
      </w:r>
      <w:r w:rsidRPr="00A0410B">
        <w:rPr>
          <w:bCs/>
          <w:lang w:eastAsia="bg-BG"/>
        </w:rPr>
        <w:t>към декември 2024 г.</w:t>
      </w:r>
      <w:r w:rsidRPr="00A0410B">
        <w:rPr>
          <w:lang w:eastAsia="bg-BG"/>
        </w:rPr>
        <w:t xml:space="preserve"> са в размер на </w:t>
      </w:r>
      <w:r w:rsidRPr="00A0410B">
        <w:rPr>
          <w:b/>
          <w:lang w:eastAsia="bg-BG"/>
        </w:rPr>
        <w:t>122,5 млн. лв.</w:t>
      </w:r>
      <w:r w:rsidRPr="00A0410B">
        <w:rPr>
          <w:lang w:eastAsia="bg-BG"/>
        </w:rPr>
        <w:t xml:space="preserve"> и представляват основно лихви по емисии на ДЦК на вътрешния пазар. Платените лихви по ДЦК са в размер на 122,4 млн. лв., като реализираните при аукционите премии над номинала от емисии на ДЦК (отчетени в намаление на разходите за лихви по вътрешния дълг) възлизат на (-0,1) млн. лв. Платените лихви по ДЦК през месец декември са в размер на 6,8 млн. лв</w:t>
      </w:r>
      <w:r w:rsidRPr="00A0410B">
        <w:rPr>
          <w:color w:val="0070C0"/>
          <w:lang w:eastAsia="bg-BG"/>
        </w:rPr>
        <w:t>.</w:t>
      </w:r>
    </w:p>
    <w:p w:rsidR="00A0410B" w:rsidRPr="00A0410B" w:rsidRDefault="00A0410B" w:rsidP="00A0410B">
      <w:pPr>
        <w:numPr>
          <w:ilvl w:val="0"/>
          <w:numId w:val="38"/>
        </w:numPr>
        <w:tabs>
          <w:tab w:val="num" w:pos="426"/>
        </w:tabs>
        <w:spacing w:before="240" w:after="120"/>
        <w:ind w:left="0" w:firstLine="0"/>
        <w:jc w:val="both"/>
        <w:rPr>
          <w:b/>
          <w:lang w:eastAsia="bg-BG"/>
        </w:rPr>
      </w:pPr>
      <w:r w:rsidRPr="00A0410B">
        <w:rPr>
          <w:b/>
          <w:lang w:eastAsia="bg-BG"/>
        </w:rPr>
        <w:t xml:space="preserve">Нетният размер на трансферите по държавния бюджет  към декември 2024 г. е </w:t>
      </w:r>
      <w:r w:rsidRPr="00A0410B">
        <w:rPr>
          <w:b/>
          <w:lang w:val="ru-RU" w:eastAsia="bg-BG"/>
        </w:rPr>
        <w:t>28</w:t>
      </w:r>
      <w:r w:rsidRPr="00A0410B">
        <w:rPr>
          <w:b/>
          <w:lang w:val="en-US" w:eastAsia="bg-BG"/>
        </w:rPr>
        <w:t> </w:t>
      </w:r>
      <w:r w:rsidRPr="00A0410B">
        <w:rPr>
          <w:b/>
          <w:lang w:val="ru-RU" w:eastAsia="bg-BG"/>
        </w:rPr>
        <w:t>129</w:t>
      </w:r>
      <w:r w:rsidRPr="00A0410B">
        <w:rPr>
          <w:b/>
          <w:lang w:eastAsia="bg-BG"/>
        </w:rPr>
        <w:t xml:space="preserve">,9 млн. лв.,  в т.ч.: </w:t>
      </w:r>
    </w:p>
    <w:p w:rsidR="00A0410B" w:rsidRPr="00A0410B" w:rsidRDefault="00A0410B" w:rsidP="00A0410B">
      <w:pPr>
        <w:numPr>
          <w:ilvl w:val="0"/>
          <w:numId w:val="39"/>
        </w:numPr>
        <w:tabs>
          <w:tab w:val="clear" w:pos="700"/>
          <w:tab w:val="left" w:pos="180"/>
          <w:tab w:val="num" w:pos="540"/>
          <w:tab w:val="num" w:pos="1495"/>
          <w:tab w:val="num" w:pos="9858"/>
        </w:tabs>
        <w:ind w:left="538" w:hanging="357"/>
        <w:jc w:val="both"/>
        <w:rPr>
          <w:color w:val="0070C0"/>
          <w:lang w:eastAsia="bg-BG"/>
        </w:rPr>
      </w:pPr>
      <w:r w:rsidRPr="00A0410B">
        <w:rPr>
          <w:lang w:eastAsia="bg-BG"/>
        </w:rPr>
        <w:t>бюджетните  взаимоотношения  с  общините  включват  нето трансфери  и временни безлихвени заеми в  размер  на 10 768,1 млн. лв.,</w:t>
      </w:r>
      <w:r w:rsidRPr="00A0410B">
        <w:rPr>
          <w:lang w:val="ru-RU" w:eastAsia="bg-BG"/>
        </w:rPr>
        <w:t xml:space="preserve"> </w:t>
      </w:r>
      <w:r w:rsidRPr="00A0410B">
        <w:rPr>
          <w:lang w:eastAsia="bg-BG"/>
        </w:rPr>
        <w:t>от които субсидии от централния бюджет в размер на 8 194,9 млн. лв., други целеви трансфери от централния бюджет в размер на 1</w:t>
      </w:r>
      <w:r>
        <w:rPr>
          <w:lang w:eastAsia="bg-BG"/>
        </w:rPr>
        <w:t> </w:t>
      </w:r>
      <w:r w:rsidRPr="00A0410B">
        <w:rPr>
          <w:lang w:eastAsia="bg-BG"/>
        </w:rPr>
        <w:t xml:space="preserve">006,4 млн. лв., нетни трансфери от/за други бюджети в размер на </w:t>
      </w:r>
      <w:r w:rsidRPr="00A0410B">
        <w:rPr>
          <w:lang w:val="ru-RU" w:eastAsia="bg-BG"/>
        </w:rPr>
        <w:t xml:space="preserve">1 </w:t>
      </w:r>
      <w:r w:rsidRPr="00A0410B">
        <w:rPr>
          <w:lang w:eastAsia="bg-BG"/>
        </w:rPr>
        <w:t>599</w:t>
      </w:r>
      <w:r w:rsidRPr="00A0410B">
        <w:rPr>
          <w:lang w:val="ru-RU" w:eastAsia="bg-BG"/>
        </w:rPr>
        <w:t>,</w:t>
      </w:r>
      <w:r w:rsidRPr="00A0410B">
        <w:rPr>
          <w:lang w:eastAsia="bg-BG"/>
        </w:rPr>
        <w:t>1 млн. лв. и възстановени трансфери от предходни години в централния бюджет – 32,4 млн. лв</w:t>
      </w:r>
      <w:r>
        <w:rPr>
          <w:lang w:eastAsia="bg-BG"/>
        </w:rPr>
        <w:t>.</w:t>
      </w:r>
      <w:r w:rsidRPr="00A0410B">
        <w:rPr>
          <w:lang w:eastAsia="bg-BG"/>
        </w:rPr>
        <w:t>;</w:t>
      </w:r>
    </w:p>
    <w:p w:rsidR="00A0410B" w:rsidRPr="00A0410B" w:rsidRDefault="00A0410B" w:rsidP="00A0410B">
      <w:pPr>
        <w:numPr>
          <w:ilvl w:val="0"/>
          <w:numId w:val="39"/>
        </w:numPr>
        <w:tabs>
          <w:tab w:val="clear" w:pos="700"/>
          <w:tab w:val="left" w:pos="180"/>
          <w:tab w:val="num" w:pos="540"/>
          <w:tab w:val="num" w:pos="1495"/>
          <w:tab w:val="num" w:pos="9858"/>
        </w:tabs>
        <w:ind w:left="538" w:hanging="357"/>
        <w:jc w:val="both"/>
        <w:rPr>
          <w:lang w:eastAsia="bg-BG"/>
        </w:rPr>
      </w:pPr>
      <w:r w:rsidRPr="00A0410B">
        <w:rPr>
          <w:lang w:eastAsia="bg-BG"/>
        </w:rPr>
        <w:t>на социалноосигурителните фондове (нето) – 14 637,6 млн. лв.;</w:t>
      </w:r>
    </w:p>
    <w:p w:rsidR="00A0410B" w:rsidRPr="00A0410B" w:rsidRDefault="00A0410B" w:rsidP="00A0410B">
      <w:pPr>
        <w:numPr>
          <w:ilvl w:val="0"/>
          <w:numId w:val="39"/>
        </w:numPr>
        <w:tabs>
          <w:tab w:val="clear" w:pos="700"/>
          <w:tab w:val="left" w:pos="180"/>
          <w:tab w:val="num" w:pos="540"/>
          <w:tab w:val="num" w:pos="1495"/>
          <w:tab w:val="num" w:pos="9858"/>
        </w:tabs>
        <w:ind w:left="538" w:hanging="357"/>
        <w:jc w:val="both"/>
        <w:rPr>
          <w:lang w:eastAsia="bg-BG"/>
        </w:rPr>
      </w:pPr>
      <w:r w:rsidRPr="00A0410B">
        <w:rPr>
          <w:lang w:eastAsia="bg-BG"/>
        </w:rPr>
        <w:t xml:space="preserve">на други автономни бюджети (ДВУ, БАН, ССА, БНТ, БНР и БТА) – 1 699,3 млн. лева. </w:t>
      </w:r>
    </w:p>
    <w:p w:rsidR="00A0410B" w:rsidRPr="00A0410B" w:rsidRDefault="00A0410B" w:rsidP="00A0410B">
      <w:pPr>
        <w:numPr>
          <w:ilvl w:val="0"/>
          <w:numId w:val="40"/>
        </w:numPr>
        <w:tabs>
          <w:tab w:val="left" w:pos="426"/>
        </w:tabs>
        <w:spacing w:before="240"/>
        <w:ind w:left="0" w:firstLine="0"/>
        <w:jc w:val="both"/>
        <w:rPr>
          <w:bCs/>
          <w:lang w:eastAsia="bg-BG"/>
        </w:rPr>
      </w:pPr>
      <w:r w:rsidRPr="00A0410B">
        <w:rPr>
          <w:lang w:eastAsia="bg-BG"/>
        </w:rPr>
        <w:t>Частта от</w:t>
      </w:r>
      <w:r w:rsidRPr="00A0410B">
        <w:rPr>
          <w:b/>
          <w:lang w:eastAsia="bg-BG"/>
        </w:rPr>
        <w:t xml:space="preserve"> вноската на Република България в общия бюджет на ЕС, </w:t>
      </w:r>
      <w:r w:rsidRPr="00A0410B">
        <w:rPr>
          <w:lang w:eastAsia="bg-BG"/>
        </w:rPr>
        <w:t>изплатена към 31.12.2024 г. от централния бюджет, възлиза на</w:t>
      </w:r>
      <w:r w:rsidRPr="00A0410B">
        <w:rPr>
          <w:b/>
          <w:lang w:eastAsia="bg-BG"/>
        </w:rPr>
        <w:t xml:space="preserve"> 1 592,1 млн. лева.</w:t>
      </w:r>
      <w:r w:rsidRPr="00A0410B">
        <w:rPr>
          <w:lang w:eastAsia="bg-BG"/>
        </w:rPr>
        <w:t xml:space="preserve"> </w:t>
      </w:r>
    </w:p>
    <w:p w:rsidR="00A0410B" w:rsidRPr="00A0410B" w:rsidRDefault="00A0410B" w:rsidP="00A0410B">
      <w:pPr>
        <w:numPr>
          <w:ilvl w:val="0"/>
          <w:numId w:val="35"/>
        </w:numPr>
        <w:tabs>
          <w:tab w:val="clear" w:pos="7650"/>
          <w:tab w:val="num" w:pos="426"/>
          <w:tab w:val="num" w:pos="786"/>
        </w:tabs>
        <w:spacing w:before="240" w:after="240"/>
        <w:ind w:left="0" w:firstLine="0"/>
        <w:jc w:val="both"/>
        <w:rPr>
          <w:sz w:val="16"/>
          <w:szCs w:val="16"/>
          <w:lang w:eastAsia="bg-BG"/>
        </w:rPr>
      </w:pPr>
      <w:r w:rsidRPr="00A0410B">
        <w:rPr>
          <w:b/>
          <w:lang w:eastAsia="bg-BG"/>
        </w:rPr>
        <w:t>Бюджетното салдо по държавния бюджет</w:t>
      </w:r>
      <w:r w:rsidRPr="00A0410B">
        <w:rPr>
          <w:lang w:eastAsia="bg-BG"/>
        </w:rPr>
        <w:t xml:space="preserve"> към </w:t>
      </w:r>
      <w:r w:rsidRPr="00A0410B">
        <w:rPr>
          <w:lang w:val="ru-RU" w:eastAsia="bg-BG"/>
        </w:rPr>
        <w:t xml:space="preserve">31.12.2024 г. </w:t>
      </w:r>
      <w:r w:rsidRPr="00A0410B">
        <w:rPr>
          <w:b/>
          <w:lang w:eastAsia="bg-BG"/>
        </w:rPr>
        <w:t>е отрицателно</w:t>
      </w:r>
      <w:r w:rsidRPr="00A0410B">
        <w:rPr>
          <w:lang w:eastAsia="bg-BG"/>
        </w:rPr>
        <w:t xml:space="preserve"> в размер на </w:t>
      </w:r>
      <w:r w:rsidRPr="00A0410B">
        <w:rPr>
          <w:b/>
          <w:lang w:eastAsia="bg-BG"/>
        </w:rPr>
        <w:t>6 504,1 млн. лева</w:t>
      </w:r>
      <w:r w:rsidRPr="00A0410B">
        <w:rPr>
          <w:lang w:eastAsia="bg-BG"/>
        </w:rPr>
        <w:t xml:space="preserve">. </w:t>
      </w:r>
    </w:p>
    <w:p w:rsidR="00A0410B" w:rsidRPr="00A0410B" w:rsidRDefault="00A0410B" w:rsidP="00A0410B">
      <w:pPr>
        <w:numPr>
          <w:ilvl w:val="0"/>
          <w:numId w:val="35"/>
        </w:numPr>
        <w:tabs>
          <w:tab w:val="clear" w:pos="7650"/>
          <w:tab w:val="num" w:pos="426"/>
          <w:tab w:val="num" w:pos="786"/>
        </w:tabs>
        <w:spacing w:before="240" w:after="120"/>
        <w:ind w:left="0" w:firstLine="0"/>
        <w:jc w:val="both"/>
        <w:rPr>
          <w:b/>
          <w:lang w:eastAsia="bg-BG"/>
        </w:rPr>
      </w:pPr>
      <w:r w:rsidRPr="00A0410B">
        <w:rPr>
          <w:b/>
          <w:lang w:eastAsia="bg-BG"/>
        </w:rPr>
        <w:t>Финансиране на бюджета чрез операции по дълга</w:t>
      </w:r>
    </w:p>
    <w:p w:rsidR="00A0410B" w:rsidRPr="00A0410B" w:rsidRDefault="00A0410B" w:rsidP="00A0410B">
      <w:pPr>
        <w:jc w:val="both"/>
        <w:rPr>
          <w:color w:val="0070C0"/>
          <w:lang w:eastAsia="bg-BG"/>
        </w:rPr>
      </w:pPr>
      <w:r w:rsidRPr="00A0410B">
        <w:rPr>
          <w:lang w:eastAsia="bg-BG"/>
        </w:rPr>
        <w:t>Към 31.12.2024 г. дълговото финансиране на бюджета е обезпечено чрез пласирането на ликвидни емисии на ДЦК на вътрешния пазар и емитираните на 5 септември 2024 г. облигации на МКП в три транша, деноминирани в евро и щатски долари</w:t>
      </w:r>
      <w:r w:rsidRPr="008D00CD">
        <w:rPr>
          <w:lang w:eastAsia="bg-BG"/>
        </w:rPr>
        <w:t>. През 2024 г.</w:t>
      </w:r>
      <w:r w:rsidRPr="00A0410B">
        <w:rPr>
          <w:lang w:eastAsia="bg-BG"/>
        </w:rPr>
        <w:t xml:space="preserve"> е реализирано положително нетно дългово финансиране на държавния бюджет в размер на </w:t>
      </w:r>
      <w:r w:rsidRPr="00A0410B">
        <w:rPr>
          <w:lang w:val="en-US" w:eastAsia="bg-BG"/>
        </w:rPr>
        <w:t> </w:t>
      </w:r>
      <w:r w:rsidRPr="00A0410B">
        <w:rPr>
          <w:lang w:eastAsia="bg-BG"/>
        </w:rPr>
        <w:t>6</w:t>
      </w:r>
      <w:r w:rsidRPr="00A0410B">
        <w:rPr>
          <w:lang w:val="en-US" w:eastAsia="bg-BG"/>
        </w:rPr>
        <w:t> 552</w:t>
      </w:r>
      <w:r w:rsidRPr="00A0410B">
        <w:rPr>
          <w:lang w:eastAsia="bg-BG"/>
        </w:rPr>
        <w:t>,</w:t>
      </w:r>
      <w:r w:rsidRPr="00A0410B">
        <w:rPr>
          <w:lang w:val="en-US" w:eastAsia="bg-BG"/>
        </w:rPr>
        <w:t>7</w:t>
      </w:r>
      <w:r w:rsidRPr="00A0410B">
        <w:rPr>
          <w:lang w:eastAsia="bg-BG"/>
        </w:rPr>
        <w:t xml:space="preserve"> млн. лв., което е резултативна величина от постъпилите средства от емисии на ДЦК на вътрешния пазар и на МКП в общ размер на 10 045,6 млн. лв. и извършените погашения по външния и вътрешния държавен дълг общо в размер на 3 492,9 млн. лв.</w:t>
      </w:r>
    </w:p>
    <w:p w:rsidR="00A0410B" w:rsidRPr="00A0410B" w:rsidRDefault="00A0410B" w:rsidP="00A0410B">
      <w:pPr>
        <w:spacing w:before="120" w:after="120"/>
        <w:jc w:val="both"/>
        <w:rPr>
          <w:color w:val="0070C0"/>
          <w:lang w:eastAsia="bg-BG"/>
        </w:rPr>
      </w:pPr>
      <w:r w:rsidRPr="00A0410B">
        <w:rPr>
          <w:lang w:eastAsia="bg-BG"/>
        </w:rPr>
        <w:t xml:space="preserve">Към 31.12.2024 г. е отчетено положително нетно </w:t>
      </w:r>
      <w:r w:rsidRPr="00A0410B">
        <w:rPr>
          <w:b/>
          <w:i/>
          <w:lang w:eastAsia="bg-BG"/>
        </w:rPr>
        <w:t>вътрешно финансиране</w:t>
      </w:r>
      <w:r w:rsidRPr="00A0410B">
        <w:rPr>
          <w:lang w:eastAsia="bg-BG"/>
        </w:rPr>
        <w:t xml:space="preserve"> </w:t>
      </w:r>
      <w:r w:rsidRPr="00A0410B">
        <w:rPr>
          <w:b/>
          <w:i/>
          <w:lang w:eastAsia="bg-BG"/>
        </w:rPr>
        <w:t>на държавния бюджет</w:t>
      </w:r>
      <w:r w:rsidRPr="00A0410B">
        <w:rPr>
          <w:lang w:eastAsia="bg-BG"/>
        </w:rPr>
        <w:t xml:space="preserve"> с ДЦК в размер на 1 298,8 млн. лв., което се дължи на постъпленията от емисии на ДЦК на вътрешния пазар и извършеното погашение през месец юли. Общият размер на постъпленията от емисии на ДЦК на вътрешния пазар възлиза на 1 678,8 млн. лв. или са емитирани ДЦК на обща номинална стойност 1 700,0 млн. лв., разпределени в две емисии, както следва:</w:t>
      </w:r>
    </w:p>
    <w:p w:rsidR="00A0410B" w:rsidRPr="00A0410B" w:rsidRDefault="00A0410B" w:rsidP="00A0410B">
      <w:pPr>
        <w:numPr>
          <w:ilvl w:val="0"/>
          <w:numId w:val="41"/>
        </w:numPr>
        <w:tabs>
          <w:tab w:val="left" w:pos="1134"/>
        </w:tabs>
        <w:spacing w:before="120" w:after="120"/>
        <w:ind w:left="0" w:firstLine="851"/>
        <w:jc w:val="both"/>
        <w:rPr>
          <w:lang w:eastAsia="bg-BG"/>
        </w:rPr>
      </w:pPr>
      <w:r w:rsidRPr="00A0410B">
        <w:rPr>
          <w:b/>
          <w:i/>
          <w:lang w:eastAsia="bg-BG"/>
        </w:rPr>
        <w:t>3-годишни ДЦК</w:t>
      </w:r>
      <w:r w:rsidRPr="00A0410B">
        <w:rPr>
          <w:lang w:eastAsia="bg-BG"/>
        </w:rPr>
        <w:t xml:space="preserve"> (емисията е пусната в обращение през април 2024 г., деноминирана е в лева, с падеж 17.04.2027 г. и годишен лихвен купон от 3%) с общ пласиран обем от 900,0 млн. лв., в т.ч. през април 200 млн. лв., през май 300 млн. лв., а през юни и юли по 200 млн. лв.; </w:t>
      </w:r>
    </w:p>
    <w:p w:rsidR="00A0410B" w:rsidRPr="00A0410B" w:rsidRDefault="00A0410B" w:rsidP="00A0410B">
      <w:pPr>
        <w:numPr>
          <w:ilvl w:val="0"/>
          <w:numId w:val="41"/>
        </w:numPr>
        <w:tabs>
          <w:tab w:val="left" w:pos="1134"/>
        </w:tabs>
        <w:spacing w:before="120" w:after="120"/>
        <w:ind w:left="0" w:firstLine="851"/>
        <w:jc w:val="both"/>
        <w:rPr>
          <w:lang w:eastAsia="bg-BG"/>
        </w:rPr>
      </w:pPr>
      <w:r w:rsidRPr="00A0410B">
        <w:rPr>
          <w:b/>
          <w:i/>
          <w:lang w:eastAsia="bg-BG"/>
        </w:rPr>
        <w:t>6-годишни ДЦК</w:t>
      </w:r>
      <w:r w:rsidRPr="00A0410B">
        <w:rPr>
          <w:lang w:eastAsia="bg-BG"/>
        </w:rPr>
        <w:t xml:space="preserve"> (емисията е пусната</w:t>
      </w:r>
      <w:r w:rsidRPr="00A0410B">
        <w:rPr>
          <w:rFonts w:ascii="Calibri" w:eastAsia="Calibri" w:hAnsi="Calibri"/>
          <w:lang w:eastAsia="bg-BG"/>
        </w:rPr>
        <w:t xml:space="preserve"> </w:t>
      </w:r>
      <w:r w:rsidRPr="00A0410B">
        <w:rPr>
          <w:lang w:eastAsia="bg-BG"/>
        </w:rPr>
        <w:t>в обращение през май 2024 г., деноминирани в лева, с падеж 15.05.2030 г. и годишен лихвен купон от 3,35%) с общ пласиран обем от 800,0 млн. лв., в т.ч. и през месеците май, юни, юли и август са емитирани по 200,0 млн. лв.</w:t>
      </w:r>
    </w:p>
    <w:p w:rsidR="00A0410B" w:rsidRPr="00A0410B" w:rsidRDefault="00A0410B" w:rsidP="00A0410B">
      <w:pPr>
        <w:spacing w:before="120" w:after="120"/>
        <w:jc w:val="both"/>
        <w:rPr>
          <w:lang w:eastAsia="bg-BG"/>
        </w:rPr>
      </w:pPr>
      <w:r w:rsidRPr="00A0410B">
        <w:rPr>
          <w:lang w:eastAsia="bg-BG"/>
        </w:rPr>
        <w:lastRenderedPageBreak/>
        <w:t xml:space="preserve">Отчетените погашения към края на декември 2024 г. са в размер на 380,0 млн. лв., като през месец юли Министерството на финансите погаси емисия 10,5-годишни ДЦК от 2014 г. в обем от 380,0 млн. лв. номинална стойност. </w:t>
      </w:r>
    </w:p>
    <w:p w:rsidR="00A0410B" w:rsidRPr="00A0410B" w:rsidRDefault="00A0410B" w:rsidP="00A0410B">
      <w:pPr>
        <w:spacing w:before="120" w:after="120"/>
        <w:jc w:val="both"/>
        <w:rPr>
          <w:color w:val="0070C0"/>
          <w:lang w:eastAsia="bg-BG"/>
        </w:rPr>
      </w:pPr>
      <w:r w:rsidRPr="00A0410B">
        <w:rPr>
          <w:lang w:eastAsia="bg-BG"/>
        </w:rPr>
        <w:t xml:space="preserve">Към 31.12.2024 г. е отчетено положително нетно </w:t>
      </w:r>
      <w:r w:rsidRPr="00A0410B">
        <w:rPr>
          <w:b/>
          <w:i/>
          <w:lang w:eastAsia="bg-BG"/>
        </w:rPr>
        <w:t>външно финансиране</w:t>
      </w:r>
      <w:r w:rsidRPr="00A0410B">
        <w:rPr>
          <w:lang w:eastAsia="bg-BG"/>
        </w:rPr>
        <w:t xml:space="preserve"> в размер на 5 25</w:t>
      </w:r>
      <w:r w:rsidRPr="00A0410B">
        <w:rPr>
          <w:lang w:val="en-US" w:eastAsia="bg-BG"/>
        </w:rPr>
        <w:t>3</w:t>
      </w:r>
      <w:r w:rsidRPr="00A0410B">
        <w:rPr>
          <w:lang w:eastAsia="bg-BG"/>
        </w:rPr>
        <w:t>,</w:t>
      </w:r>
      <w:r w:rsidRPr="00A0410B">
        <w:rPr>
          <w:lang w:val="en-US" w:eastAsia="bg-BG"/>
        </w:rPr>
        <w:t>9</w:t>
      </w:r>
      <w:r w:rsidRPr="00A0410B">
        <w:rPr>
          <w:b/>
          <w:lang w:eastAsia="bg-BG"/>
        </w:rPr>
        <w:t> </w:t>
      </w:r>
      <w:r w:rsidRPr="00A0410B">
        <w:rPr>
          <w:lang w:eastAsia="bg-BG"/>
        </w:rPr>
        <w:t xml:space="preserve">млн. лв. </w:t>
      </w:r>
      <w:r w:rsidRPr="00A0410B">
        <w:rPr>
          <w:b/>
          <w:lang w:eastAsia="bg-BG"/>
        </w:rPr>
        <w:t>по държавния бюджет</w:t>
      </w:r>
      <w:r w:rsidRPr="00A0410B">
        <w:rPr>
          <w:lang w:eastAsia="bg-BG"/>
        </w:rPr>
        <w:t>, което се дължи на постъпленията в общ размер на 8 366,8 млн. лв. от емитираните на 5 септември на МКП облигации в три транша, деноминирани в евро и щатски долари и извършените погашения към външни кредитори от държавния бюджет общо в размер на 3 112,9 млн. лв</w:t>
      </w:r>
      <w:r w:rsidRPr="00A0410B">
        <w:rPr>
          <w:color w:val="0070C0"/>
          <w:lang w:eastAsia="bg-BG"/>
        </w:rPr>
        <w:t>.</w:t>
      </w:r>
    </w:p>
    <w:p w:rsidR="00A0410B" w:rsidRPr="00A0410B" w:rsidRDefault="00A0410B" w:rsidP="00A0410B">
      <w:pPr>
        <w:spacing w:before="120" w:after="120"/>
        <w:jc w:val="both"/>
        <w:rPr>
          <w:lang w:eastAsia="bg-BG"/>
        </w:rPr>
      </w:pPr>
      <w:r w:rsidRPr="00A0410B">
        <w:rPr>
          <w:b/>
          <w:i/>
          <w:lang w:eastAsia="bg-BG"/>
        </w:rPr>
        <w:t>Постъпленията</w:t>
      </w:r>
      <w:r w:rsidRPr="00A0410B">
        <w:rPr>
          <w:lang w:eastAsia="bg-BG"/>
        </w:rPr>
        <w:t xml:space="preserve"> </w:t>
      </w:r>
      <w:r w:rsidRPr="00A0410B">
        <w:rPr>
          <w:b/>
          <w:i/>
          <w:lang w:eastAsia="bg-BG"/>
        </w:rPr>
        <w:t xml:space="preserve">по централен бюджет </w:t>
      </w:r>
      <w:r w:rsidRPr="00A0410B">
        <w:rPr>
          <w:lang w:eastAsia="bg-BG"/>
        </w:rPr>
        <w:t>от тройния транш облигации на МКП възлизат общо на 8 366,8 млн. лв. Първият транш облигации, деноминирани в евро, е със срочност 8 г., обем от 1,75 млрд. евро номинална стойност и лихвен купон 3,625</w:t>
      </w:r>
      <w:r w:rsidRPr="00A0410B">
        <w:rPr>
          <w:lang w:val="ru-RU" w:eastAsia="bg-BG"/>
        </w:rPr>
        <w:t xml:space="preserve"> </w:t>
      </w:r>
      <w:r w:rsidRPr="00A0410B">
        <w:rPr>
          <w:lang w:eastAsia="bg-BG"/>
        </w:rPr>
        <w:t>%; вторият транш облигации, деноминирани в евро, е със срочност 20 г., обем от 1,25 млрд. евро и лихвен купон 4,250 %, а третият транш облигации е деноминиран в щатски долари и е със срочност 12,5 г., обем от 1,500</w:t>
      </w:r>
      <w:r w:rsidR="008E31ED">
        <w:rPr>
          <w:lang w:eastAsia="bg-BG"/>
        </w:rPr>
        <w:t> </w:t>
      </w:r>
      <w:r w:rsidRPr="00A0410B">
        <w:rPr>
          <w:lang w:eastAsia="bg-BG"/>
        </w:rPr>
        <w:t>млрд. щатски долара и лихвен купон 5,000 %.</w:t>
      </w:r>
    </w:p>
    <w:p w:rsidR="00A0410B" w:rsidRPr="00A0410B" w:rsidRDefault="00A0410B" w:rsidP="00A0410B">
      <w:pPr>
        <w:spacing w:before="120" w:after="120"/>
        <w:jc w:val="both"/>
        <w:rPr>
          <w:lang w:eastAsia="bg-BG"/>
        </w:rPr>
      </w:pPr>
      <w:r w:rsidRPr="00A0410B">
        <w:rPr>
          <w:lang w:eastAsia="bg-BG"/>
        </w:rPr>
        <w:t xml:space="preserve">Размерът на </w:t>
      </w:r>
      <w:r w:rsidRPr="00A0410B">
        <w:rPr>
          <w:b/>
          <w:i/>
          <w:lang w:eastAsia="bg-BG"/>
        </w:rPr>
        <w:t>извършените погашения</w:t>
      </w:r>
      <w:r w:rsidRPr="00A0410B">
        <w:rPr>
          <w:lang w:eastAsia="bg-BG"/>
        </w:rPr>
        <w:t xml:space="preserve"> по еврооблигации на МКП, външни държавни заеми, </w:t>
      </w:r>
      <w:r w:rsidRPr="00A0410B">
        <w:rPr>
          <w:bCs/>
          <w:lang w:eastAsia="bg-BG"/>
        </w:rPr>
        <w:t>държавни инвестиционни заеми (ДИЗ)</w:t>
      </w:r>
      <w:r w:rsidRPr="00A0410B">
        <w:rPr>
          <w:lang w:eastAsia="bg-BG"/>
        </w:rPr>
        <w:t xml:space="preserve"> и ДИЗ с краен бенефициент са в общ размер на </w:t>
      </w:r>
      <w:r w:rsidRPr="00A0410B">
        <w:rPr>
          <w:b/>
          <w:i/>
          <w:lang w:eastAsia="bg-BG"/>
        </w:rPr>
        <w:t>3 112,9</w:t>
      </w:r>
      <w:r w:rsidRPr="00A0410B">
        <w:rPr>
          <w:lang w:eastAsia="bg-BG"/>
        </w:rPr>
        <w:t> </w:t>
      </w:r>
      <w:r w:rsidRPr="00A0410B">
        <w:rPr>
          <w:b/>
          <w:i/>
          <w:lang w:eastAsia="bg-BG"/>
        </w:rPr>
        <w:t>млн. лв</w:t>
      </w:r>
      <w:r w:rsidRPr="00A0410B">
        <w:rPr>
          <w:lang w:eastAsia="bg-BG"/>
        </w:rPr>
        <w:t>., което представлява 99,5 % от предвидените в ЗДБРБ за 2024 г.</w:t>
      </w:r>
    </w:p>
    <w:p w:rsidR="00A0410B" w:rsidRPr="00A0410B" w:rsidRDefault="00A0410B" w:rsidP="00A0410B">
      <w:pPr>
        <w:spacing w:before="120" w:after="120"/>
        <w:jc w:val="both"/>
        <w:rPr>
          <w:lang w:eastAsia="bg-BG"/>
        </w:rPr>
      </w:pPr>
      <w:r w:rsidRPr="00A0410B">
        <w:rPr>
          <w:lang w:eastAsia="bg-BG"/>
        </w:rPr>
        <w:t xml:space="preserve">Извършените </w:t>
      </w:r>
      <w:r w:rsidRPr="00A0410B">
        <w:rPr>
          <w:b/>
          <w:i/>
          <w:lang w:eastAsia="bg-BG"/>
        </w:rPr>
        <w:t>погашения от централен бюджет</w:t>
      </w:r>
      <w:r w:rsidRPr="00A0410B">
        <w:rPr>
          <w:lang w:eastAsia="bg-BG"/>
        </w:rPr>
        <w:t xml:space="preserve"> възлизат на </w:t>
      </w:r>
      <w:r w:rsidRPr="00A0410B">
        <w:rPr>
          <w:b/>
          <w:i/>
          <w:lang w:eastAsia="bg-BG"/>
        </w:rPr>
        <w:t>3 017,5 млн. лв</w:t>
      </w:r>
      <w:r w:rsidRPr="00A0410B">
        <w:rPr>
          <w:lang w:eastAsia="bg-BG"/>
        </w:rPr>
        <w:t>., в т.ч.:</w:t>
      </w:r>
    </w:p>
    <w:p w:rsidR="00A0410B" w:rsidRPr="00A0410B" w:rsidRDefault="00A0410B" w:rsidP="00A0410B">
      <w:pPr>
        <w:numPr>
          <w:ilvl w:val="0"/>
          <w:numId w:val="42"/>
        </w:numPr>
        <w:tabs>
          <w:tab w:val="left" w:pos="1134"/>
        </w:tabs>
        <w:spacing w:before="120" w:after="120"/>
        <w:ind w:left="0" w:right="-1" w:firstLine="851"/>
        <w:jc w:val="both"/>
        <w:rPr>
          <w:lang w:eastAsia="bg-BG"/>
        </w:rPr>
      </w:pPr>
      <w:r w:rsidRPr="00A0410B">
        <w:rPr>
          <w:lang w:eastAsia="bg-BG"/>
        </w:rPr>
        <w:t>в полза на държателите на 10-годишните еврооблигации на Република България, емитирани през 2014 г. на МКП, на падежната дата 3 септември 2024 г. са изплатени 2</w:t>
      </w:r>
      <w:r w:rsidRPr="00A0410B">
        <w:rPr>
          <w:lang w:val="en-US" w:eastAsia="bg-BG"/>
        </w:rPr>
        <w:t> </w:t>
      </w:r>
      <w:r w:rsidRPr="00A0410B">
        <w:rPr>
          <w:lang w:eastAsia="bg-BG"/>
        </w:rPr>
        <w:t>893,3 млн. лв. (1,</w:t>
      </w:r>
      <w:r w:rsidRPr="00A0410B">
        <w:rPr>
          <w:lang w:val="en-US" w:eastAsia="bg-BG"/>
        </w:rPr>
        <w:t>493</w:t>
      </w:r>
      <w:r w:rsidRPr="00A0410B">
        <w:rPr>
          <w:lang w:eastAsia="bg-BG"/>
        </w:rPr>
        <w:t xml:space="preserve"> млрд. евро номиналната стойност);</w:t>
      </w:r>
    </w:p>
    <w:p w:rsidR="00A0410B" w:rsidRPr="00A0410B" w:rsidRDefault="00A0410B" w:rsidP="00A0410B">
      <w:pPr>
        <w:numPr>
          <w:ilvl w:val="0"/>
          <w:numId w:val="42"/>
        </w:numPr>
        <w:tabs>
          <w:tab w:val="left" w:pos="1134"/>
        </w:tabs>
        <w:spacing w:before="120" w:after="120"/>
        <w:ind w:left="0" w:right="-1" w:firstLine="851"/>
        <w:jc w:val="both"/>
        <w:rPr>
          <w:lang w:eastAsia="bg-BG"/>
        </w:rPr>
      </w:pPr>
      <w:r w:rsidRPr="00A0410B">
        <w:rPr>
          <w:lang w:eastAsia="bg-BG"/>
        </w:rPr>
        <w:t>по външни държавни заеми към международни финансови институции, в съответствие с договорените погасителни планове, към 31.12.2024 г. са изплатени погашения в размер на 124,2</w:t>
      </w:r>
      <w:r w:rsidR="00B1027A">
        <w:rPr>
          <w:lang w:eastAsia="bg-BG"/>
        </w:rPr>
        <w:t> </w:t>
      </w:r>
      <w:r w:rsidRPr="00A0410B">
        <w:rPr>
          <w:lang w:eastAsia="bg-BG"/>
        </w:rPr>
        <w:t>млн. лв.</w:t>
      </w:r>
      <w:r w:rsidRPr="00A0410B">
        <w:rPr>
          <w:i/>
          <w:lang w:eastAsia="bg-BG"/>
        </w:rPr>
        <w:t>,</w:t>
      </w:r>
      <w:r w:rsidRPr="00A0410B">
        <w:rPr>
          <w:lang w:eastAsia="bg-BG"/>
        </w:rPr>
        <w:t xml:space="preserve"> (50,2 млн. лв. към Международната банка за възстановяване и развитие, 64,2 млн. лв. към Европейска инвестиционна банка и 9,8 млн. лв. към Банка за развитие на Съвета на Европа). </w:t>
      </w:r>
    </w:p>
    <w:p w:rsidR="00A0410B" w:rsidRPr="00A0410B" w:rsidRDefault="00A0410B" w:rsidP="00A0410B">
      <w:pPr>
        <w:spacing w:before="120" w:after="120"/>
        <w:jc w:val="both"/>
        <w:rPr>
          <w:color w:val="0070C0"/>
          <w:lang w:eastAsia="bg-BG"/>
        </w:rPr>
      </w:pPr>
      <w:r w:rsidRPr="00A0410B">
        <w:rPr>
          <w:lang w:eastAsia="bg-BG"/>
        </w:rPr>
        <w:t>Погашенията по държавни инвестиционни заеми (ДИЗ), управлявани от министерства и ведомства в края на декември са в размер на 86,7 млн. лв. По заемите с краен бенефициент търговско дружество извършените погашения са в размер на 8,6 млн. лева.</w:t>
      </w:r>
    </w:p>
    <w:p w:rsidR="00A0410B" w:rsidRPr="00A0410B" w:rsidRDefault="00A0410B" w:rsidP="00A0410B">
      <w:pPr>
        <w:spacing w:before="120" w:after="120"/>
        <w:jc w:val="both"/>
        <w:rPr>
          <w:lang w:val="ru-RU" w:eastAsia="bg-BG"/>
        </w:rPr>
      </w:pPr>
      <w:r w:rsidRPr="00A0410B">
        <w:rPr>
          <w:lang w:val="ru-RU" w:eastAsia="bg-BG"/>
        </w:rPr>
        <w:t>През отчетния период не са използвани средствата, предвидени в ЗДБРБ за 2024 г., за покриване на риска от активиране на държавни гаранции.</w:t>
      </w:r>
    </w:p>
    <w:p w:rsidR="00E86EAF" w:rsidRPr="008B28AF" w:rsidRDefault="00E86EAF" w:rsidP="00E86EAF">
      <w:pPr>
        <w:pStyle w:val="BodyTextIndent"/>
        <w:numPr>
          <w:ilvl w:val="1"/>
          <w:numId w:val="8"/>
        </w:numPr>
        <w:tabs>
          <w:tab w:val="num" w:pos="900"/>
        </w:tabs>
        <w:spacing w:before="240" w:after="0"/>
        <w:ind w:left="714" w:hanging="357"/>
        <w:jc w:val="both"/>
        <w:rPr>
          <w:b/>
          <w:bCs/>
        </w:rPr>
      </w:pPr>
      <w:r w:rsidRPr="008B28AF">
        <w:rPr>
          <w:b/>
          <w:bCs/>
        </w:rPr>
        <w:t>Разходи по централн</w:t>
      </w:r>
      <w:r w:rsidRPr="008B28AF">
        <w:rPr>
          <w:b/>
          <w:bCs/>
          <w:szCs w:val="26"/>
        </w:rPr>
        <w:t xml:space="preserve">ия бюджет </w:t>
      </w:r>
      <w:r w:rsidRPr="008B28AF">
        <w:rPr>
          <w:b/>
          <w:bCs/>
        </w:rPr>
        <w:t>за субсидии, капиталови трансфери</w:t>
      </w:r>
      <w:r w:rsidRPr="008B28AF">
        <w:rPr>
          <w:bCs/>
        </w:rPr>
        <w:t xml:space="preserve"> </w:t>
      </w:r>
      <w:r w:rsidRPr="008B28AF">
        <w:rPr>
          <w:b/>
          <w:bCs/>
        </w:rPr>
        <w:t xml:space="preserve">и други разходи, свързани с дейността на реалния сектор </w:t>
      </w:r>
    </w:p>
    <w:p w:rsidR="00E86EAF" w:rsidRPr="006E7134" w:rsidRDefault="00E86EAF" w:rsidP="00E86EAF">
      <w:pPr>
        <w:pStyle w:val="Header"/>
        <w:jc w:val="both"/>
        <w:rPr>
          <w:color w:val="0070C0"/>
          <w:sz w:val="8"/>
          <w:szCs w:val="8"/>
        </w:rPr>
      </w:pPr>
    </w:p>
    <w:p w:rsidR="00E86EAF" w:rsidRPr="006E7134" w:rsidRDefault="00E86EAF" w:rsidP="00F36F2B">
      <w:pPr>
        <w:pStyle w:val="Header"/>
        <w:jc w:val="both"/>
        <w:rPr>
          <w:color w:val="0070C0"/>
          <w:sz w:val="4"/>
          <w:szCs w:val="4"/>
        </w:rPr>
      </w:pPr>
    </w:p>
    <w:p w:rsidR="00E86EAF" w:rsidRPr="00FD6F5E" w:rsidRDefault="00E86EAF" w:rsidP="00F36F2B">
      <w:pPr>
        <w:pStyle w:val="BodyText2"/>
        <w:spacing w:before="120" w:after="0" w:line="240" w:lineRule="auto"/>
        <w:jc w:val="both"/>
      </w:pPr>
      <w:r w:rsidRPr="00FD6F5E">
        <w:t xml:space="preserve">Средствата за </w:t>
      </w:r>
      <w:r w:rsidRPr="00FD6F5E">
        <w:rPr>
          <w:bCs/>
        </w:rPr>
        <w:t>субсидии</w:t>
      </w:r>
      <w:r w:rsidRPr="00FD6F5E">
        <w:t xml:space="preserve"> са предназначени за търговски дружества, осъществяващи превоза на пътниците по нерентабилни автобусни линии във вътрешноградския транспорт и транспорта в планински и други райони. По своя характер те са обществени превозни услуги от общ икономически интерес и имат предимно социална насоченост – масови превози до и от работните места в рамките на града и превози до малки отдалечени селища, осигуряващи връзка с общинския център.</w:t>
      </w:r>
    </w:p>
    <w:p w:rsidR="00E86EAF" w:rsidRPr="006E7134" w:rsidRDefault="00813B0A" w:rsidP="00F36F2B">
      <w:pPr>
        <w:widowControl w:val="0"/>
        <w:spacing w:before="120"/>
        <w:jc w:val="both"/>
        <w:rPr>
          <w:color w:val="0070C0"/>
        </w:rPr>
      </w:pPr>
      <w:r>
        <w:rPr>
          <w:noProof/>
        </w:rPr>
        <w:t xml:space="preserve">Към 31.12.2024 г. предоставените за тази цел средства са в размер на 188, 0 млн. лв., в т.ч. </w:t>
      </w:r>
      <w:r w:rsidRPr="00F971A6">
        <w:rPr>
          <w:noProof/>
        </w:rPr>
        <w:t>за Столична община – в размер на 89,0 млн. лв.</w:t>
      </w:r>
      <w:r w:rsidR="00E86EAF" w:rsidRPr="00F971A6">
        <w:rPr>
          <w:noProof/>
        </w:rPr>
        <w:t xml:space="preserve"> Средствата се разпределят по общини по предложение на Министерството на транспорта и съобщенията, с изключение на тези за Столична община</w:t>
      </w:r>
      <w:r w:rsidR="00E86EAF" w:rsidRPr="00F971A6">
        <w:t xml:space="preserve">. </w:t>
      </w:r>
    </w:p>
    <w:p w:rsidR="00E86EAF" w:rsidRPr="003F68C3" w:rsidRDefault="00E86EAF" w:rsidP="00F36F2B">
      <w:pPr>
        <w:spacing w:before="120"/>
        <w:jc w:val="both"/>
      </w:pPr>
      <w:r w:rsidRPr="003F68C3">
        <w:t>За 2024 г.</w:t>
      </w:r>
      <w:r w:rsidRPr="003F68C3">
        <w:rPr>
          <w:i/>
        </w:rPr>
        <w:t xml:space="preserve"> </w:t>
      </w:r>
      <w:r w:rsidRPr="003F68C3">
        <w:t>от предвидените по централния бюджет</w:t>
      </w:r>
      <w:r w:rsidRPr="003F68C3">
        <w:rPr>
          <w:b/>
          <w:i/>
        </w:rPr>
        <w:t xml:space="preserve"> капиталови трансфери</w:t>
      </w:r>
      <w:r w:rsidRPr="003F68C3">
        <w:t xml:space="preserve"> за изпълнение на Програмите за отстраняване на нанесени щети </w:t>
      </w:r>
      <w:r w:rsidRPr="003F68C3">
        <w:rPr>
          <w:noProof/>
        </w:rPr>
        <w:t>върху околната среда</w:t>
      </w:r>
      <w:r w:rsidRPr="003F68C3">
        <w:t>, настъпили от минали действия или бездействия, при приватизация, не са изразходвани средства.</w:t>
      </w:r>
    </w:p>
    <w:p w:rsidR="00E86EAF" w:rsidRPr="006E7134" w:rsidRDefault="00E86EAF" w:rsidP="00F36F2B">
      <w:pPr>
        <w:spacing w:before="120"/>
        <w:jc w:val="both"/>
        <w:rPr>
          <w:color w:val="0070C0"/>
        </w:rPr>
      </w:pPr>
      <w:r w:rsidRPr="00910FC7">
        <w:rPr>
          <w:bCs/>
        </w:rPr>
        <w:t xml:space="preserve">По централния бюджет са предвидени и </w:t>
      </w:r>
      <w:r w:rsidRPr="00910FC7">
        <w:rPr>
          <w:b/>
          <w:bCs/>
        </w:rPr>
        <w:t>други разходи</w:t>
      </w:r>
      <w:r w:rsidRPr="00910FC7">
        <w:rPr>
          <w:bCs/>
        </w:rPr>
        <w:t>, свързани с к</w:t>
      </w:r>
      <w:r w:rsidRPr="00910FC7">
        <w:t xml:space="preserve">омпенсиране със средства от държавния бюджет на </w:t>
      </w:r>
      <w:r w:rsidRPr="00910FC7">
        <w:rPr>
          <w:bCs/>
        </w:rPr>
        <w:t xml:space="preserve">намалените приходи от прилагането на цени за пътуване, предвидени в </w:t>
      </w:r>
      <w:r w:rsidRPr="00910FC7">
        <w:rPr>
          <w:bCs/>
        </w:rPr>
        <w:lastRenderedPageBreak/>
        <w:t>нормативни актове за определени категории пътници</w:t>
      </w:r>
      <w:r w:rsidRPr="00910FC7">
        <w:t xml:space="preserve"> по железопътния и </w:t>
      </w:r>
      <w:r w:rsidRPr="005047FC">
        <w:t xml:space="preserve">автомобилния транспорт. Средствата </w:t>
      </w:r>
      <w:r w:rsidRPr="005047FC">
        <w:rPr>
          <w:bCs/>
        </w:rPr>
        <w:t xml:space="preserve">се предоставят на „БДЖ-Пътнически превози“ ЕООД за компенсации за пътувания с железопътния транспорт и под формата на целеви трансфер на общините - </w:t>
      </w:r>
      <w:r w:rsidRPr="005047FC">
        <w:t xml:space="preserve">за автомобилния транспорт. </w:t>
      </w:r>
    </w:p>
    <w:p w:rsidR="00E86EAF" w:rsidRPr="004C3B8E" w:rsidRDefault="00E86EAF" w:rsidP="00883CAE">
      <w:pPr>
        <w:tabs>
          <w:tab w:val="left" w:pos="851"/>
        </w:tabs>
        <w:spacing w:before="120"/>
        <w:jc w:val="both"/>
        <w:rPr>
          <w:sz w:val="8"/>
          <w:szCs w:val="8"/>
        </w:rPr>
      </w:pPr>
      <w:r w:rsidRPr="004C3B8E">
        <w:t xml:space="preserve">Предоставените средства за 2024 г. са общо в размер на </w:t>
      </w:r>
      <w:r w:rsidR="004C3B8E" w:rsidRPr="004C3B8E">
        <w:t>288,3</w:t>
      </w:r>
      <w:r w:rsidRPr="004C3B8E">
        <w:t xml:space="preserve"> млн. лв., в т.ч. за вътрешноградския транспорт, междуселищния автомобилен транспорт и железопътния транспорт. </w:t>
      </w:r>
    </w:p>
    <w:p w:rsidR="00E86EAF" w:rsidRPr="00884F11" w:rsidRDefault="00E86EAF" w:rsidP="00883CAE">
      <w:pPr>
        <w:tabs>
          <w:tab w:val="left" w:pos="851"/>
        </w:tabs>
        <w:spacing w:before="120"/>
        <w:jc w:val="both"/>
      </w:pPr>
      <w:r w:rsidRPr="00884F11">
        <w:t>Предоставените средства към 3</w:t>
      </w:r>
      <w:r w:rsidR="00884F11" w:rsidRPr="00884F11">
        <w:t>1</w:t>
      </w:r>
      <w:r w:rsidRPr="00884F11">
        <w:t>.</w:t>
      </w:r>
      <w:r w:rsidR="00884F11" w:rsidRPr="00884F11">
        <w:t>12</w:t>
      </w:r>
      <w:r w:rsidRPr="00884F11">
        <w:t xml:space="preserve">.2024 г. за компенсиране на намалените приходи от прилагането на цени за пътуване, предвидени в нормативни актове за определени категории пътници /компенсации/, структурирани според вида ползван транспорт – </w:t>
      </w:r>
      <w:r w:rsidRPr="00884F11">
        <w:rPr>
          <w:noProof/>
        </w:rPr>
        <w:t xml:space="preserve">вътрешноградски транспорт и междуселищен </w:t>
      </w:r>
      <w:r w:rsidRPr="00884F11">
        <w:t>автомобилен транспорт или железопътен транспорт са както следва:</w:t>
      </w:r>
    </w:p>
    <w:p w:rsidR="00E86EAF" w:rsidRPr="00884F11" w:rsidRDefault="00E86EAF" w:rsidP="00526FB4">
      <w:pPr>
        <w:spacing w:before="120"/>
        <w:ind w:firstLine="567"/>
        <w:jc w:val="both"/>
      </w:pPr>
      <w:r w:rsidRPr="00884F11">
        <w:t xml:space="preserve">- компенсации за пътувания с железопътния транспорт в размер на </w:t>
      </w:r>
      <w:r w:rsidR="00884F11" w:rsidRPr="00884F11">
        <w:t>11,2</w:t>
      </w:r>
      <w:r w:rsidRPr="00884F11">
        <w:t xml:space="preserve"> млн. лв.; </w:t>
      </w:r>
    </w:p>
    <w:p w:rsidR="00E86EAF" w:rsidRPr="00884F11" w:rsidRDefault="00E86EAF" w:rsidP="005E5AF6">
      <w:pPr>
        <w:tabs>
          <w:tab w:val="left" w:pos="709"/>
          <w:tab w:val="left" w:pos="993"/>
        </w:tabs>
        <w:ind w:left="709" w:hanging="142"/>
        <w:jc w:val="both"/>
        <w:rPr>
          <w:noProof/>
        </w:rPr>
      </w:pPr>
      <w:r w:rsidRPr="00884F11">
        <w:rPr>
          <w:noProof/>
        </w:rPr>
        <w:t xml:space="preserve">- компенсации за пътувания с вътрешноградски транспорт и междуселищния автомобилен транспорт в страната – </w:t>
      </w:r>
      <w:r w:rsidR="00884F11" w:rsidRPr="00884F11">
        <w:rPr>
          <w:noProof/>
        </w:rPr>
        <w:t>277,1</w:t>
      </w:r>
      <w:r w:rsidRPr="00884F11">
        <w:rPr>
          <w:noProof/>
        </w:rPr>
        <w:t xml:space="preserve"> млн. лв. </w:t>
      </w:r>
    </w:p>
    <w:p w:rsidR="00E86EAF" w:rsidRPr="00F6725F" w:rsidRDefault="00E86EAF" w:rsidP="00883CAE">
      <w:pPr>
        <w:spacing w:before="120"/>
        <w:jc w:val="both"/>
        <w:rPr>
          <w:noProof/>
        </w:rPr>
      </w:pPr>
      <w:r w:rsidRPr="00F6725F">
        <w:rPr>
          <w:noProof/>
        </w:rPr>
        <w:t xml:space="preserve">Предоставените средства за </w:t>
      </w:r>
      <w:r w:rsidRPr="00F6725F">
        <w:t>компенсиране на намалените приходи от прилагането на цени за пътуване, предвидени в нормативни актове за определени категории пътници,</w:t>
      </w:r>
      <w:r w:rsidRPr="00F6725F">
        <w:rPr>
          <w:noProof/>
        </w:rPr>
        <w:t xml:space="preserve"> по вътрешноградския транспорт и междуселищния автомобилен транспорт за 2024 г., диференцирани по групи правоимащи лица и размер на намалението спрямо редовната цена, са както следва:</w:t>
      </w:r>
    </w:p>
    <w:p w:rsidR="00E016DD" w:rsidRDefault="00E016DD" w:rsidP="00526FB4">
      <w:pPr>
        <w:pStyle w:val="BodyTextIndent"/>
        <w:tabs>
          <w:tab w:val="left" w:pos="1026"/>
        </w:tabs>
        <w:spacing w:before="120" w:after="0"/>
        <w:ind w:left="0" w:firstLine="567"/>
        <w:jc w:val="both"/>
        <w:rPr>
          <w:noProof/>
        </w:rPr>
      </w:pPr>
      <w:r>
        <w:rPr>
          <w:noProof/>
        </w:rPr>
        <w:t xml:space="preserve">- 69,3 млн. лв. за транспорт на деца и ученици; </w:t>
      </w:r>
    </w:p>
    <w:p w:rsidR="00E86EAF" w:rsidRPr="006E7134" w:rsidRDefault="00E016DD" w:rsidP="00E016DD">
      <w:pPr>
        <w:pStyle w:val="BodyTextIndent"/>
        <w:tabs>
          <w:tab w:val="left" w:pos="1026"/>
        </w:tabs>
        <w:spacing w:after="0"/>
        <w:ind w:left="0" w:firstLine="567"/>
        <w:jc w:val="both"/>
        <w:rPr>
          <w:color w:val="0070C0"/>
        </w:rPr>
      </w:pPr>
      <w:r>
        <w:rPr>
          <w:noProof/>
        </w:rPr>
        <w:t>- 210,2 млн. лв. за безплатни и по намалени цени пътувания по общини, в това число</w:t>
      </w:r>
      <w:r w:rsidR="00E86EAF" w:rsidRPr="006E7134">
        <w:rPr>
          <w:color w:val="0070C0"/>
        </w:rPr>
        <w:t>:</w:t>
      </w:r>
    </w:p>
    <w:p w:rsidR="00E86EAF" w:rsidRPr="006E7134" w:rsidRDefault="0061614F" w:rsidP="008B3FDA">
      <w:pPr>
        <w:numPr>
          <w:ilvl w:val="0"/>
          <w:numId w:val="21"/>
        </w:numPr>
        <w:tabs>
          <w:tab w:val="left" w:pos="993"/>
        </w:tabs>
        <w:jc w:val="both"/>
        <w:rPr>
          <w:color w:val="0070C0"/>
        </w:rPr>
      </w:pPr>
      <w:r>
        <w:rPr>
          <w:noProof/>
        </w:rPr>
        <w:t>193,1</w:t>
      </w:r>
      <w:r w:rsidR="008B3FDA">
        <w:rPr>
          <w:noProof/>
        </w:rPr>
        <w:t xml:space="preserve"> млн. лв. </w:t>
      </w:r>
      <w:r w:rsidR="008B3FDA">
        <w:rPr>
          <w:noProof/>
          <w:lang w:val="en-US"/>
        </w:rPr>
        <w:t>(</w:t>
      </w:r>
      <w:r w:rsidR="0023305D">
        <w:rPr>
          <w:noProof/>
        </w:rPr>
        <w:t>от които</w:t>
      </w:r>
      <w:r w:rsidR="008B3FDA">
        <w:rPr>
          <w:noProof/>
        </w:rPr>
        <w:t xml:space="preserve"> </w:t>
      </w:r>
      <w:r w:rsidR="008B3FDA" w:rsidRPr="008B3FDA">
        <w:rPr>
          <w:noProof/>
          <w:lang w:val="en-US"/>
        </w:rPr>
        <w:t xml:space="preserve">51,7 млн. лв. </w:t>
      </w:r>
      <w:r w:rsidR="0023305D">
        <w:rPr>
          <w:noProof/>
        </w:rPr>
        <w:t xml:space="preserve">са </w:t>
      </w:r>
      <w:r w:rsidR="008B3FDA" w:rsidRPr="008B3FDA">
        <w:rPr>
          <w:noProof/>
          <w:lang w:val="en-US"/>
        </w:rPr>
        <w:t>по ПМС № 440</w:t>
      </w:r>
      <w:r w:rsidR="00893BF1">
        <w:rPr>
          <w:noProof/>
        </w:rPr>
        <w:t>/12.12.2024 г.</w:t>
      </w:r>
      <w:r w:rsidR="008B3FDA">
        <w:rPr>
          <w:noProof/>
          <w:lang w:val="en-US"/>
        </w:rPr>
        <w:t xml:space="preserve">) </w:t>
      </w:r>
      <w:r w:rsidR="008B3FDA">
        <w:rPr>
          <w:noProof/>
        </w:rPr>
        <w:t>за безплатни пътувания на деца до седемгодишна възраст, ветерани от войните, военноинвалиди и военнопострадали, както и пътувания по намалени цени на деца от 7 до 14 навършени години, учащи се и лица, получаващи пенсия, лица с намалена работоспособност над 70,99 на 100 с вътрешноградския транспорт и междуселищния автомобилен транспорт;</w:t>
      </w:r>
      <w:r w:rsidR="00E86EAF" w:rsidRPr="006E7134">
        <w:rPr>
          <w:color w:val="0070C0"/>
        </w:rPr>
        <w:t xml:space="preserve"> </w:t>
      </w:r>
    </w:p>
    <w:p w:rsidR="00E86EAF" w:rsidRPr="004E0C46" w:rsidRDefault="00787B13" w:rsidP="00E86EAF">
      <w:pPr>
        <w:numPr>
          <w:ilvl w:val="0"/>
          <w:numId w:val="21"/>
        </w:numPr>
        <w:tabs>
          <w:tab w:val="left" w:pos="993"/>
        </w:tabs>
        <w:jc w:val="both"/>
      </w:pPr>
      <w:r>
        <w:rPr>
          <w:noProof/>
        </w:rPr>
        <w:t xml:space="preserve">17,1 млн. лв. за превоз на служители, ползващи право на безплатно пътуване при </w:t>
      </w:r>
      <w:r w:rsidRPr="004E0C46">
        <w:rPr>
          <w:noProof/>
        </w:rPr>
        <w:t>изпълнение на служебните си задължения</w:t>
      </w:r>
      <w:r w:rsidR="00E86EAF" w:rsidRPr="004E0C46">
        <w:t>.</w:t>
      </w:r>
    </w:p>
    <w:p w:rsidR="00E86EAF" w:rsidRPr="004E0C46" w:rsidRDefault="00E86EAF" w:rsidP="00526FB4">
      <w:pPr>
        <w:tabs>
          <w:tab w:val="left" w:pos="567"/>
        </w:tabs>
        <w:spacing w:before="120"/>
        <w:jc w:val="both"/>
      </w:pPr>
      <w:r w:rsidRPr="004E0C46">
        <w:t>Средствата се разпределят по общини по предложение на Министерството на транспорта и съобщенията, Министерството на образованието и науката и на министерствата и ведомствата, чиито служители ползват право на безплатно пътуване за изпълнение на служебните си задължения в изпълнение на законови разпоредби.</w:t>
      </w:r>
    </w:p>
    <w:p w:rsidR="00162F31" w:rsidRPr="003C5A4F" w:rsidRDefault="00162F31" w:rsidP="00E86EAF">
      <w:pPr>
        <w:pStyle w:val="BodyTextIndent"/>
        <w:numPr>
          <w:ilvl w:val="1"/>
          <w:numId w:val="8"/>
        </w:numPr>
        <w:tabs>
          <w:tab w:val="num" w:pos="900"/>
        </w:tabs>
        <w:spacing w:before="240" w:after="0"/>
        <w:ind w:left="714" w:hanging="357"/>
        <w:jc w:val="both"/>
        <w:rPr>
          <w:b/>
          <w:bCs/>
        </w:rPr>
      </w:pPr>
      <w:r w:rsidRPr="003C5A4F">
        <w:rPr>
          <w:b/>
          <w:bCs/>
        </w:rPr>
        <w:t>Бюджет на съдебната власт</w:t>
      </w:r>
    </w:p>
    <w:p w:rsidR="00E943D4" w:rsidRPr="006E7134" w:rsidRDefault="00E943D4" w:rsidP="00E943D4">
      <w:pPr>
        <w:spacing w:before="120"/>
        <w:jc w:val="both"/>
        <w:rPr>
          <w:color w:val="0070C0"/>
        </w:rPr>
      </w:pPr>
      <w:r w:rsidRPr="00A73B7A">
        <w:t>За 202</w:t>
      </w:r>
      <w:r w:rsidRPr="00A73B7A">
        <w:rPr>
          <w:lang w:val="ru-RU"/>
        </w:rPr>
        <w:t>4</w:t>
      </w:r>
      <w:r w:rsidRPr="00A73B7A">
        <w:t xml:space="preserve"> г. по бюджета на съдебната власт са отчетени </w:t>
      </w:r>
      <w:r w:rsidRPr="00A73B7A">
        <w:rPr>
          <w:b/>
        </w:rPr>
        <w:t>приходи</w:t>
      </w:r>
      <w:r w:rsidRPr="00A73B7A">
        <w:t xml:space="preserve"> в размер на </w:t>
      </w:r>
      <w:r w:rsidR="00A73B7A" w:rsidRPr="00A73B7A">
        <w:rPr>
          <w:lang w:val="ru-RU"/>
        </w:rPr>
        <w:t>120,0</w:t>
      </w:r>
      <w:r w:rsidRPr="00A73B7A">
        <w:t xml:space="preserve"> млн. лв., от които </w:t>
      </w:r>
      <w:r w:rsidR="005E0873">
        <w:t>96,9</w:t>
      </w:r>
      <w:r w:rsidRPr="00A73B7A">
        <w:t xml:space="preserve"> млн. лв. - приходи от съдебни такси. За сравнение, </w:t>
      </w:r>
      <w:r w:rsidR="00A73B7A" w:rsidRPr="00A73B7A">
        <w:t xml:space="preserve">за </w:t>
      </w:r>
      <w:r w:rsidRPr="00A73B7A">
        <w:t xml:space="preserve">2023 г. са отчетени общо приходи в размер на </w:t>
      </w:r>
      <w:r w:rsidR="00A73B7A" w:rsidRPr="00A73B7A">
        <w:t>100,0</w:t>
      </w:r>
      <w:r w:rsidRPr="00A73B7A">
        <w:t xml:space="preserve"> млн. лв., от които </w:t>
      </w:r>
      <w:r w:rsidR="00A73B7A" w:rsidRPr="00A73B7A">
        <w:t>83,7</w:t>
      </w:r>
      <w:r w:rsidRPr="00A73B7A">
        <w:t xml:space="preserve"> млн. лв. - приходи от съдебни такси.</w:t>
      </w:r>
    </w:p>
    <w:p w:rsidR="00E943D4" w:rsidRPr="00E65191" w:rsidRDefault="00E943D4" w:rsidP="00E943D4">
      <w:pPr>
        <w:tabs>
          <w:tab w:val="left" w:pos="90"/>
        </w:tabs>
        <w:spacing w:before="120"/>
        <w:jc w:val="both"/>
      </w:pPr>
      <w:r w:rsidRPr="00E65191">
        <w:rPr>
          <w:b/>
        </w:rPr>
        <w:t xml:space="preserve">Разходите </w:t>
      </w:r>
      <w:r w:rsidRPr="00E65191">
        <w:t>по бюджета на съдебната власт</w:t>
      </w:r>
      <w:r w:rsidRPr="00E65191">
        <w:rPr>
          <w:b/>
        </w:rPr>
        <w:t xml:space="preserve"> </w:t>
      </w:r>
      <w:r w:rsidR="00C04A7E" w:rsidRPr="00E65191">
        <w:t xml:space="preserve">за </w:t>
      </w:r>
      <w:r w:rsidRPr="00E65191">
        <w:t>2024 г.</w:t>
      </w:r>
      <w:r w:rsidRPr="00E65191">
        <w:rPr>
          <w:b/>
        </w:rPr>
        <w:t xml:space="preserve"> </w:t>
      </w:r>
      <w:r w:rsidRPr="00E65191">
        <w:t xml:space="preserve">са в размер на </w:t>
      </w:r>
      <w:r w:rsidR="00C04A7E" w:rsidRPr="00E65191">
        <w:t>1 234,8</w:t>
      </w:r>
      <w:r w:rsidRPr="00E65191">
        <w:t xml:space="preserve"> млн. лв., като с най-голям относителен дял от отчетените разходи са тези за персонал – </w:t>
      </w:r>
      <w:r w:rsidR="00C04A7E" w:rsidRPr="00E65191">
        <w:t>91,4</w:t>
      </w:r>
      <w:r w:rsidRPr="00E65191">
        <w:t xml:space="preserve"> % (</w:t>
      </w:r>
      <w:r w:rsidR="00C04A7E" w:rsidRPr="00E65191">
        <w:t>1 128,9</w:t>
      </w:r>
      <w:r w:rsidRPr="00E65191">
        <w:t xml:space="preserve"> млн. лв.). За сравнение, през 2023 г. са отчетени общо разходи в размер </w:t>
      </w:r>
      <w:r w:rsidR="00E65191" w:rsidRPr="00E65191">
        <w:t>1 060,6</w:t>
      </w:r>
      <w:r w:rsidRPr="00E65191">
        <w:t xml:space="preserve"> млн. лева.</w:t>
      </w:r>
    </w:p>
    <w:p w:rsidR="00162F31" w:rsidRPr="001E6F9F" w:rsidRDefault="00162F31" w:rsidP="00E86EAF">
      <w:pPr>
        <w:pStyle w:val="Heading1"/>
        <w:numPr>
          <w:ilvl w:val="0"/>
          <w:numId w:val="8"/>
        </w:numPr>
        <w:tabs>
          <w:tab w:val="left" w:pos="90"/>
          <w:tab w:val="left" w:pos="993"/>
        </w:tabs>
        <w:spacing w:before="240" w:after="120"/>
        <w:ind w:left="0" w:right="-108" w:firstLine="567"/>
        <w:jc w:val="both"/>
        <w:rPr>
          <w:sz w:val="24"/>
        </w:rPr>
      </w:pPr>
      <w:r w:rsidRPr="001E6F9F">
        <w:rPr>
          <w:sz w:val="24"/>
        </w:rPr>
        <w:t>Просрочени задължения</w:t>
      </w:r>
    </w:p>
    <w:p w:rsidR="0048659B" w:rsidRPr="006E7134" w:rsidRDefault="0048659B" w:rsidP="0048659B">
      <w:pPr>
        <w:spacing w:after="120"/>
        <w:jc w:val="both"/>
        <w:rPr>
          <w:color w:val="0070C0"/>
        </w:rPr>
      </w:pPr>
      <w:r w:rsidRPr="001E6F9F">
        <w:t xml:space="preserve">Към </w:t>
      </w:r>
      <w:r w:rsidR="001E6F9F" w:rsidRPr="001E6F9F">
        <w:rPr>
          <w:lang w:val="ru-RU"/>
        </w:rPr>
        <w:t>31</w:t>
      </w:r>
      <w:r w:rsidRPr="001E6F9F">
        <w:t>.</w:t>
      </w:r>
      <w:r w:rsidR="001E6F9F" w:rsidRPr="001E6F9F">
        <w:rPr>
          <w:lang w:val="ru-RU"/>
        </w:rPr>
        <w:t>12</w:t>
      </w:r>
      <w:r w:rsidRPr="001E6F9F">
        <w:t xml:space="preserve">.2024 г. просрочените задължения на централно и местно правителство са в размер на </w:t>
      </w:r>
      <w:r w:rsidR="0024562D">
        <w:rPr>
          <w:b/>
        </w:rPr>
        <w:t>404,</w:t>
      </w:r>
      <w:r w:rsidR="00DC30AF">
        <w:rPr>
          <w:b/>
        </w:rPr>
        <w:t>2</w:t>
      </w:r>
      <w:r w:rsidRPr="006936E5">
        <w:rPr>
          <w:b/>
        </w:rPr>
        <w:t xml:space="preserve"> млн. лева.</w:t>
      </w:r>
      <w:r w:rsidRPr="006936E5">
        <w:t xml:space="preserve"> </w:t>
      </w:r>
    </w:p>
    <w:p w:rsidR="0048659B" w:rsidRPr="006E7134" w:rsidRDefault="0048659B" w:rsidP="0048659B">
      <w:pPr>
        <w:spacing w:before="120"/>
        <w:jc w:val="both"/>
        <w:rPr>
          <w:noProof/>
          <w:color w:val="0070C0"/>
        </w:rPr>
      </w:pPr>
      <w:r w:rsidRPr="001E6F9F">
        <w:t xml:space="preserve">Размерът на просрочените задължения </w:t>
      </w:r>
      <w:r w:rsidR="00D92B04">
        <w:rPr>
          <w:lang w:val="en-US"/>
        </w:rPr>
        <w:t>(</w:t>
      </w:r>
      <w:r w:rsidR="00D92B04">
        <w:t xml:space="preserve">неразплатени в срок задължения)  на </w:t>
      </w:r>
      <w:r w:rsidRPr="001E6F9F">
        <w:t>министерства</w:t>
      </w:r>
      <w:r w:rsidR="00D92B04">
        <w:t>та</w:t>
      </w:r>
      <w:r w:rsidRPr="001E6F9F">
        <w:t>, ведомства</w:t>
      </w:r>
      <w:r w:rsidR="00D92B04">
        <w:t>та</w:t>
      </w:r>
      <w:r w:rsidRPr="001E6F9F">
        <w:t xml:space="preserve"> и разпоредителите с бюджет по чл. 13, ал. 3 и ал. 4 на ЗПФ е</w:t>
      </w:r>
      <w:r w:rsidRPr="001E6F9F">
        <w:rPr>
          <w:b/>
        </w:rPr>
        <w:t xml:space="preserve"> </w:t>
      </w:r>
      <w:r w:rsidR="005001A2" w:rsidRPr="005001A2">
        <w:rPr>
          <w:b/>
        </w:rPr>
        <w:t>185,</w:t>
      </w:r>
      <w:r w:rsidR="00084132">
        <w:rPr>
          <w:b/>
        </w:rPr>
        <w:t>6</w:t>
      </w:r>
      <w:r w:rsidRPr="005001A2">
        <w:rPr>
          <w:b/>
        </w:rPr>
        <w:t xml:space="preserve"> млн. лева. </w:t>
      </w:r>
      <w:r w:rsidRPr="00A91549">
        <w:t xml:space="preserve">Спрямо отчетените в края на </w:t>
      </w:r>
      <w:r w:rsidRPr="00FC2244">
        <w:t xml:space="preserve">2023 г. те намаляват с </w:t>
      </w:r>
      <w:r w:rsidR="007232BD">
        <w:t>44,9</w:t>
      </w:r>
      <w:r w:rsidRPr="00FC2244">
        <w:t xml:space="preserve"> млн. лева. </w:t>
      </w:r>
      <w:r w:rsidRPr="00FA6BBE">
        <w:t xml:space="preserve">В обхвата на държавния бюджет по-значими проблеми с наличие на просрочени задължения има </w:t>
      </w:r>
      <w:r w:rsidRPr="00FA6BBE">
        <w:rPr>
          <w:bCs/>
        </w:rPr>
        <w:t>при следните министерства</w:t>
      </w:r>
      <w:r w:rsidRPr="00FA6BBE">
        <w:t xml:space="preserve">: </w:t>
      </w:r>
      <w:r w:rsidRPr="00FA6BBE">
        <w:rPr>
          <w:bCs/>
        </w:rPr>
        <w:t xml:space="preserve">Министерството на регионалното развитие и благоустройството – </w:t>
      </w:r>
      <w:r w:rsidR="00FA6BBE">
        <w:rPr>
          <w:bCs/>
        </w:rPr>
        <w:t>141,7</w:t>
      </w:r>
      <w:r w:rsidRPr="00FA6BBE">
        <w:rPr>
          <w:bCs/>
        </w:rPr>
        <w:t xml:space="preserve"> млн. лв</w:t>
      </w:r>
      <w:r w:rsidRPr="00340FAC">
        <w:rPr>
          <w:bCs/>
        </w:rPr>
        <w:t xml:space="preserve">. </w:t>
      </w:r>
      <w:r w:rsidRPr="00340FAC">
        <w:rPr>
          <w:noProof/>
        </w:rPr>
        <w:t xml:space="preserve">(намаление с </w:t>
      </w:r>
      <w:r w:rsidR="00463762" w:rsidRPr="00340FAC">
        <w:rPr>
          <w:noProof/>
        </w:rPr>
        <w:t>39,0</w:t>
      </w:r>
      <w:r w:rsidRPr="00340FAC">
        <w:rPr>
          <w:noProof/>
        </w:rPr>
        <w:t xml:space="preserve"> млн. лв.</w:t>
      </w:r>
      <w:r w:rsidRPr="00340FAC">
        <w:t xml:space="preserve"> спрямо просрочията в края на 2023 г. </w:t>
      </w:r>
      <w:r w:rsidR="00F11D75" w:rsidRPr="00F11D75">
        <w:t xml:space="preserve">и представляват просрочени задължения за извършени и приети дейности по </w:t>
      </w:r>
      <w:r w:rsidRPr="00F11D75">
        <w:rPr>
          <w:noProof/>
        </w:rPr>
        <w:t xml:space="preserve">договори за текущ ремонт и поддържане на републиканските </w:t>
      </w:r>
      <w:r w:rsidRPr="00F11D75">
        <w:rPr>
          <w:noProof/>
        </w:rPr>
        <w:lastRenderedPageBreak/>
        <w:t>пътища, в</w:t>
      </w:r>
      <w:r w:rsidR="00F11D75" w:rsidRPr="00F11D75">
        <w:rPr>
          <w:noProof/>
        </w:rPr>
        <w:t xml:space="preserve"> </w:t>
      </w:r>
      <w:r w:rsidR="00F11D75" w:rsidRPr="00F11D75">
        <w:t xml:space="preserve">т.ч. </w:t>
      </w:r>
      <w:r w:rsidRPr="00F11D75">
        <w:rPr>
          <w:noProof/>
        </w:rPr>
        <w:t xml:space="preserve">и зимно </w:t>
      </w:r>
      <w:r w:rsidRPr="00A44F24">
        <w:rPr>
          <w:noProof/>
        </w:rPr>
        <w:t>поддържане</w:t>
      </w:r>
      <w:r w:rsidRPr="00A44F24">
        <w:t>)</w:t>
      </w:r>
      <w:r w:rsidRPr="00A44F24">
        <w:rPr>
          <w:lang w:val="ru-RU"/>
        </w:rPr>
        <w:t xml:space="preserve">; </w:t>
      </w:r>
      <w:r w:rsidRPr="00A44F24">
        <w:rPr>
          <w:noProof/>
        </w:rPr>
        <w:t xml:space="preserve">Министерството на земеделието и храните – </w:t>
      </w:r>
      <w:r w:rsidR="002B4BCF" w:rsidRPr="00A44F24">
        <w:rPr>
          <w:noProof/>
        </w:rPr>
        <w:t>11,4</w:t>
      </w:r>
      <w:r w:rsidRPr="00A44F24">
        <w:rPr>
          <w:noProof/>
        </w:rPr>
        <w:t xml:space="preserve"> млн. лв. (намаление с </w:t>
      </w:r>
      <w:r w:rsidR="00A44F24" w:rsidRPr="00A44F24">
        <w:rPr>
          <w:noProof/>
        </w:rPr>
        <w:t>11,7</w:t>
      </w:r>
      <w:r w:rsidRPr="00A44F24">
        <w:rPr>
          <w:noProof/>
        </w:rPr>
        <w:t> млн.</w:t>
      </w:r>
      <w:r w:rsidR="0087609D">
        <w:rPr>
          <w:noProof/>
        </w:rPr>
        <w:t> </w:t>
      </w:r>
      <w:r w:rsidRPr="00A44F24">
        <w:rPr>
          <w:noProof/>
        </w:rPr>
        <w:t xml:space="preserve">лв. </w:t>
      </w:r>
      <w:r w:rsidRPr="00A44F24">
        <w:t>спрямо просрочията в края на 2023 г.</w:t>
      </w:r>
      <w:r w:rsidR="00E93B8A" w:rsidRPr="00A44F24">
        <w:t xml:space="preserve">, като с най-голям относителен дял са задълженията на </w:t>
      </w:r>
      <w:r w:rsidR="00E93B8A" w:rsidRPr="00E93B8A">
        <w:t>Българска агенция по безопасност на храните</w:t>
      </w:r>
      <w:r w:rsidR="00E93B8A" w:rsidRPr="000C0CE1">
        <w:t xml:space="preserve"> </w:t>
      </w:r>
      <w:r w:rsidR="00E93B8A">
        <w:t>-</w:t>
      </w:r>
      <w:r w:rsidR="00E93B8A" w:rsidRPr="000C0CE1">
        <w:t xml:space="preserve"> 9,7 млн.</w:t>
      </w:r>
      <w:r w:rsidR="00E93B8A">
        <w:t xml:space="preserve"> лв.</w:t>
      </w:r>
      <w:r w:rsidR="00A92C55">
        <w:t>,</w:t>
      </w:r>
      <w:r w:rsidR="00E93B8A">
        <w:t xml:space="preserve"> основно</w:t>
      </w:r>
      <w:r w:rsidR="00E93B8A" w:rsidRPr="000C0CE1">
        <w:t xml:space="preserve"> просрочени задължения към доставчици</w:t>
      </w:r>
      <w:r w:rsidRPr="002B4BCF">
        <w:rPr>
          <w:noProof/>
        </w:rPr>
        <w:t xml:space="preserve">); </w:t>
      </w:r>
      <w:r w:rsidR="00140A9D" w:rsidRPr="0001183E">
        <w:rPr>
          <w:noProof/>
        </w:rPr>
        <w:t xml:space="preserve">Министерството на </w:t>
      </w:r>
      <w:r w:rsidR="00140A9D">
        <w:rPr>
          <w:noProof/>
        </w:rPr>
        <w:t>транспорта</w:t>
      </w:r>
      <w:r w:rsidR="00140A9D" w:rsidRPr="0001183E">
        <w:rPr>
          <w:noProof/>
        </w:rPr>
        <w:t xml:space="preserve"> – </w:t>
      </w:r>
      <w:r w:rsidR="00140A9D">
        <w:rPr>
          <w:noProof/>
        </w:rPr>
        <w:t>6,4</w:t>
      </w:r>
      <w:r w:rsidR="00140A9D" w:rsidRPr="0001183E">
        <w:rPr>
          <w:noProof/>
        </w:rPr>
        <w:t xml:space="preserve"> млн. лв. (</w:t>
      </w:r>
      <w:r w:rsidR="00140A9D" w:rsidRPr="00140A9D">
        <w:rPr>
          <w:noProof/>
        </w:rPr>
        <w:t xml:space="preserve">увеличение с 6,4 млн. лв. </w:t>
      </w:r>
      <w:r w:rsidR="00140A9D" w:rsidRPr="00140A9D">
        <w:t>спрямо</w:t>
      </w:r>
      <w:r w:rsidR="00140A9D" w:rsidRPr="00825423">
        <w:t xml:space="preserve"> отчетените в края на 2023 г.</w:t>
      </w:r>
      <w:r w:rsidR="00140A9D" w:rsidRPr="00825423">
        <w:rPr>
          <w:noProof/>
        </w:rPr>
        <w:t xml:space="preserve">, </w:t>
      </w:r>
      <w:r w:rsidR="00140A9D" w:rsidRPr="00193A82">
        <w:rPr>
          <w:noProof/>
        </w:rPr>
        <w:t xml:space="preserve">като това са основно </w:t>
      </w:r>
      <w:r w:rsidR="00140A9D" w:rsidRPr="00193A82">
        <w:t xml:space="preserve">просрочени задължения към доставчици </w:t>
      </w:r>
      <w:r w:rsidR="00193A82" w:rsidRPr="00193A82">
        <w:t>на ИА „Автомобилна администрация“</w:t>
      </w:r>
      <w:r w:rsidR="00140A9D" w:rsidRPr="00193A82">
        <w:t>;</w:t>
      </w:r>
      <w:r w:rsidR="00140A9D" w:rsidRPr="0001183E">
        <w:rPr>
          <w:noProof/>
        </w:rPr>
        <w:t xml:space="preserve"> </w:t>
      </w:r>
      <w:r w:rsidRPr="0001183E">
        <w:rPr>
          <w:noProof/>
        </w:rPr>
        <w:t xml:space="preserve">Министерството на отбраната – 3,1 млн. лв. (просрочията са близки по размер до отчетените в края </w:t>
      </w:r>
      <w:r w:rsidRPr="000E577C">
        <w:rPr>
          <w:noProof/>
        </w:rPr>
        <w:t xml:space="preserve">на 2023 г.), в т.ч. </w:t>
      </w:r>
      <w:r w:rsidR="0001183E" w:rsidRPr="000E577C">
        <w:rPr>
          <w:noProof/>
        </w:rPr>
        <w:t>2,9</w:t>
      </w:r>
      <w:r w:rsidRPr="000E577C">
        <w:rPr>
          <w:noProof/>
        </w:rPr>
        <w:t xml:space="preserve"> млн. лв. на ВМА. От разпоредителите с бюджет по чл. 13, ал. 3 на Закона за публичните финанси проблеми с наличието на просрочени задължения има основно при държавните висши училища </w:t>
      </w:r>
      <w:r w:rsidRPr="006E7134">
        <w:rPr>
          <w:noProof/>
          <w:color w:val="0070C0"/>
        </w:rPr>
        <w:t xml:space="preserve">– </w:t>
      </w:r>
      <w:r w:rsidR="00055769" w:rsidRPr="00055769">
        <w:rPr>
          <w:noProof/>
        </w:rPr>
        <w:t>5,2</w:t>
      </w:r>
      <w:r w:rsidRPr="00055769">
        <w:rPr>
          <w:noProof/>
        </w:rPr>
        <w:t xml:space="preserve"> млн. лв. (</w:t>
      </w:r>
      <w:r w:rsidR="00055769" w:rsidRPr="00F7395E">
        <w:rPr>
          <w:noProof/>
        </w:rPr>
        <w:t xml:space="preserve">просрочията са близки по размер </w:t>
      </w:r>
      <w:r w:rsidR="00055769" w:rsidRPr="00F7395E">
        <w:t>до</w:t>
      </w:r>
      <w:r w:rsidRPr="00F7395E">
        <w:t xml:space="preserve"> отчетените в края на 2023 г. и представляват задължения</w:t>
      </w:r>
      <w:r w:rsidRPr="00284112">
        <w:t xml:space="preserve"> за комунални услуги, неплатени данък сгради и такса смет на общините от Софийския университет „Св. Климент Охридски“, надвнесени такси от студенти и специализанти на Медицинския университет - София и просрочени </w:t>
      </w:r>
      <w:r w:rsidRPr="00825423">
        <w:t>задължения към МБАЛ "Света Марина" - Варна от Техническия университет Варна</w:t>
      </w:r>
      <w:r w:rsidRPr="00825423">
        <w:rPr>
          <w:noProof/>
        </w:rPr>
        <w:t xml:space="preserve">), Българската национална телевизия – </w:t>
      </w:r>
      <w:r w:rsidR="00825423" w:rsidRPr="00825423">
        <w:rPr>
          <w:noProof/>
        </w:rPr>
        <w:t>8,4</w:t>
      </w:r>
      <w:r w:rsidRPr="00825423">
        <w:rPr>
          <w:noProof/>
        </w:rPr>
        <w:t xml:space="preserve"> млн. лв. </w:t>
      </w:r>
      <w:r w:rsidRPr="00790C55">
        <w:rPr>
          <w:noProof/>
        </w:rPr>
        <w:t xml:space="preserve">(увеличение с </w:t>
      </w:r>
      <w:r w:rsidR="00825423" w:rsidRPr="00790C55">
        <w:rPr>
          <w:noProof/>
          <w:lang w:val="en-US"/>
        </w:rPr>
        <w:t>2</w:t>
      </w:r>
      <w:r w:rsidR="00825423" w:rsidRPr="00790C55">
        <w:rPr>
          <w:noProof/>
        </w:rPr>
        <w:t>,6</w:t>
      </w:r>
      <w:r w:rsidRPr="00790C55">
        <w:rPr>
          <w:noProof/>
        </w:rPr>
        <w:t xml:space="preserve"> млн. лв. </w:t>
      </w:r>
      <w:r w:rsidRPr="00790C55">
        <w:t>спрямо отчетените в края на 2023 г.</w:t>
      </w:r>
      <w:r w:rsidRPr="00790C55">
        <w:rPr>
          <w:noProof/>
        </w:rPr>
        <w:t xml:space="preserve">, като това са основно </w:t>
      </w:r>
      <w:r w:rsidRPr="00790C55">
        <w:t>просрочени задължения към доставчици</w:t>
      </w:r>
      <w:r w:rsidRPr="007656E9">
        <w:t xml:space="preserve"> в страната) и </w:t>
      </w:r>
      <w:r w:rsidRPr="007656E9">
        <w:rPr>
          <w:noProof/>
        </w:rPr>
        <w:t xml:space="preserve">Българското </w:t>
      </w:r>
      <w:r w:rsidRPr="000779A6">
        <w:rPr>
          <w:noProof/>
        </w:rPr>
        <w:t>национало радио – 2,</w:t>
      </w:r>
      <w:r w:rsidR="007656E9" w:rsidRPr="000779A6">
        <w:rPr>
          <w:noProof/>
        </w:rPr>
        <w:t>6</w:t>
      </w:r>
      <w:r w:rsidRPr="000779A6">
        <w:rPr>
          <w:noProof/>
        </w:rPr>
        <w:t xml:space="preserve"> млн. лв</w:t>
      </w:r>
      <w:r w:rsidRPr="00EC58C7">
        <w:rPr>
          <w:noProof/>
        </w:rPr>
        <w:t>. (</w:t>
      </w:r>
      <w:r w:rsidR="007656E9" w:rsidRPr="00EC58C7">
        <w:rPr>
          <w:noProof/>
        </w:rPr>
        <w:t>просрочията са близки по размер</w:t>
      </w:r>
      <w:r w:rsidR="007656E9" w:rsidRPr="000779A6">
        <w:rPr>
          <w:noProof/>
        </w:rPr>
        <w:t xml:space="preserve"> до тези</w:t>
      </w:r>
      <w:r w:rsidRPr="000779A6">
        <w:rPr>
          <w:noProof/>
        </w:rPr>
        <w:t xml:space="preserve"> в края на 2023 г.</w:t>
      </w:r>
      <w:r w:rsidRPr="000779A6">
        <w:t xml:space="preserve">, като това са основно </w:t>
      </w:r>
      <w:r w:rsidRPr="000779A6">
        <w:rPr>
          <w:szCs w:val="20"/>
        </w:rPr>
        <w:t xml:space="preserve">просрочени задължения за данъци, вноски, такси и административни санкции към </w:t>
      </w:r>
      <w:r w:rsidRPr="00B53465">
        <w:rPr>
          <w:szCs w:val="20"/>
        </w:rPr>
        <w:t xml:space="preserve">Столична община за такса битови отпадъци за минали периоди, в т.ч. </w:t>
      </w:r>
      <w:r w:rsidRPr="00B53465">
        <w:rPr>
          <w:szCs w:val="20"/>
          <w:lang w:val="ru-RU"/>
        </w:rPr>
        <w:t>1</w:t>
      </w:r>
      <w:r w:rsidRPr="00B53465">
        <w:rPr>
          <w:szCs w:val="20"/>
        </w:rPr>
        <w:t>,4 млн. лв. за лихви</w:t>
      </w:r>
      <w:r w:rsidRPr="00B53465">
        <w:t>)</w:t>
      </w:r>
      <w:r w:rsidRPr="00B53465">
        <w:rPr>
          <w:noProof/>
        </w:rPr>
        <w:t>. От разпоредителите с бюджет по чл. 13, ал. 4 на Закона за публичните финанси проблеми наличие на просрочени задължения има при Държавно предприятие „Научно-производствен център“ – 2,4 млн</w:t>
      </w:r>
      <w:r w:rsidRPr="002C7126">
        <w:rPr>
          <w:noProof/>
        </w:rPr>
        <w:t xml:space="preserve">. лв. (увеличение с 0,4 млн. лв. </w:t>
      </w:r>
      <w:r w:rsidRPr="002C7126">
        <w:t>спрямо отчетените в края на 2023</w:t>
      </w:r>
      <w:r w:rsidR="00194B83">
        <w:t> </w:t>
      </w:r>
      <w:r w:rsidRPr="002C7126">
        <w:t>г.</w:t>
      </w:r>
      <w:r w:rsidRPr="002C7126">
        <w:rPr>
          <w:lang w:val="ru-RU"/>
        </w:rPr>
        <w:t>)</w:t>
      </w:r>
      <w:r w:rsidR="00BA1942" w:rsidRPr="002C7126">
        <w:rPr>
          <w:lang w:val="ru-RU"/>
        </w:rPr>
        <w:t xml:space="preserve">, представляващи основно просрочия за </w:t>
      </w:r>
      <w:r w:rsidR="00BA1942" w:rsidRPr="002C7126">
        <w:t>осигурителни вноски и данъци към МЗХ</w:t>
      </w:r>
      <w:r w:rsidR="00BA1942" w:rsidRPr="002C7126">
        <w:rPr>
          <w:lang w:val="ru-RU"/>
        </w:rPr>
        <w:t xml:space="preserve"> </w:t>
      </w:r>
      <w:r w:rsidRPr="002C7126">
        <w:t>.</w:t>
      </w:r>
    </w:p>
    <w:p w:rsidR="0048659B" w:rsidRPr="006E7134" w:rsidRDefault="0048659B" w:rsidP="0048659B">
      <w:pPr>
        <w:spacing w:before="120" w:after="120"/>
        <w:jc w:val="both"/>
        <w:rPr>
          <w:noProof/>
          <w:color w:val="0070C0"/>
        </w:rPr>
      </w:pPr>
      <w:r w:rsidRPr="001B7DE8">
        <w:rPr>
          <w:noProof/>
        </w:rPr>
        <w:t xml:space="preserve">Просрочените задължения по </w:t>
      </w:r>
      <w:r w:rsidRPr="001B7DE8">
        <w:rPr>
          <w:b/>
          <w:noProof/>
        </w:rPr>
        <w:t>бюджетите на общините</w:t>
      </w:r>
      <w:r w:rsidRPr="001B7DE8">
        <w:rPr>
          <w:noProof/>
        </w:rPr>
        <w:t xml:space="preserve"> към </w:t>
      </w:r>
      <w:r w:rsidR="00CC0133" w:rsidRPr="001B7DE8">
        <w:rPr>
          <w:lang w:val="ru-RU"/>
        </w:rPr>
        <w:t>31</w:t>
      </w:r>
      <w:r w:rsidRPr="001B7DE8">
        <w:t>.</w:t>
      </w:r>
      <w:r w:rsidR="00CC0133" w:rsidRPr="001B7DE8">
        <w:rPr>
          <w:lang w:val="ru-RU"/>
        </w:rPr>
        <w:t>12</w:t>
      </w:r>
      <w:r w:rsidRPr="001B7DE8">
        <w:t xml:space="preserve">.2024 г. </w:t>
      </w:r>
      <w:r w:rsidRPr="001B7DE8">
        <w:rPr>
          <w:noProof/>
        </w:rPr>
        <w:t xml:space="preserve">са в размер на </w:t>
      </w:r>
      <w:r w:rsidR="001B7DE8" w:rsidRPr="00984491">
        <w:rPr>
          <w:b/>
          <w:noProof/>
          <w:lang w:val="ru-RU"/>
        </w:rPr>
        <w:t>218,6</w:t>
      </w:r>
      <w:r w:rsidRPr="00984491">
        <w:rPr>
          <w:b/>
          <w:noProof/>
        </w:rPr>
        <w:t> млн. лв.,</w:t>
      </w:r>
      <w:r w:rsidRPr="00984491">
        <w:rPr>
          <w:noProof/>
        </w:rPr>
        <w:t xml:space="preserve"> като спрямо </w:t>
      </w:r>
      <w:r w:rsidRPr="00984491">
        <w:t xml:space="preserve">2023 г. </w:t>
      </w:r>
      <w:r w:rsidRPr="00984491">
        <w:rPr>
          <w:noProof/>
        </w:rPr>
        <w:t xml:space="preserve">се отчита </w:t>
      </w:r>
      <w:r w:rsidR="001B7DE8" w:rsidRPr="00984491">
        <w:rPr>
          <w:noProof/>
        </w:rPr>
        <w:t>увеличение с 60,4 млн. лева</w:t>
      </w:r>
      <w:r w:rsidRPr="00984491">
        <w:rPr>
          <w:noProof/>
        </w:rPr>
        <w:t xml:space="preserve">. С най-голям относителен дял в просрочените задължения по бюджетите на общините </w:t>
      </w:r>
      <w:r w:rsidR="00984491" w:rsidRPr="00984491">
        <w:rPr>
          <w:noProof/>
        </w:rPr>
        <w:t xml:space="preserve">за </w:t>
      </w:r>
      <w:r w:rsidRPr="00984491">
        <w:rPr>
          <w:noProof/>
        </w:rPr>
        <w:t xml:space="preserve">2024 г. са просрочените задължения към доставчици, които са в размер на </w:t>
      </w:r>
      <w:r w:rsidR="00984491" w:rsidRPr="00984491">
        <w:rPr>
          <w:noProof/>
        </w:rPr>
        <w:t>127,7</w:t>
      </w:r>
      <w:r w:rsidRPr="00984491">
        <w:rPr>
          <w:noProof/>
        </w:rPr>
        <w:t xml:space="preserve"> млн. лева. В делегираните от държавата дейности просрочените задължения са в размер на </w:t>
      </w:r>
      <w:r w:rsidR="00984491" w:rsidRPr="00984491">
        <w:rPr>
          <w:noProof/>
        </w:rPr>
        <w:t>8</w:t>
      </w:r>
      <w:r w:rsidRPr="00984491">
        <w:rPr>
          <w:noProof/>
        </w:rPr>
        <w:t>,9 млн. лева.</w:t>
      </w:r>
    </w:p>
    <w:p w:rsidR="0048659B" w:rsidRPr="00677C2C" w:rsidRDefault="00677C2C" w:rsidP="0048659B">
      <w:pPr>
        <w:spacing w:after="120"/>
        <w:jc w:val="both"/>
        <w:rPr>
          <w:lang w:val="en-US"/>
        </w:rPr>
      </w:pPr>
      <w:r w:rsidRPr="00677C2C">
        <w:rPr>
          <w:noProof/>
        </w:rPr>
        <w:t>Извън обхвата на консолидираната фискална програма, продължава да има просрочени задължения на лечебните заведения за болнична помощ (държавни и общински болници – търговски дружества). Към 31.12.2024 г. размерът на просрочените задължения е 32,5 млн. лв., от които 20,2 млн. лв. са на държавните болници и 12,3 млн. лв. са на общинските болници. Спрямо просрочените задължения на болниците с преобладаващо дъжавно и общинско участие в капитала към 31.12.2023 г. се отчита намаление с 23,8 млн. лв. (с 42 на сто)</w:t>
      </w:r>
      <w:r w:rsidRPr="00677C2C">
        <w:t>, което се дължи основно на предоставен заем през 2024 г. от Министерството на здравеопазването на МБАЛ „Лозенец“ ЕАД в размер на 25 млн. лв.</w:t>
      </w:r>
    </w:p>
    <w:p w:rsidR="00F521AA" w:rsidRPr="00846952" w:rsidRDefault="00F521AA" w:rsidP="00E86EAF">
      <w:pPr>
        <w:pStyle w:val="Heading1"/>
        <w:numPr>
          <w:ilvl w:val="0"/>
          <w:numId w:val="8"/>
        </w:numPr>
        <w:tabs>
          <w:tab w:val="left" w:pos="90"/>
          <w:tab w:val="left" w:pos="993"/>
        </w:tabs>
        <w:spacing w:before="240" w:after="120"/>
        <w:ind w:left="0" w:right="-108" w:firstLine="567"/>
        <w:jc w:val="both"/>
        <w:rPr>
          <w:sz w:val="24"/>
        </w:rPr>
      </w:pPr>
      <w:r w:rsidRPr="00846952">
        <w:rPr>
          <w:sz w:val="24"/>
        </w:rPr>
        <w:t xml:space="preserve">Сметки за средства от ЕС на Разплащателната агенция към ДФ „Земеделие“ и на Националния фонд към Министерството на финансите </w:t>
      </w:r>
    </w:p>
    <w:p w:rsidR="00F521AA" w:rsidRPr="00846952" w:rsidRDefault="00F521AA" w:rsidP="00E86EAF">
      <w:pPr>
        <w:pStyle w:val="Heading1"/>
        <w:numPr>
          <w:ilvl w:val="1"/>
          <w:numId w:val="8"/>
        </w:numPr>
        <w:tabs>
          <w:tab w:val="left" w:pos="90"/>
          <w:tab w:val="left" w:pos="993"/>
        </w:tabs>
        <w:spacing w:before="120" w:after="120"/>
        <w:ind w:left="0" w:right="-108" w:firstLine="567"/>
        <w:jc w:val="both"/>
        <w:rPr>
          <w:sz w:val="24"/>
        </w:rPr>
      </w:pPr>
      <w:r w:rsidRPr="00846952">
        <w:rPr>
          <w:sz w:val="24"/>
        </w:rPr>
        <w:t xml:space="preserve"> Сметка за Европейски средства на Разплащателна агенция </w:t>
      </w:r>
      <w:r w:rsidR="00924745" w:rsidRPr="00846952">
        <w:rPr>
          <w:sz w:val="24"/>
        </w:rPr>
        <w:t xml:space="preserve">ДФ „Земеделие“ </w:t>
      </w:r>
      <w:r w:rsidRPr="00846952">
        <w:rPr>
          <w:sz w:val="24"/>
        </w:rPr>
        <w:t xml:space="preserve"> </w:t>
      </w:r>
    </w:p>
    <w:p w:rsidR="00F234AC" w:rsidRPr="00EC33EC" w:rsidRDefault="00F234AC" w:rsidP="00E86EAF">
      <w:pPr>
        <w:numPr>
          <w:ilvl w:val="0"/>
          <w:numId w:val="17"/>
        </w:numPr>
        <w:spacing w:before="120" w:after="120" w:line="276" w:lineRule="auto"/>
        <w:ind w:left="777" w:hanging="357"/>
        <w:jc w:val="both"/>
        <w:rPr>
          <w:b/>
          <w:lang w:eastAsia="bg-BG"/>
        </w:rPr>
      </w:pPr>
      <w:r w:rsidRPr="00EC33EC">
        <w:rPr>
          <w:b/>
          <w:lang w:eastAsia="bg-BG"/>
        </w:rPr>
        <w:t>Приходи</w:t>
      </w:r>
    </w:p>
    <w:p w:rsidR="00EC33EC" w:rsidRPr="004677E6" w:rsidRDefault="00EC33EC" w:rsidP="008A3562">
      <w:pPr>
        <w:ind w:firstLine="567"/>
        <w:jc w:val="both"/>
      </w:pPr>
      <w:r w:rsidRPr="004677E6">
        <w:t>За 2024</w:t>
      </w:r>
      <w:r>
        <w:t xml:space="preserve"> </w:t>
      </w:r>
      <w:r w:rsidRPr="004677E6">
        <w:t>г. планираните приходи по утвърдените актуализирани годишни разчети на сметката за средства от Европейския съюз на Разплащателната агенция към ДФ „Земеделие” са в размер на 613,5 млн.</w:t>
      </w:r>
      <w:r>
        <w:t xml:space="preserve"> </w:t>
      </w:r>
      <w:r w:rsidRPr="004677E6">
        <w:t>л</w:t>
      </w:r>
      <w:r>
        <w:t>е</w:t>
      </w:r>
      <w:r w:rsidRPr="004677E6">
        <w:t>в</w:t>
      </w:r>
      <w:r>
        <w:t>а</w:t>
      </w:r>
      <w:r w:rsidRPr="004677E6">
        <w:t>. Към 31.12.2024</w:t>
      </w:r>
      <w:r>
        <w:t xml:space="preserve"> </w:t>
      </w:r>
      <w:r w:rsidRPr="004677E6">
        <w:t>г. по отчетни данни, постъпленията са в размер на 613,3 млн.</w:t>
      </w:r>
      <w:r>
        <w:t xml:space="preserve"> </w:t>
      </w:r>
      <w:r w:rsidRPr="004677E6">
        <w:t>лв., което представлява 99,9</w:t>
      </w:r>
      <w:r>
        <w:t xml:space="preserve"> </w:t>
      </w:r>
      <w:r w:rsidRPr="004677E6">
        <w:t xml:space="preserve">% от годишния план. </w:t>
      </w:r>
      <w:r>
        <w:t>За 2023 г.</w:t>
      </w:r>
      <w:r w:rsidRPr="004677E6">
        <w:t xml:space="preserve"> отчетената сума в частта „Приходи“ е била 313,3 млн.</w:t>
      </w:r>
      <w:r>
        <w:t xml:space="preserve"> </w:t>
      </w:r>
      <w:r w:rsidRPr="004677E6">
        <w:t>л</w:t>
      </w:r>
      <w:r>
        <w:t>е</w:t>
      </w:r>
      <w:r w:rsidRPr="004677E6">
        <w:t>в</w:t>
      </w:r>
      <w:r>
        <w:t>а</w:t>
      </w:r>
      <w:r w:rsidRPr="004677E6">
        <w:t>.</w:t>
      </w:r>
    </w:p>
    <w:p w:rsidR="00EC33EC" w:rsidRPr="004677E6" w:rsidRDefault="00EC33EC" w:rsidP="008A3562">
      <w:pPr>
        <w:tabs>
          <w:tab w:val="left" w:pos="709"/>
        </w:tabs>
        <w:ind w:firstLine="567"/>
        <w:jc w:val="both"/>
      </w:pPr>
      <w:r w:rsidRPr="004677E6">
        <w:t>Приходната част е формирана от приходи от наказателни лихви, помощи и дарения от чужбина и коректив на касови постъпления, както следва:</w:t>
      </w:r>
    </w:p>
    <w:p w:rsidR="00EC33EC" w:rsidRPr="004677E6" w:rsidRDefault="00EC33EC" w:rsidP="00EC33EC">
      <w:pPr>
        <w:numPr>
          <w:ilvl w:val="0"/>
          <w:numId w:val="16"/>
        </w:numPr>
        <w:tabs>
          <w:tab w:val="left" w:pos="993"/>
        </w:tabs>
        <w:spacing w:before="120" w:after="120"/>
        <w:ind w:left="1321" w:hanging="612"/>
        <w:jc w:val="both"/>
        <w:rPr>
          <w:b/>
          <w:i/>
        </w:rPr>
      </w:pPr>
      <w:r w:rsidRPr="004677E6">
        <w:rPr>
          <w:b/>
          <w:i/>
        </w:rPr>
        <w:t>Приходи от наказателни лихви</w:t>
      </w:r>
    </w:p>
    <w:p w:rsidR="00EC33EC" w:rsidRPr="004677E6" w:rsidRDefault="00EC33EC" w:rsidP="008A3562">
      <w:pPr>
        <w:ind w:firstLine="567"/>
        <w:jc w:val="both"/>
      </w:pPr>
      <w:r>
        <w:t>През</w:t>
      </w:r>
      <w:r w:rsidRPr="004677E6">
        <w:t xml:space="preserve"> 2024</w:t>
      </w:r>
      <w:r>
        <w:t xml:space="preserve"> </w:t>
      </w:r>
      <w:r w:rsidRPr="004677E6">
        <w:t>г. са отчетени приходи от получени наказателни лихви, свързани с вземания за възстановяване на средства от ЕК в размер на 1,4  млн.</w:t>
      </w:r>
      <w:r>
        <w:t xml:space="preserve"> </w:t>
      </w:r>
      <w:r w:rsidRPr="004677E6">
        <w:t>лв. при план  от 1,2 млн.</w:t>
      </w:r>
      <w:r>
        <w:t xml:space="preserve"> </w:t>
      </w:r>
      <w:r w:rsidRPr="004677E6">
        <w:t>л</w:t>
      </w:r>
      <w:r>
        <w:t>е</w:t>
      </w:r>
      <w:r w:rsidRPr="004677E6">
        <w:t>в</w:t>
      </w:r>
      <w:r>
        <w:t>а</w:t>
      </w:r>
      <w:r w:rsidRPr="004677E6">
        <w:t>.</w:t>
      </w:r>
    </w:p>
    <w:p w:rsidR="00EC33EC" w:rsidRPr="004677E6" w:rsidRDefault="00EC33EC" w:rsidP="00EC33EC">
      <w:pPr>
        <w:numPr>
          <w:ilvl w:val="0"/>
          <w:numId w:val="16"/>
        </w:numPr>
        <w:tabs>
          <w:tab w:val="left" w:pos="993"/>
        </w:tabs>
        <w:spacing w:before="120" w:after="120"/>
        <w:ind w:left="1321" w:hanging="612"/>
        <w:jc w:val="both"/>
        <w:rPr>
          <w:b/>
          <w:i/>
        </w:rPr>
      </w:pPr>
      <w:r w:rsidRPr="004677E6">
        <w:rPr>
          <w:b/>
          <w:i/>
        </w:rPr>
        <w:lastRenderedPageBreak/>
        <w:t>Текущи помощи и дарения от Европейския съюз</w:t>
      </w:r>
    </w:p>
    <w:p w:rsidR="00EC33EC" w:rsidRPr="004677E6" w:rsidRDefault="00EC33EC" w:rsidP="008A3562">
      <w:pPr>
        <w:ind w:firstLine="567"/>
        <w:jc w:val="both"/>
      </w:pPr>
      <w:r w:rsidRPr="004677E6">
        <w:t>Общият размер на получените приходи, отчетени в „Текущи помощи и дарения от Европейския съюз“, към 31.12.2024</w:t>
      </w:r>
      <w:r>
        <w:t xml:space="preserve"> </w:t>
      </w:r>
      <w:r w:rsidRPr="004677E6">
        <w:t>г. е 64,3 млн.</w:t>
      </w:r>
      <w:r>
        <w:t xml:space="preserve"> </w:t>
      </w:r>
      <w:r w:rsidRPr="004677E6">
        <w:t>лв., при планирани за годината средства в размер на 60,4 млн.</w:t>
      </w:r>
      <w:r>
        <w:t xml:space="preserve"> </w:t>
      </w:r>
      <w:r w:rsidRPr="004677E6">
        <w:t>л</w:t>
      </w:r>
      <w:r>
        <w:t>е</w:t>
      </w:r>
      <w:r w:rsidRPr="004677E6">
        <w:t>в</w:t>
      </w:r>
      <w:r>
        <w:t>а</w:t>
      </w:r>
      <w:r w:rsidRPr="004677E6">
        <w:t>.</w:t>
      </w:r>
    </w:p>
    <w:p w:rsidR="00EC33EC" w:rsidRPr="004677E6" w:rsidRDefault="00EC33EC" w:rsidP="008A3562">
      <w:pPr>
        <w:ind w:firstLine="567"/>
        <w:jc w:val="both"/>
      </w:pPr>
      <w:r w:rsidRPr="004677E6">
        <w:t>Получените текущи приходи от възстановяване на средства от Европейски земеделски фонд за развитие на селските райони (ЕЗФРСР) по линия на Програмата за развитие на селските райони (ПРСР) без директни плащания към 31.12.2024</w:t>
      </w:r>
      <w:r>
        <w:t xml:space="preserve"> </w:t>
      </w:r>
      <w:r w:rsidRPr="004677E6">
        <w:t>г. възлизат на 39,2 млн.</w:t>
      </w:r>
      <w:r>
        <w:t xml:space="preserve"> </w:t>
      </w:r>
      <w:r w:rsidRPr="004677E6">
        <w:t>лв., което е 112</w:t>
      </w:r>
      <w:r>
        <w:t>,0 </w:t>
      </w:r>
      <w:r w:rsidRPr="004677E6">
        <w:t>% от планираните за годината 35</w:t>
      </w:r>
      <w:r>
        <w:t>,0</w:t>
      </w:r>
      <w:r w:rsidRPr="004677E6">
        <w:t xml:space="preserve"> млн.</w:t>
      </w:r>
      <w:r>
        <w:t xml:space="preserve"> </w:t>
      </w:r>
      <w:r w:rsidRPr="004677E6">
        <w:t>л</w:t>
      </w:r>
      <w:r>
        <w:t>е</w:t>
      </w:r>
      <w:r w:rsidRPr="004677E6">
        <w:t>в</w:t>
      </w:r>
      <w:r>
        <w:t>а</w:t>
      </w:r>
      <w:r w:rsidRPr="004677E6">
        <w:t>. За миналата година отчетените текущи приходи са били в размер на 54,9  млн.</w:t>
      </w:r>
      <w:r>
        <w:t xml:space="preserve"> </w:t>
      </w:r>
      <w:r w:rsidRPr="004677E6">
        <w:t>л</w:t>
      </w:r>
      <w:r>
        <w:t>е</w:t>
      </w:r>
      <w:r w:rsidRPr="004677E6">
        <w:t>в</w:t>
      </w:r>
      <w:r>
        <w:t>а</w:t>
      </w:r>
      <w:r w:rsidRPr="004677E6">
        <w:t>.</w:t>
      </w:r>
    </w:p>
    <w:p w:rsidR="00EC33EC" w:rsidRPr="004677E6" w:rsidRDefault="00EC33EC" w:rsidP="008A3562">
      <w:pPr>
        <w:ind w:firstLine="567"/>
        <w:jc w:val="both"/>
      </w:pPr>
      <w:r w:rsidRPr="004677E6">
        <w:t>Получените текущи приходи от възстановяване на средства по линия на схемите „Училищен плод“ и „Училищно мляко“ от Европейски фонд за гарантиране на земеделието (ЕФГЗ) към 31.12.2024</w:t>
      </w:r>
      <w:r>
        <w:t xml:space="preserve"> </w:t>
      </w:r>
      <w:r w:rsidRPr="004677E6">
        <w:t>г. са 6,2 млн.</w:t>
      </w:r>
      <w:r>
        <w:t xml:space="preserve"> </w:t>
      </w:r>
      <w:r w:rsidRPr="004677E6">
        <w:t xml:space="preserve">лв., което представлява </w:t>
      </w:r>
      <w:r>
        <w:t xml:space="preserve">изпълнение от </w:t>
      </w:r>
      <w:r w:rsidRPr="004677E6">
        <w:t>100</w:t>
      </w:r>
      <w:r>
        <w:t xml:space="preserve"> </w:t>
      </w:r>
      <w:r w:rsidRPr="004677E6">
        <w:t xml:space="preserve">% </w:t>
      </w:r>
      <w:r>
        <w:t>на</w:t>
      </w:r>
      <w:r w:rsidRPr="004677E6">
        <w:t xml:space="preserve"> план</w:t>
      </w:r>
      <w:r>
        <w:t>а</w:t>
      </w:r>
      <w:r w:rsidRPr="004677E6">
        <w:t xml:space="preserve">  за годината. За 2023</w:t>
      </w:r>
      <w:r>
        <w:t xml:space="preserve"> </w:t>
      </w:r>
      <w:r w:rsidRPr="004677E6">
        <w:t>г. по това направление са отчетени 5,8 млн.</w:t>
      </w:r>
      <w:r>
        <w:t xml:space="preserve"> </w:t>
      </w:r>
      <w:r w:rsidRPr="004677E6">
        <w:t>л</w:t>
      </w:r>
      <w:r>
        <w:t>е</w:t>
      </w:r>
      <w:r w:rsidRPr="004677E6">
        <w:t>в</w:t>
      </w:r>
      <w:r>
        <w:t>а</w:t>
      </w:r>
      <w:r w:rsidRPr="004677E6">
        <w:t>.</w:t>
      </w:r>
    </w:p>
    <w:p w:rsidR="00EC33EC" w:rsidRPr="004677E6" w:rsidRDefault="00EC33EC" w:rsidP="008A3562">
      <w:pPr>
        <w:ind w:firstLine="567"/>
        <w:jc w:val="both"/>
      </w:pPr>
      <w:r>
        <w:t xml:space="preserve">През </w:t>
      </w:r>
      <w:r w:rsidRPr="004677E6">
        <w:t>2024</w:t>
      </w:r>
      <w:r>
        <w:t xml:space="preserve"> </w:t>
      </w:r>
      <w:r w:rsidRPr="004677E6">
        <w:t>г. са получени 18,9 млн.</w:t>
      </w:r>
      <w:r>
        <w:t xml:space="preserve"> </w:t>
      </w:r>
      <w:r w:rsidRPr="004677E6">
        <w:t>лв. текущи приходи, възстановени средства от Европейския фонд за морско дело и рибарство (ЕФМДР), което представлява 98,4</w:t>
      </w:r>
      <w:r>
        <w:t xml:space="preserve"> </w:t>
      </w:r>
      <w:r w:rsidRPr="004677E6">
        <w:t>% от годишния план</w:t>
      </w:r>
      <w:r>
        <w:t>, който е</w:t>
      </w:r>
      <w:r w:rsidRPr="004677E6">
        <w:t xml:space="preserve"> в размер на 19,2 млн.</w:t>
      </w:r>
      <w:r>
        <w:t xml:space="preserve"> </w:t>
      </w:r>
      <w:r w:rsidRPr="004677E6">
        <w:t>л</w:t>
      </w:r>
      <w:r>
        <w:t>е</w:t>
      </w:r>
      <w:r w:rsidRPr="004677E6">
        <w:t>в</w:t>
      </w:r>
      <w:r>
        <w:t>а</w:t>
      </w:r>
      <w:r w:rsidRPr="004677E6">
        <w:t xml:space="preserve">. През </w:t>
      </w:r>
      <w:r>
        <w:t>2023 г.</w:t>
      </w:r>
      <w:r w:rsidRPr="004677E6">
        <w:t xml:space="preserve"> са получени 4</w:t>
      </w:r>
      <w:r>
        <w:t>,0</w:t>
      </w:r>
      <w:r w:rsidRPr="004677E6">
        <w:t xml:space="preserve">  млн.</w:t>
      </w:r>
      <w:r>
        <w:t xml:space="preserve"> </w:t>
      </w:r>
      <w:r w:rsidRPr="004677E6">
        <w:t>лв. текущи приходи.</w:t>
      </w:r>
    </w:p>
    <w:p w:rsidR="00EC33EC" w:rsidRPr="004677E6" w:rsidRDefault="00EC33EC" w:rsidP="00EC33EC">
      <w:pPr>
        <w:numPr>
          <w:ilvl w:val="0"/>
          <w:numId w:val="16"/>
        </w:numPr>
        <w:tabs>
          <w:tab w:val="left" w:pos="993"/>
        </w:tabs>
        <w:spacing w:before="120" w:after="120"/>
        <w:ind w:left="1321" w:hanging="612"/>
        <w:jc w:val="both"/>
        <w:rPr>
          <w:b/>
          <w:i/>
          <w:lang w:eastAsia="bg-BG"/>
        </w:rPr>
      </w:pPr>
      <w:r w:rsidRPr="004677E6">
        <w:rPr>
          <w:b/>
          <w:i/>
          <w:lang w:eastAsia="bg-BG"/>
        </w:rPr>
        <w:t>Капиталови помощи и дарения от Европейския съюз</w:t>
      </w:r>
    </w:p>
    <w:p w:rsidR="00EC33EC" w:rsidRPr="004677E6" w:rsidRDefault="00EC33EC" w:rsidP="00204E70">
      <w:pPr>
        <w:ind w:firstLine="567"/>
        <w:jc w:val="both"/>
      </w:pPr>
      <w:r w:rsidRPr="004677E6">
        <w:t xml:space="preserve">Общият размер на получените приходи, отчетени в „Капиталови помощи и дарения от Европейския съюз“ </w:t>
      </w:r>
      <w:r>
        <w:t xml:space="preserve">през </w:t>
      </w:r>
      <w:r w:rsidRPr="004677E6">
        <w:t>2024</w:t>
      </w:r>
      <w:r>
        <w:t xml:space="preserve"> </w:t>
      </w:r>
      <w:r w:rsidRPr="004677E6">
        <w:t>г. е 559,1 млн.</w:t>
      </w:r>
      <w:r>
        <w:t xml:space="preserve"> </w:t>
      </w:r>
      <w:r w:rsidRPr="004677E6">
        <w:t>лв. при планирани за годината 563</w:t>
      </w:r>
      <w:r>
        <w:t>,0</w:t>
      </w:r>
      <w:r w:rsidRPr="004677E6">
        <w:t xml:space="preserve"> млн.</w:t>
      </w:r>
      <w:r>
        <w:t xml:space="preserve"> </w:t>
      </w:r>
      <w:r w:rsidRPr="004677E6">
        <w:t>л</w:t>
      </w:r>
      <w:r>
        <w:t>е</w:t>
      </w:r>
      <w:r w:rsidRPr="004677E6">
        <w:t>в</w:t>
      </w:r>
      <w:r>
        <w:t>а</w:t>
      </w:r>
      <w:r w:rsidRPr="004677E6">
        <w:t>.</w:t>
      </w:r>
    </w:p>
    <w:p w:rsidR="00EC33EC" w:rsidRPr="004677E6" w:rsidRDefault="00EC33EC" w:rsidP="00204E70">
      <w:pPr>
        <w:ind w:firstLine="567"/>
        <w:jc w:val="both"/>
      </w:pPr>
      <w:r w:rsidRPr="004677E6">
        <w:t xml:space="preserve">Получените капиталови приходи от ЕЗФРСР по линия на ПРСР без директни плащания </w:t>
      </w:r>
      <w:r>
        <w:t xml:space="preserve">през </w:t>
      </w:r>
      <w:r w:rsidRPr="004677E6">
        <w:t>2024</w:t>
      </w:r>
      <w:r>
        <w:t xml:space="preserve"> </w:t>
      </w:r>
      <w:r w:rsidRPr="004677E6">
        <w:t>г. са 544,1 млн.</w:t>
      </w:r>
      <w:r>
        <w:t xml:space="preserve"> </w:t>
      </w:r>
      <w:r w:rsidRPr="004677E6">
        <w:t>лв., от които 27,6 млн.</w:t>
      </w:r>
      <w:r>
        <w:t xml:space="preserve"> </w:t>
      </w:r>
      <w:r w:rsidRPr="004677E6">
        <w:t xml:space="preserve">лв. са аванс по линия на </w:t>
      </w:r>
      <w:r w:rsidRPr="004677E6">
        <w:rPr>
          <w:lang w:eastAsia="bg-BG"/>
        </w:rPr>
        <w:t>Стратегическия План по ОСП 2023-2027</w:t>
      </w:r>
      <w:r>
        <w:rPr>
          <w:lang w:eastAsia="bg-BG"/>
        </w:rPr>
        <w:t xml:space="preserve"> г.</w:t>
      </w:r>
      <w:r w:rsidRPr="004677E6">
        <w:rPr>
          <w:lang w:eastAsia="bg-BG"/>
        </w:rPr>
        <w:t xml:space="preserve"> </w:t>
      </w:r>
      <w:r w:rsidRPr="004677E6">
        <w:t xml:space="preserve"> Изпълнени са 99,2</w:t>
      </w:r>
      <w:r>
        <w:t xml:space="preserve"> </w:t>
      </w:r>
      <w:r w:rsidRPr="004677E6">
        <w:t>% от годишния план, който е в размер на 548,3 млн.</w:t>
      </w:r>
      <w:r>
        <w:t xml:space="preserve"> </w:t>
      </w:r>
      <w:r w:rsidRPr="004677E6">
        <w:t>л</w:t>
      </w:r>
      <w:r>
        <w:t>е</w:t>
      </w:r>
      <w:r w:rsidRPr="004677E6">
        <w:t>в</w:t>
      </w:r>
      <w:r>
        <w:t>а</w:t>
      </w:r>
      <w:r w:rsidRPr="004677E6">
        <w:t xml:space="preserve">. </w:t>
      </w:r>
      <w:r>
        <w:t>За</w:t>
      </w:r>
      <w:r w:rsidRPr="004677E6">
        <w:t xml:space="preserve"> сравнение</w:t>
      </w:r>
      <w:r>
        <w:t>, през</w:t>
      </w:r>
      <w:r w:rsidRPr="004677E6">
        <w:t xml:space="preserve"> предходната година капиталовите приходи по ПРСР са били 248,1 млн.</w:t>
      </w:r>
      <w:r>
        <w:t xml:space="preserve"> </w:t>
      </w:r>
      <w:r w:rsidRPr="004677E6">
        <w:t>л</w:t>
      </w:r>
      <w:r>
        <w:t>е</w:t>
      </w:r>
      <w:r w:rsidRPr="004677E6">
        <w:t>в</w:t>
      </w:r>
      <w:r>
        <w:t>а</w:t>
      </w:r>
      <w:r w:rsidRPr="004677E6">
        <w:t>.</w:t>
      </w:r>
    </w:p>
    <w:p w:rsidR="00EC33EC" w:rsidRPr="004677E6" w:rsidRDefault="00EC33EC" w:rsidP="00204E70">
      <w:pPr>
        <w:ind w:firstLine="567"/>
        <w:jc w:val="both"/>
      </w:pPr>
      <w:r>
        <w:t xml:space="preserve">През </w:t>
      </w:r>
      <w:r w:rsidRPr="004677E6">
        <w:t>2024</w:t>
      </w:r>
      <w:r>
        <w:t xml:space="preserve"> </w:t>
      </w:r>
      <w:r w:rsidRPr="004677E6">
        <w:t>г. са получени капиталови приходи в размер 15</w:t>
      </w:r>
      <w:r>
        <w:t>,0</w:t>
      </w:r>
      <w:r w:rsidRPr="004677E6">
        <w:t xml:space="preserve"> млн.</w:t>
      </w:r>
      <w:r>
        <w:t xml:space="preserve"> </w:t>
      </w:r>
      <w:r w:rsidRPr="004677E6">
        <w:t>лв. от фонд ЕФМДР. Степента на изпълнение спрямо годишния разчет от 14,7 млн.</w:t>
      </w:r>
      <w:r>
        <w:t xml:space="preserve"> </w:t>
      </w:r>
      <w:r w:rsidRPr="004677E6">
        <w:t>лв. е 102</w:t>
      </w:r>
      <w:r>
        <w:t>,0 процента</w:t>
      </w:r>
      <w:r w:rsidRPr="004677E6">
        <w:t>. За предходната година по това направление са отчетени 8,2 млн.</w:t>
      </w:r>
      <w:r>
        <w:t xml:space="preserve"> </w:t>
      </w:r>
      <w:r w:rsidRPr="004677E6">
        <w:t>л</w:t>
      </w:r>
      <w:r>
        <w:t>е</w:t>
      </w:r>
      <w:r w:rsidRPr="004677E6">
        <w:t>в</w:t>
      </w:r>
      <w:r>
        <w:t>а</w:t>
      </w:r>
      <w:r w:rsidRPr="004677E6">
        <w:t>.</w:t>
      </w:r>
      <w:r w:rsidRPr="004677E6">
        <w:tab/>
      </w:r>
    </w:p>
    <w:p w:rsidR="00EC33EC" w:rsidRPr="004677E6" w:rsidRDefault="00EC33EC" w:rsidP="00EC33EC">
      <w:pPr>
        <w:numPr>
          <w:ilvl w:val="0"/>
          <w:numId w:val="16"/>
        </w:numPr>
        <w:tabs>
          <w:tab w:val="left" w:pos="993"/>
        </w:tabs>
        <w:spacing w:before="120" w:after="120"/>
        <w:ind w:left="1321" w:hanging="612"/>
        <w:jc w:val="both"/>
        <w:rPr>
          <w:b/>
          <w:i/>
        </w:rPr>
      </w:pPr>
      <w:r w:rsidRPr="004677E6">
        <w:tab/>
      </w:r>
      <w:r w:rsidRPr="004677E6">
        <w:rPr>
          <w:b/>
          <w:i/>
          <w:lang w:eastAsia="bg-BG"/>
        </w:rPr>
        <w:t>Коректив на касови постъпления</w:t>
      </w:r>
      <w:r w:rsidRPr="004677E6">
        <w:rPr>
          <w:b/>
          <w:i/>
        </w:rPr>
        <w:t xml:space="preserve"> </w:t>
      </w:r>
    </w:p>
    <w:p w:rsidR="00EC33EC" w:rsidRPr="004677E6" w:rsidRDefault="00EC33EC" w:rsidP="00204E70">
      <w:pPr>
        <w:spacing w:before="120" w:after="120"/>
        <w:ind w:firstLine="567"/>
        <w:jc w:val="both"/>
        <w:rPr>
          <w:bCs/>
          <w:iCs/>
        </w:rPr>
      </w:pPr>
      <w:r w:rsidRPr="004677E6">
        <w:rPr>
          <w:bCs/>
          <w:iCs/>
        </w:rPr>
        <w:t xml:space="preserve">Планираната стойност на коректива на касови постъпления е </w:t>
      </w:r>
      <w:r>
        <w:rPr>
          <w:bCs/>
          <w:iCs/>
        </w:rPr>
        <w:t xml:space="preserve">отрицателна в размер на </w:t>
      </w:r>
      <w:r w:rsidRPr="004677E6">
        <w:rPr>
          <w:bCs/>
          <w:iCs/>
        </w:rPr>
        <w:t xml:space="preserve"> 11,1</w:t>
      </w:r>
      <w:r w:rsidR="00CB0BED">
        <w:rPr>
          <w:bCs/>
          <w:iCs/>
        </w:rPr>
        <w:t> </w:t>
      </w:r>
      <w:r w:rsidRPr="004677E6">
        <w:rPr>
          <w:bCs/>
          <w:iCs/>
        </w:rPr>
        <w:t>млн.</w:t>
      </w:r>
      <w:r>
        <w:rPr>
          <w:bCs/>
          <w:iCs/>
        </w:rPr>
        <w:t xml:space="preserve"> </w:t>
      </w:r>
      <w:r w:rsidRPr="004677E6">
        <w:rPr>
          <w:bCs/>
          <w:iCs/>
        </w:rPr>
        <w:t>л</w:t>
      </w:r>
      <w:r>
        <w:rPr>
          <w:bCs/>
          <w:iCs/>
        </w:rPr>
        <w:t>е</w:t>
      </w:r>
      <w:r w:rsidRPr="004677E6">
        <w:rPr>
          <w:bCs/>
          <w:iCs/>
        </w:rPr>
        <w:t>в</w:t>
      </w:r>
      <w:r>
        <w:rPr>
          <w:bCs/>
          <w:iCs/>
        </w:rPr>
        <w:t>а</w:t>
      </w:r>
      <w:r w:rsidRPr="004677E6">
        <w:rPr>
          <w:bCs/>
          <w:iCs/>
        </w:rPr>
        <w:t xml:space="preserve">. </w:t>
      </w:r>
      <w:r>
        <w:rPr>
          <w:bCs/>
          <w:iCs/>
        </w:rPr>
        <w:t xml:space="preserve">През </w:t>
      </w:r>
      <w:r w:rsidRPr="004677E6">
        <w:rPr>
          <w:bCs/>
          <w:iCs/>
        </w:rPr>
        <w:t>2024</w:t>
      </w:r>
      <w:r>
        <w:rPr>
          <w:bCs/>
          <w:iCs/>
        </w:rPr>
        <w:t xml:space="preserve"> </w:t>
      </w:r>
      <w:r w:rsidRPr="004677E6">
        <w:rPr>
          <w:bCs/>
          <w:iCs/>
        </w:rPr>
        <w:t>г. отчетен</w:t>
      </w:r>
      <w:r>
        <w:rPr>
          <w:bCs/>
          <w:iCs/>
        </w:rPr>
        <w:t>ият</w:t>
      </w:r>
      <w:r w:rsidRPr="004677E6">
        <w:rPr>
          <w:bCs/>
          <w:iCs/>
        </w:rPr>
        <w:t xml:space="preserve"> коректив </w:t>
      </w:r>
      <w:r>
        <w:rPr>
          <w:bCs/>
          <w:iCs/>
        </w:rPr>
        <w:t>е -</w:t>
      </w:r>
      <w:r w:rsidRPr="004677E6">
        <w:rPr>
          <w:bCs/>
          <w:iCs/>
        </w:rPr>
        <w:t>11,5 млн.</w:t>
      </w:r>
      <w:r>
        <w:rPr>
          <w:bCs/>
          <w:iCs/>
        </w:rPr>
        <w:t xml:space="preserve"> </w:t>
      </w:r>
      <w:r w:rsidRPr="004677E6">
        <w:rPr>
          <w:bCs/>
          <w:iCs/>
        </w:rPr>
        <w:t>л</w:t>
      </w:r>
      <w:r>
        <w:rPr>
          <w:bCs/>
          <w:iCs/>
        </w:rPr>
        <w:t>е</w:t>
      </w:r>
      <w:r w:rsidRPr="004677E6">
        <w:rPr>
          <w:bCs/>
          <w:iCs/>
        </w:rPr>
        <w:t>в</w:t>
      </w:r>
      <w:r>
        <w:rPr>
          <w:bCs/>
          <w:iCs/>
        </w:rPr>
        <w:t>а</w:t>
      </w:r>
      <w:r w:rsidRPr="004677E6">
        <w:rPr>
          <w:bCs/>
          <w:iCs/>
        </w:rPr>
        <w:t xml:space="preserve">. Той е формиран от размера на принудително събрани суми от НАП, за които не е извършен превод на средства по сметката на ДФЗ-РА. </w:t>
      </w:r>
    </w:p>
    <w:p w:rsidR="00EC33EC" w:rsidRPr="004677E6" w:rsidRDefault="00EC33EC" w:rsidP="00EC33EC">
      <w:pPr>
        <w:numPr>
          <w:ilvl w:val="0"/>
          <w:numId w:val="17"/>
        </w:numPr>
        <w:spacing w:before="120" w:after="120" w:line="276" w:lineRule="auto"/>
        <w:ind w:left="780"/>
        <w:contextualSpacing/>
        <w:jc w:val="both"/>
        <w:rPr>
          <w:b/>
          <w:lang w:eastAsia="bg-BG"/>
        </w:rPr>
      </w:pPr>
      <w:r w:rsidRPr="004677E6">
        <w:rPr>
          <w:b/>
          <w:lang w:eastAsia="bg-BG"/>
        </w:rPr>
        <w:t xml:space="preserve">Разходи </w:t>
      </w:r>
    </w:p>
    <w:p w:rsidR="00EC33EC" w:rsidRPr="004677E6" w:rsidRDefault="00EC33EC" w:rsidP="00204E70">
      <w:pPr>
        <w:ind w:firstLine="567"/>
        <w:jc w:val="both"/>
      </w:pPr>
      <w:r w:rsidRPr="004677E6">
        <w:t>Общият размер на планираните за 2024</w:t>
      </w:r>
      <w:r>
        <w:t xml:space="preserve"> </w:t>
      </w:r>
      <w:r w:rsidRPr="004677E6">
        <w:t>г. разходи по утвърдените актуализирани годишни разчети на сметката за средства от Европейския съюз на Разплащателната агенция към ДФ „Земеделие” са 926,1 млн.</w:t>
      </w:r>
      <w:r>
        <w:t xml:space="preserve"> </w:t>
      </w:r>
      <w:r w:rsidRPr="004677E6">
        <w:t>л</w:t>
      </w:r>
      <w:r>
        <w:t>е</w:t>
      </w:r>
      <w:r w:rsidRPr="004677E6">
        <w:t>в</w:t>
      </w:r>
      <w:r>
        <w:t>а</w:t>
      </w:r>
      <w:r w:rsidRPr="004677E6">
        <w:t>.</w:t>
      </w:r>
    </w:p>
    <w:p w:rsidR="00EC33EC" w:rsidRPr="004677E6" w:rsidRDefault="00EC33EC" w:rsidP="00204E70">
      <w:pPr>
        <w:ind w:firstLine="567"/>
        <w:jc w:val="both"/>
        <w:rPr>
          <w:szCs w:val="20"/>
        </w:rPr>
      </w:pPr>
      <w:r w:rsidRPr="004677E6">
        <w:rPr>
          <w:szCs w:val="20"/>
        </w:rPr>
        <w:t>Уточненият план на субсидиите за текуща дейност и капиталовите трансфери за 2024</w:t>
      </w:r>
      <w:r>
        <w:rPr>
          <w:szCs w:val="20"/>
        </w:rPr>
        <w:t xml:space="preserve"> </w:t>
      </w:r>
      <w:r w:rsidRPr="004677E6">
        <w:rPr>
          <w:szCs w:val="20"/>
        </w:rPr>
        <w:t>г. е 705,9 млн.</w:t>
      </w:r>
      <w:r>
        <w:rPr>
          <w:szCs w:val="20"/>
        </w:rPr>
        <w:t xml:space="preserve"> </w:t>
      </w:r>
      <w:r w:rsidRPr="004677E6">
        <w:rPr>
          <w:szCs w:val="20"/>
        </w:rPr>
        <w:t>л</w:t>
      </w:r>
      <w:r>
        <w:rPr>
          <w:szCs w:val="20"/>
        </w:rPr>
        <w:t>ева</w:t>
      </w:r>
      <w:r w:rsidRPr="004677E6">
        <w:rPr>
          <w:szCs w:val="20"/>
        </w:rPr>
        <w:t>. Изпълнението възлиза на 87,1</w:t>
      </w:r>
      <w:r>
        <w:rPr>
          <w:szCs w:val="20"/>
        </w:rPr>
        <w:t xml:space="preserve"> </w:t>
      </w:r>
      <w:r w:rsidRPr="004677E6">
        <w:rPr>
          <w:szCs w:val="20"/>
        </w:rPr>
        <w:t>% от годишния план при отчетени разходи в размер 614,6 млн.</w:t>
      </w:r>
      <w:r>
        <w:rPr>
          <w:szCs w:val="20"/>
        </w:rPr>
        <w:t xml:space="preserve"> </w:t>
      </w:r>
      <w:r w:rsidRPr="004677E6">
        <w:rPr>
          <w:szCs w:val="20"/>
        </w:rPr>
        <w:t>л</w:t>
      </w:r>
      <w:r>
        <w:rPr>
          <w:szCs w:val="20"/>
        </w:rPr>
        <w:t>е</w:t>
      </w:r>
      <w:r w:rsidRPr="004677E6">
        <w:rPr>
          <w:szCs w:val="20"/>
        </w:rPr>
        <w:t>в</w:t>
      </w:r>
      <w:r>
        <w:rPr>
          <w:szCs w:val="20"/>
        </w:rPr>
        <w:t>а</w:t>
      </w:r>
      <w:r w:rsidRPr="004677E6">
        <w:rPr>
          <w:szCs w:val="20"/>
        </w:rPr>
        <w:t>.</w:t>
      </w:r>
    </w:p>
    <w:p w:rsidR="00EC33EC" w:rsidRPr="004677E6" w:rsidRDefault="00EC33EC" w:rsidP="00204E70">
      <w:pPr>
        <w:ind w:firstLine="567"/>
        <w:jc w:val="both"/>
        <w:rPr>
          <w:szCs w:val="20"/>
        </w:rPr>
      </w:pPr>
      <w:r w:rsidRPr="004677E6">
        <w:rPr>
          <w:szCs w:val="20"/>
        </w:rPr>
        <w:t>Останалите планирани разходи в размер 220,2 млн.</w:t>
      </w:r>
      <w:r>
        <w:rPr>
          <w:szCs w:val="20"/>
        </w:rPr>
        <w:t xml:space="preserve"> </w:t>
      </w:r>
      <w:r w:rsidRPr="004677E6">
        <w:rPr>
          <w:szCs w:val="20"/>
        </w:rPr>
        <w:t>лв. са формирани от: разходи за заплати и възнаграждения на персонала 11,1 млн.</w:t>
      </w:r>
      <w:r>
        <w:rPr>
          <w:szCs w:val="20"/>
        </w:rPr>
        <w:t xml:space="preserve"> </w:t>
      </w:r>
      <w:r w:rsidRPr="004677E6">
        <w:rPr>
          <w:szCs w:val="20"/>
        </w:rPr>
        <w:t>лв., задължителни осигурителни вноски от работодатели 3,5 млн.</w:t>
      </w:r>
      <w:r>
        <w:rPr>
          <w:szCs w:val="20"/>
        </w:rPr>
        <w:t xml:space="preserve"> </w:t>
      </w:r>
      <w:r w:rsidRPr="004677E6">
        <w:rPr>
          <w:szCs w:val="20"/>
        </w:rPr>
        <w:t>лв., издръжка 15</w:t>
      </w:r>
      <w:r>
        <w:rPr>
          <w:szCs w:val="20"/>
        </w:rPr>
        <w:t>,0</w:t>
      </w:r>
      <w:r w:rsidRPr="004677E6">
        <w:rPr>
          <w:szCs w:val="20"/>
        </w:rPr>
        <w:t xml:space="preserve"> млн.</w:t>
      </w:r>
      <w:r>
        <w:rPr>
          <w:szCs w:val="20"/>
        </w:rPr>
        <w:t xml:space="preserve"> </w:t>
      </w:r>
      <w:r w:rsidRPr="004677E6">
        <w:rPr>
          <w:szCs w:val="20"/>
        </w:rPr>
        <w:t>лв. и придобиване на ДМА 190,6 млн.</w:t>
      </w:r>
      <w:r>
        <w:rPr>
          <w:szCs w:val="20"/>
        </w:rPr>
        <w:t xml:space="preserve"> </w:t>
      </w:r>
      <w:r w:rsidRPr="004677E6">
        <w:rPr>
          <w:szCs w:val="20"/>
        </w:rPr>
        <w:t>л</w:t>
      </w:r>
      <w:r>
        <w:rPr>
          <w:szCs w:val="20"/>
        </w:rPr>
        <w:t>е</w:t>
      </w:r>
      <w:r w:rsidRPr="004677E6">
        <w:rPr>
          <w:szCs w:val="20"/>
        </w:rPr>
        <w:t>в</w:t>
      </w:r>
      <w:r>
        <w:rPr>
          <w:szCs w:val="20"/>
        </w:rPr>
        <w:t>а</w:t>
      </w:r>
      <w:r w:rsidRPr="004677E6">
        <w:rPr>
          <w:szCs w:val="20"/>
        </w:rPr>
        <w:t>. Те подлежат на отчитане в § 63-00 Трансфери между сметки за средствата от ЕС.</w:t>
      </w:r>
    </w:p>
    <w:p w:rsidR="00EC33EC" w:rsidRPr="004677E6" w:rsidRDefault="00EC33EC" w:rsidP="00B63F64">
      <w:pPr>
        <w:ind w:firstLine="567"/>
        <w:jc w:val="both"/>
      </w:pPr>
      <w:r w:rsidRPr="004677E6">
        <w:t>Изпълнението на отчетените разходи е както следва:</w:t>
      </w:r>
    </w:p>
    <w:p w:rsidR="00EC33EC" w:rsidRPr="004677E6" w:rsidRDefault="00EC33EC" w:rsidP="00EC33EC">
      <w:pPr>
        <w:numPr>
          <w:ilvl w:val="0"/>
          <w:numId w:val="16"/>
        </w:numPr>
        <w:tabs>
          <w:tab w:val="left" w:pos="993"/>
        </w:tabs>
        <w:spacing w:before="120" w:after="120"/>
        <w:ind w:left="1321" w:hanging="612"/>
        <w:jc w:val="both"/>
        <w:rPr>
          <w:b/>
          <w:i/>
          <w:lang w:eastAsia="bg-BG"/>
        </w:rPr>
      </w:pPr>
      <w:r w:rsidRPr="004677E6">
        <w:tab/>
      </w:r>
      <w:r w:rsidRPr="004677E6">
        <w:rPr>
          <w:b/>
          <w:i/>
          <w:lang w:eastAsia="bg-BG"/>
        </w:rPr>
        <w:t>Субсидии и други текущи трансфери за нефинансови предприятия</w:t>
      </w:r>
    </w:p>
    <w:p w:rsidR="00EC33EC" w:rsidRPr="004677E6" w:rsidRDefault="00EC33EC" w:rsidP="00065BB5">
      <w:pPr>
        <w:ind w:firstLine="567"/>
        <w:contextualSpacing/>
        <w:jc w:val="both"/>
      </w:pPr>
      <w:r w:rsidRPr="004677E6">
        <w:t>За 2024</w:t>
      </w:r>
      <w:r>
        <w:t xml:space="preserve"> </w:t>
      </w:r>
      <w:r w:rsidRPr="004677E6">
        <w:t>г. са планирани средства в размер на 220,1 млн.</w:t>
      </w:r>
      <w:r>
        <w:t xml:space="preserve"> </w:t>
      </w:r>
      <w:r w:rsidRPr="004677E6">
        <w:t>лв. за субсидии и други текущи трансфери за нефинансови предприятия. Отчетените към 31.12.2024</w:t>
      </w:r>
      <w:r>
        <w:t xml:space="preserve"> </w:t>
      </w:r>
      <w:r w:rsidRPr="004677E6">
        <w:t>г. средства представляват 96,6</w:t>
      </w:r>
      <w:r>
        <w:t xml:space="preserve"> </w:t>
      </w:r>
      <w:r w:rsidRPr="004677E6">
        <w:t>% от планираните за годината и са в размер на 212,7 млн.</w:t>
      </w:r>
      <w:r>
        <w:t xml:space="preserve"> </w:t>
      </w:r>
      <w:r w:rsidRPr="004677E6">
        <w:t>л</w:t>
      </w:r>
      <w:r>
        <w:t>е</w:t>
      </w:r>
      <w:r w:rsidRPr="004677E6">
        <w:t>в</w:t>
      </w:r>
      <w:r>
        <w:t>а</w:t>
      </w:r>
      <w:r w:rsidRPr="004677E6">
        <w:t xml:space="preserve">. </w:t>
      </w:r>
      <w:r>
        <w:t xml:space="preserve">През </w:t>
      </w:r>
      <w:r w:rsidRPr="004677E6">
        <w:t>2023г. отчетените текущи субсидии са били 148,2 млн.</w:t>
      </w:r>
      <w:r>
        <w:t xml:space="preserve"> </w:t>
      </w:r>
      <w:r w:rsidRPr="004677E6">
        <w:t>л</w:t>
      </w:r>
      <w:r>
        <w:t>е</w:t>
      </w:r>
      <w:r w:rsidRPr="004677E6">
        <w:t>в</w:t>
      </w:r>
      <w:r>
        <w:t>а</w:t>
      </w:r>
      <w:r w:rsidRPr="004677E6">
        <w:t xml:space="preserve">. </w:t>
      </w:r>
    </w:p>
    <w:p w:rsidR="00EC33EC" w:rsidRPr="004677E6" w:rsidRDefault="00EC33EC" w:rsidP="00065BB5">
      <w:pPr>
        <w:ind w:firstLine="567"/>
        <w:contextualSpacing/>
        <w:jc w:val="both"/>
      </w:pPr>
      <w:r w:rsidRPr="004677E6">
        <w:t>Изпълнението по дейности е както следва:</w:t>
      </w:r>
    </w:p>
    <w:p w:rsidR="00EC33EC" w:rsidRPr="004677E6" w:rsidRDefault="00EC33EC" w:rsidP="00EC33EC">
      <w:pPr>
        <w:ind w:firstLine="720"/>
        <w:contextualSpacing/>
        <w:jc w:val="both"/>
      </w:pPr>
      <w:r w:rsidRPr="004677E6">
        <w:t>- национално съфинансиране към ЕЗФРСР за директни плащания – 138,2 млн.</w:t>
      </w:r>
      <w:r>
        <w:t xml:space="preserve"> </w:t>
      </w:r>
      <w:r w:rsidRPr="004677E6">
        <w:t>лв., изпълнение 99,8</w:t>
      </w:r>
      <w:r>
        <w:t xml:space="preserve"> </w:t>
      </w:r>
      <w:r w:rsidRPr="004677E6">
        <w:t>% от планираните за годината 138,4 млн.</w:t>
      </w:r>
      <w:r>
        <w:t xml:space="preserve"> </w:t>
      </w:r>
      <w:r w:rsidRPr="004677E6">
        <w:t>лв.;</w:t>
      </w:r>
    </w:p>
    <w:p w:rsidR="00EC33EC" w:rsidRPr="004677E6" w:rsidRDefault="00EC33EC" w:rsidP="00EC33EC">
      <w:pPr>
        <w:ind w:firstLine="720"/>
        <w:contextualSpacing/>
        <w:jc w:val="both"/>
      </w:pPr>
      <w:r w:rsidRPr="004677E6">
        <w:lastRenderedPageBreak/>
        <w:t>- текущи субсидии по Програмата за морско дело и рибарство – 15</w:t>
      </w:r>
      <w:r>
        <w:t>,0</w:t>
      </w:r>
      <w:r w:rsidRPr="004677E6">
        <w:t xml:space="preserve"> млн.</w:t>
      </w:r>
      <w:r>
        <w:t xml:space="preserve"> </w:t>
      </w:r>
      <w:r w:rsidRPr="004677E6">
        <w:t xml:space="preserve">лв., изпълнение </w:t>
      </w:r>
      <w:r>
        <w:t xml:space="preserve">от </w:t>
      </w:r>
      <w:r w:rsidRPr="004677E6">
        <w:t>93,8</w:t>
      </w:r>
      <w:r>
        <w:t xml:space="preserve"> </w:t>
      </w:r>
      <w:r w:rsidRPr="004677E6">
        <w:t xml:space="preserve">% </w:t>
      </w:r>
      <w:r>
        <w:t>на</w:t>
      </w:r>
      <w:r w:rsidRPr="004677E6">
        <w:t xml:space="preserve"> планираните 16</w:t>
      </w:r>
      <w:r>
        <w:t>,0</w:t>
      </w:r>
      <w:r w:rsidRPr="004677E6">
        <w:t xml:space="preserve"> млн.</w:t>
      </w:r>
      <w:r>
        <w:t xml:space="preserve"> </w:t>
      </w:r>
      <w:r w:rsidRPr="004677E6">
        <w:t>лв.;</w:t>
      </w:r>
    </w:p>
    <w:p w:rsidR="00EC33EC" w:rsidRPr="004677E6" w:rsidRDefault="00EC33EC" w:rsidP="00EC33EC">
      <w:pPr>
        <w:ind w:firstLine="720"/>
        <w:contextualSpacing/>
        <w:jc w:val="both"/>
      </w:pPr>
      <w:r w:rsidRPr="004677E6">
        <w:t>- текущи субсидии по Програмата за развитие на селските райони – 15,2 млн.</w:t>
      </w:r>
      <w:r>
        <w:t xml:space="preserve"> </w:t>
      </w:r>
      <w:r w:rsidRPr="004677E6">
        <w:t>лв., изпълнение от 62,8</w:t>
      </w:r>
      <w:r>
        <w:t xml:space="preserve"> </w:t>
      </w:r>
      <w:r w:rsidRPr="004677E6">
        <w:t>% на планираните за годината 24,2 млн.</w:t>
      </w:r>
      <w:r>
        <w:t xml:space="preserve"> </w:t>
      </w:r>
      <w:r w:rsidRPr="004677E6">
        <w:t>лв.;</w:t>
      </w:r>
    </w:p>
    <w:p w:rsidR="00EC33EC" w:rsidRPr="004677E6" w:rsidRDefault="00EC33EC" w:rsidP="00EC33EC">
      <w:pPr>
        <w:ind w:firstLine="709"/>
        <w:contextualSpacing/>
        <w:jc w:val="both"/>
      </w:pPr>
      <w:r w:rsidRPr="004677E6">
        <w:t>- текущи субсидии за пазарни мерки – 44,3 млн.</w:t>
      </w:r>
      <w:r>
        <w:t xml:space="preserve"> </w:t>
      </w:r>
      <w:r w:rsidRPr="004677E6">
        <w:t>лв., изпълнение от 106,7</w:t>
      </w:r>
      <w:r>
        <w:t xml:space="preserve"> </w:t>
      </w:r>
      <w:r w:rsidRPr="004677E6">
        <w:t>% на планираните за 2024</w:t>
      </w:r>
      <w:r>
        <w:t xml:space="preserve"> </w:t>
      </w:r>
      <w:r w:rsidRPr="004677E6">
        <w:t>г. 41,5 млн.</w:t>
      </w:r>
      <w:r>
        <w:t xml:space="preserve"> </w:t>
      </w:r>
      <w:r w:rsidRPr="004677E6">
        <w:t>л</w:t>
      </w:r>
      <w:r>
        <w:t>е</w:t>
      </w:r>
      <w:r w:rsidRPr="004677E6">
        <w:t>в</w:t>
      </w:r>
      <w:r>
        <w:t>а</w:t>
      </w:r>
      <w:r w:rsidRPr="004677E6">
        <w:t xml:space="preserve">. </w:t>
      </w:r>
    </w:p>
    <w:p w:rsidR="00EC33EC" w:rsidRPr="004677E6" w:rsidRDefault="00EC33EC" w:rsidP="00EC33EC">
      <w:pPr>
        <w:contextualSpacing/>
        <w:jc w:val="both"/>
      </w:pPr>
    </w:p>
    <w:p w:rsidR="00EC33EC" w:rsidRPr="004677E6" w:rsidRDefault="00EC33EC" w:rsidP="00EC33EC">
      <w:pPr>
        <w:numPr>
          <w:ilvl w:val="0"/>
          <w:numId w:val="16"/>
        </w:numPr>
        <w:tabs>
          <w:tab w:val="left" w:pos="993"/>
        </w:tabs>
        <w:spacing w:before="120" w:after="120"/>
        <w:ind w:left="1321" w:hanging="612"/>
        <w:jc w:val="both"/>
        <w:rPr>
          <w:b/>
          <w:i/>
          <w:lang w:eastAsia="bg-BG"/>
        </w:rPr>
      </w:pPr>
      <w:r w:rsidRPr="004677E6">
        <w:rPr>
          <w:b/>
          <w:i/>
          <w:lang w:eastAsia="bg-BG"/>
        </w:rPr>
        <w:t>Субсидии и други текущи трансфери за юридически лица с нестопанска цел</w:t>
      </w:r>
    </w:p>
    <w:p w:rsidR="00EC33EC" w:rsidRPr="004677E6" w:rsidRDefault="00EC33EC" w:rsidP="00065BB5">
      <w:pPr>
        <w:tabs>
          <w:tab w:val="left" w:pos="993"/>
        </w:tabs>
        <w:ind w:firstLine="567"/>
        <w:jc w:val="both"/>
      </w:pPr>
      <w:r w:rsidRPr="004677E6">
        <w:t>За 2024</w:t>
      </w:r>
      <w:r>
        <w:t xml:space="preserve"> </w:t>
      </w:r>
      <w:r w:rsidRPr="004677E6">
        <w:t>г. за субсидии и други текущи трансфери за юридически лица с нестопанска цел са планирани 18</w:t>
      </w:r>
      <w:r>
        <w:t>,0</w:t>
      </w:r>
      <w:r w:rsidRPr="004677E6">
        <w:t xml:space="preserve"> млн.</w:t>
      </w:r>
      <w:r>
        <w:t xml:space="preserve"> </w:t>
      </w:r>
      <w:r w:rsidRPr="004677E6">
        <w:t>лв.</w:t>
      </w:r>
      <w:r>
        <w:t xml:space="preserve"> През</w:t>
      </w:r>
      <w:r w:rsidRPr="004677E6">
        <w:t xml:space="preserve"> 2024</w:t>
      </w:r>
      <w:r>
        <w:t xml:space="preserve"> </w:t>
      </w:r>
      <w:r w:rsidRPr="004677E6">
        <w:t>г. са отчетени разходи в размер на 13,5 млн.</w:t>
      </w:r>
      <w:r>
        <w:t xml:space="preserve"> </w:t>
      </w:r>
      <w:r w:rsidRPr="004677E6">
        <w:t xml:space="preserve">лв., </w:t>
      </w:r>
      <w:r>
        <w:t>75,0 % от плана за годината.</w:t>
      </w:r>
      <w:r w:rsidRPr="004677E6">
        <w:t xml:space="preserve"> За 2023</w:t>
      </w:r>
      <w:r>
        <w:t xml:space="preserve"> </w:t>
      </w:r>
      <w:r w:rsidRPr="004677E6">
        <w:t>г. този вид разходи са възлизали на 16,8</w:t>
      </w:r>
      <w:r w:rsidRPr="004677E6">
        <w:rPr>
          <w:color w:val="FF0000"/>
        </w:rPr>
        <w:t xml:space="preserve"> </w:t>
      </w:r>
      <w:r w:rsidRPr="004677E6">
        <w:t>млн.</w:t>
      </w:r>
      <w:r>
        <w:t xml:space="preserve"> </w:t>
      </w:r>
      <w:r w:rsidRPr="004677E6">
        <w:t>л</w:t>
      </w:r>
      <w:r>
        <w:t>е</w:t>
      </w:r>
      <w:r w:rsidRPr="004677E6">
        <w:t>в</w:t>
      </w:r>
      <w:r>
        <w:t>а</w:t>
      </w:r>
      <w:r w:rsidRPr="004677E6">
        <w:t>.</w:t>
      </w:r>
    </w:p>
    <w:p w:rsidR="00EC33EC" w:rsidRPr="004677E6" w:rsidRDefault="00EC33EC" w:rsidP="00065BB5">
      <w:pPr>
        <w:tabs>
          <w:tab w:val="left" w:pos="993"/>
        </w:tabs>
        <w:ind w:firstLine="567"/>
        <w:jc w:val="both"/>
      </w:pPr>
      <w:r w:rsidRPr="004677E6">
        <w:t>Разпределението по дейности е както следва:</w:t>
      </w:r>
    </w:p>
    <w:p w:rsidR="00EC33EC" w:rsidRPr="004677E6" w:rsidRDefault="00EC33EC" w:rsidP="00EC33EC">
      <w:pPr>
        <w:numPr>
          <w:ilvl w:val="0"/>
          <w:numId w:val="22"/>
        </w:numPr>
        <w:tabs>
          <w:tab w:val="left" w:pos="540"/>
          <w:tab w:val="left" w:pos="851"/>
        </w:tabs>
        <w:ind w:left="0" w:firstLine="709"/>
        <w:contextualSpacing/>
        <w:jc w:val="both"/>
      </w:pPr>
      <w:r>
        <w:t xml:space="preserve">  </w:t>
      </w:r>
      <w:r w:rsidRPr="004677E6">
        <w:t>текущи субсидии</w:t>
      </w:r>
      <w:r>
        <w:t>,</w:t>
      </w:r>
      <w:r w:rsidRPr="004677E6">
        <w:t xml:space="preserve"> национално съфинансиране към директни плащания – 0,15 млн.</w:t>
      </w:r>
      <w:r>
        <w:t xml:space="preserve"> </w:t>
      </w:r>
      <w:r w:rsidRPr="004677E6">
        <w:t>лв.</w:t>
      </w:r>
      <w:r>
        <w:t>;</w:t>
      </w:r>
    </w:p>
    <w:p w:rsidR="00EC33EC" w:rsidRPr="004677E6" w:rsidRDefault="00EC33EC" w:rsidP="00EC33EC">
      <w:pPr>
        <w:tabs>
          <w:tab w:val="left" w:pos="993"/>
        </w:tabs>
        <w:ind w:firstLine="709"/>
        <w:jc w:val="both"/>
      </w:pPr>
      <w:r w:rsidRPr="004677E6">
        <w:t xml:space="preserve">- </w:t>
      </w:r>
      <w:r>
        <w:t xml:space="preserve">  </w:t>
      </w:r>
      <w:r w:rsidRPr="004677E6">
        <w:t>текущи субсидии по ПМДР– 2,9 млн.</w:t>
      </w:r>
      <w:r>
        <w:t xml:space="preserve"> </w:t>
      </w:r>
      <w:r w:rsidRPr="004677E6">
        <w:t>лв., 63</w:t>
      </w:r>
      <w:r>
        <w:t xml:space="preserve">,0 </w:t>
      </w:r>
      <w:r w:rsidRPr="004677E6">
        <w:t>% от планираните 4,6 млн.</w:t>
      </w:r>
      <w:r>
        <w:t xml:space="preserve"> </w:t>
      </w:r>
      <w:r w:rsidRPr="004677E6">
        <w:t>лв.;</w:t>
      </w:r>
    </w:p>
    <w:p w:rsidR="00EC33EC" w:rsidRPr="004677E6" w:rsidRDefault="00EC33EC" w:rsidP="00EC33EC">
      <w:pPr>
        <w:tabs>
          <w:tab w:val="left" w:pos="993"/>
        </w:tabs>
        <w:ind w:firstLine="709"/>
        <w:jc w:val="both"/>
      </w:pPr>
      <w:r w:rsidRPr="004677E6">
        <w:t>-  текущи субсидии по Програмата за развитие на селските райони – 10,4 млн.</w:t>
      </w:r>
      <w:r>
        <w:t xml:space="preserve"> </w:t>
      </w:r>
      <w:r w:rsidRPr="004677E6">
        <w:t>лв., при планирани 13,3 млн.</w:t>
      </w:r>
      <w:r>
        <w:t xml:space="preserve"> </w:t>
      </w:r>
      <w:r w:rsidRPr="004677E6">
        <w:t>лв., степен на изпълнение 78,2</w:t>
      </w:r>
      <w:r>
        <w:t xml:space="preserve"> </w:t>
      </w:r>
      <w:r w:rsidRPr="004677E6">
        <w:t>%;</w:t>
      </w:r>
    </w:p>
    <w:p w:rsidR="00EC33EC" w:rsidRPr="004677E6" w:rsidRDefault="00EC33EC" w:rsidP="00EC33EC">
      <w:pPr>
        <w:ind w:firstLine="709"/>
        <w:contextualSpacing/>
        <w:jc w:val="both"/>
      </w:pPr>
      <w:r w:rsidRPr="004677E6">
        <w:t>- текущи субсидии за пазарни мерки – 0,05 млн.</w:t>
      </w:r>
      <w:r>
        <w:t xml:space="preserve"> </w:t>
      </w:r>
      <w:r w:rsidRPr="004677E6">
        <w:t>лв., при планирани 0,05 млн.</w:t>
      </w:r>
      <w:r>
        <w:t xml:space="preserve"> </w:t>
      </w:r>
      <w:r w:rsidRPr="004677E6">
        <w:t>л</w:t>
      </w:r>
      <w:r>
        <w:t>е</w:t>
      </w:r>
      <w:r w:rsidRPr="004677E6">
        <w:t>в</w:t>
      </w:r>
      <w:r>
        <w:t>а</w:t>
      </w:r>
      <w:r w:rsidRPr="004677E6">
        <w:t xml:space="preserve">. </w:t>
      </w:r>
    </w:p>
    <w:p w:rsidR="00EC33EC" w:rsidRPr="004677E6" w:rsidRDefault="00EC33EC" w:rsidP="00EC33EC">
      <w:pPr>
        <w:numPr>
          <w:ilvl w:val="0"/>
          <w:numId w:val="16"/>
        </w:numPr>
        <w:tabs>
          <w:tab w:val="left" w:pos="993"/>
        </w:tabs>
        <w:spacing w:before="120" w:after="120"/>
        <w:ind w:left="1321" w:hanging="612"/>
        <w:jc w:val="both"/>
        <w:rPr>
          <w:b/>
          <w:i/>
          <w:lang w:eastAsia="bg-BG"/>
        </w:rPr>
      </w:pPr>
      <w:r w:rsidRPr="004677E6">
        <w:rPr>
          <w:b/>
          <w:i/>
          <w:lang w:eastAsia="bg-BG"/>
        </w:rPr>
        <w:t>Капиталови трансфери за нефинансови предприятия</w:t>
      </w:r>
    </w:p>
    <w:p w:rsidR="00EC33EC" w:rsidRPr="004677E6" w:rsidRDefault="00EC33EC" w:rsidP="00065BB5">
      <w:pPr>
        <w:tabs>
          <w:tab w:val="left" w:pos="993"/>
        </w:tabs>
        <w:ind w:firstLine="567"/>
        <w:jc w:val="both"/>
      </w:pPr>
      <w:r w:rsidRPr="004677E6">
        <w:t>За 2024</w:t>
      </w:r>
      <w:r>
        <w:t xml:space="preserve"> </w:t>
      </w:r>
      <w:r w:rsidRPr="004677E6">
        <w:t>г. за капиталови трансфери за нефинансови предприятия са планирани 451,8 млн.</w:t>
      </w:r>
      <w:r>
        <w:t xml:space="preserve"> </w:t>
      </w:r>
      <w:r w:rsidRPr="004677E6">
        <w:t>л</w:t>
      </w:r>
      <w:r>
        <w:t>е</w:t>
      </w:r>
      <w:r w:rsidRPr="004677E6">
        <w:t>в</w:t>
      </w:r>
      <w:r>
        <w:t>а</w:t>
      </w:r>
      <w:r w:rsidRPr="004677E6">
        <w:t>. Към 31.12.2024</w:t>
      </w:r>
      <w:r>
        <w:t xml:space="preserve"> </w:t>
      </w:r>
      <w:r w:rsidRPr="004677E6">
        <w:t>г. са отчетени 372,1 млн.</w:t>
      </w:r>
      <w:r>
        <w:t xml:space="preserve"> </w:t>
      </w:r>
      <w:r w:rsidRPr="004677E6">
        <w:t>лв., представляващи 82,3</w:t>
      </w:r>
      <w:r>
        <w:t xml:space="preserve"> </w:t>
      </w:r>
      <w:r w:rsidRPr="004677E6">
        <w:t>% от годишния план. Отчетените за 2023</w:t>
      </w:r>
      <w:r>
        <w:t xml:space="preserve"> </w:t>
      </w:r>
      <w:r w:rsidRPr="004677E6">
        <w:t>г. разходи за капиталови субсидии за физически лица и предприятия са били 326,9 млн.</w:t>
      </w:r>
      <w:r>
        <w:t xml:space="preserve"> </w:t>
      </w:r>
      <w:r w:rsidRPr="004677E6">
        <w:t>л</w:t>
      </w:r>
      <w:r>
        <w:t>е</w:t>
      </w:r>
      <w:r w:rsidRPr="004677E6">
        <w:t>в</w:t>
      </w:r>
      <w:r>
        <w:t>а</w:t>
      </w:r>
      <w:r w:rsidRPr="004677E6">
        <w:t>.</w:t>
      </w:r>
    </w:p>
    <w:p w:rsidR="00EC33EC" w:rsidRPr="004677E6" w:rsidRDefault="00EC33EC" w:rsidP="00065BB5">
      <w:pPr>
        <w:tabs>
          <w:tab w:val="left" w:pos="993"/>
        </w:tabs>
        <w:ind w:firstLine="567"/>
        <w:jc w:val="both"/>
      </w:pPr>
      <w:r w:rsidRPr="004677E6">
        <w:t>Разпределението по дейности е както следва:</w:t>
      </w:r>
    </w:p>
    <w:p w:rsidR="00EC33EC" w:rsidRPr="004677E6" w:rsidRDefault="00EC33EC" w:rsidP="00EC33EC">
      <w:pPr>
        <w:ind w:firstLine="720"/>
        <w:contextualSpacing/>
        <w:jc w:val="both"/>
      </w:pPr>
      <w:r w:rsidRPr="004677E6">
        <w:t>- капиталови трансфери по Програмата за морско дело и рибарство (ПМДР) – 5,5 млн.</w:t>
      </w:r>
      <w:r>
        <w:t xml:space="preserve"> </w:t>
      </w:r>
      <w:r w:rsidRPr="004677E6">
        <w:t>лв., 77,5</w:t>
      </w:r>
      <w:r>
        <w:t xml:space="preserve"> </w:t>
      </w:r>
      <w:r w:rsidRPr="004677E6">
        <w:t>%  изпълнение на годишния план (7,1 млн.</w:t>
      </w:r>
      <w:r>
        <w:t xml:space="preserve"> </w:t>
      </w:r>
      <w:r w:rsidRPr="004677E6">
        <w:t>лв.);</w:t>
      </w:r>
    </w:p>
    <w:p w:rsidR="00EC33EC" w:rsidRPr="004677E6" w:rsidRDefault="00EC33EC" w:rsidP="00EC33EC">
      <w:pPr>
        <w:ind w:firstLine="720"/>
        <w:contextualSpacing/>
        <w:jc w:val="both"/>
      </w:pPr>
      <w:r w:rsidRPr="004677E6">
        <w:t>- капиталови трансфери по ПРСР – 366,1 млн.</w:t>
      </w:r>
      <w:r>
        <w:t xml:space="preserve"> </w:t>
      </w:r>
      <w:r w:rsidRPr="004677E6">
        <w:t>лв., 82,4</w:t>
      </w:r>
      <w:r>
        <w:t xml:space="preserve"> </w:t>
      </w:r>
      <w:r w:rsidRPr="004677E6">
        <w:t>% изпълнение на годишния план, възлизащ на 444,2 млн.</w:t>
      </w:r>
      <w:r>
        <w:t xml:space="preserve"> </w:t>
      </w:r>
      <w:r w:rsidRPr="004677E6">
        <w:t>лв.;</w:t>
      </w:r>
    </w:p>
    <w:p w:rsidR="00EC33EC" w:rsidRPr="004677E6" w:rsidRDefault="00EC33EC" w:rsidP="00EC33EC">
      <w:pPr>
        <w:ind w:firstLine="720"/>
        <w:contextualSpacing/>
        <w:jc w:val="both"/>
      </w:pPr>
      <w:r w:rsidRPr="004677E6">
        <w:t>- капиталови трансфери за пазарни мерки – 0,5 млн.</w:t>
      </w:r>
      <w:r>
        <w:t xml:space="preserve"> </w:t>
      </w:r>
      <w:r w:rsidRPr="004677E6">
        <w:t>лв. при годишен разчет 0,5 млн.</w:t>
      </w:r>
      <w:r>
        <w:t xml:space="preserve"> </w:t>
      </w:r>
      <w:r w:rsidRPr="004677E6">
        <w:t>лв., изпълнение 100</w:t>
      </w:r>
      <w:r>
        <w:t xml:space="preserve"> </w:t>
      </w:r>
      <w:r w:rsidRPr="004677E6">
        <w:t>%.</w:t>
      </w:r>
    </w:p>
    <w:p w:rsidR="00EC33EC" w:rsidRPr="004677E6" w:rsidRDefault="00EC33EC" w:rsidP="00EC33EC">
      <w:pPr>
        <w:numPr>
          <w:ilvl w:val="0"/>
          <w:numId w:val="16"/>
        </w:numPr>
        <w:tabs>
          <w:tab w:val="left" w:pos="993"/>
        </w:tabs>
        <w:spacing w:before="120" w:after="120"/>
        <w:ind w:left="1321" w:hanging="612"/>
        <w:jc w:val="both"/>
        <w:rPr>
          <w:b/>
          <w:i/>
          <w:lang w:eastAsia="bg-BG"/>
        </w:rPr>
      </w:pPr>
      <w:r w:rsidRPr="004677E6">
        <w:rPr>
          <w:b/>
          <w:i/>
          <w:lang w:eastAsia="bg-BG"/>
        </w:rPr>
        <w:t>Капиталови трансфери за организации с нестопанска цел</w:t>
      </w:r>
    </w:p>
    <w:p w:rsidR="00EC33EC" w:rsidRPr="004677E6" w:rsidRDefault="00EC33EC" w:rsidP="00065BB5">
      <w:pPr>
        <w:ind w:firstLine="567"/>
        <w:jc w:val="both"/>
      </w:pPr>
      <w:r w:rsidRPr="004677E6">
        <w:t>Актуализираните годишни разчети за капиталови трансфери за организации с нестопанска цел за 2024</w:t>
      </w:r>
      <w:r>
        <w:t xml:space="preserve"> </w:t>
      </w:r>
      <w:r w:rsidRPr="004677E6">
        <w:t>г. възлизат на 16</w:t>
      </w:r>
      <w:r>
        <w:t>,0</w:t>
      </w:r>
      <w:r w:rsidRPr="004677E6">
        <w:t xml:space="preserve"> млн.</w:t>
      </w:r>
      <w:r>
        <w:t xml:space="preserve"> </w:t>
      </w:r>
      <w:r w:rsidRPr="004677E6">
        <w:t>лв. Към 31.12.2024</w:t>
      </w:r>
      <w:r>
        <w:t xml:space="preserve"> </w:t>
      </w:r>
      <w:r w:rsidRPr="004677E6">
        <w:t>г. са отчетени 16,3 млн.</w:t>
      </w:r>
      <w:r>
        <w:t xml:space="preserve"> </w:t>
      </w:r>
      <w:r w:rsidRPr="004677E6">
        <w:t>лв.</w:t>
      </w:r>
      <w:r>
        <w:t xml:space="preserve"> капиталови трансфери по ПРСР</w:t>
      </w:r>
      <w:r w:rsidRPr="004677E6">
        <w:t>, като степента на изпълнение е 102</w:t>
      </w:r>
      <w:r>
        <w:t xml:space="preserve"> процента</w:t>
      </w:r>
      <w:r w:rsidRPr="004677E6">
        <w:t>. През предходната година са отчетени 17,1 млн.</w:t>
      </w:r>
      <w:r>
        <w:t xml:space="preserve"> </w:t>
      </w:r>
      <w:r w:rsidRPr="004677E6">
        <w:t>л</w:t>
      </w:r>
      <w:r>
        <w:t>е</w:t>
      </w:r>
      <w:r w:rsidRPr="004677E6">
        <w:t>в</w:t>
      </w:r>
      <w:r>
        <w:t>а</w:t>
      </w:r>
      <w:r w:rsidRPr="004677E6">
        <w:t>.</w:t>
      </w:r>
    </w:p>
    <w:p w:rsidR="00EC33EC" w:rsidRPr="004677E6" w:rsidRDefault="00EC33EC" w:rsidP="00EC33EC">
      <w:pPr>
        <w:ind w:firstLine="708"/>
        <w:jc w:val="both"/>
      </w:pPr>
    </w:p>
    <w:p w:rsidR="00EC33EC" w:rsidRPr="004677E6" w:rsidRDefault="00EC33EC" w:rsidP="00EC33EC">
      <w:pPr>
        <w:numPr>
          <w:ilvl w:val="0"/>
          <w:numId w:val="17"/>
        </w:numPr>
        <w:spacing w:before="120" w:after="120" w:line="276" w:lineRule="auto"/>
        <w:ind w:left="780"/>
        <w:contextualSpacing/>
        <w:jc w:val="both"/>
        <w:rPr>
          <w:b/>
          <w:lang w:eastAsia="bg-BG"/>
        </w:rPr>
      </w:pPr>
      <w:r w:rsidRPr="004677E6">
        <w:rPr>
          <w:b/>
          <w:lang w:eastAsia="bg-BG"/>
        </w:rPr>
        <w:t xml:space="preserve">Трансфери </w:t>
      </w:r>
    </w:p>
    <w:p w:rsidR="00EC33EC" w:rsidRPr="004677E6" w:rsidRDefault="00EC33EC" w:rsidP="00065BB5">
      <w:pPr>
        <w:tabs>
          <w:tab w:val="left" w:pos="540"/>
        </w:tabs>
        <w:ind w:firstLine="567"/>
        <w:contextualSpacing/>
        <w:jc w:val="both"/>
        <w:rPr>
          <w:b/>
          <w:lang w:eastAsia="bg-BG"/>
        </w:rPr>
      </w:pPr>
      <w:r w:rsidRPr="004677E6">
        <w:t>В частта на трансферите, в касовия отчет на ДФЗ-РА към 31.12.2024г. са отразени следните касови потоци:</w:t>
      </w:r>
    </w:p>
    <w:p w:rsidR="00EC33EC" w:rsidRPr="004677E6" w:rsidRDefault="00EC33EC" w:rsidP="00EC33EC">
      <w:pPr>
        <w:spacing w:before="120" w:after="120" w:line="276" w:lineRule="auto"/>
        <w:ind w:left="420"/>
        <w:contextualSpacing/>
        <w:jc w:val="both"/>
        <w:rPr>
          <w:b/>
          <w:lang w:eastAsia="bg-BG"/>
        </w:rPr>
      </w:pPr>
    </w:p>
    <w:p w:rsidR="00EC33EC" w:rsidRPr="004677E6" w:rsidRDefault="00EC33EC" w:rsidP="00EC33EC">
      <w:pPr>
        <w:numPr>
          <w:ilvl w:val="0"/>
          <w:numId w:val="16"/>
        </w:numPr>
        <w:tabs>
          <w:tab w:val="left" w:pos="993"/>
        </w:tabs>
        <w:spacing w:before="120" w:after="120"/>
        <w:ind w:left="1321" w:hanging="612"/>
        <w:jc w:val="both"/>
        <w:rPr>
          <w:b/>
          <w:i/>
          <w:lang w:eastAsia="bg-BG"/>
        </w:rPr>
      </w:pPr>
      <w:r w:rsidRPr="004677E6">
        <w:rPr>
          <w:b/>
          <w:i/>
          <w:lang w:eastAsia="bg-BG"/>
        </w:rPr>
        <w:t xml:space="preserve">Трансфери между ЦБ и сметки за средства от Европейския съюз </w:t>
      </w:r>
    </w:p>
    <w:p w:rsidR="00EC33EC" w:rsidRPr="004677E6" w:rsidRDefault="00EC33EC" w:rsidP="00E4628D">
      <w:pPr>
        <w:tabs>
          <w:tab w:val="left" w:pos="540"/>
          <w:tab w:val="left" w:pos="993"/>
        </w:tabs>
        <w:ind w:firstLine="567"/>
        <w:jc w:val="both"/>
      </w:pPr>
      <w:r w:rsidRPr="004677E6">
        <w:t>Планираната сума на трансфера от ЦБ е в размер 296,8 млн.</w:t>
      </w:r>
      <w:r>
        <w:t xml:space="preserve"> </w:t>
      </w:r>
      <w:r w:rsidRPr="004677E6">
        <w:t>лв. Отчетената стойност е 280</w:t>
      </w:r>
      <w:r>
        <w:t>,0</w:t>
      </w:r>
      <w:r w:rsidR="00CB0BED">
        <w:t> </w:t>
      </w:r>
      <w:r w:rsidRPr="004677E6">
        <w:t>млн.</w:t>
      </w:r>
      <w:r>
        <w:t xml:space="preserve"> </w:t>
      </w:r>
      <w:r w:rsidRPr="004677E6">
        <w:t>лв., съответстваща на получения в края на 2024</w:t>
      </w:r>
      <w:r>
        <w:t xml:space="preserve"> </w:t>
      </w:r>
      <w:r w:rsidRPr="004677E6">
        <w:t>г. трансфер от ЦБ за компенсиране на средствата, изплатени от РА за сметка на национално съфинансиране към фондовете ЕФГЗ, ЕЗФРСР, ЕФМДР, ЕФМДРА.</w:t>
      </w:r>
    </w:p>
    <w:p w:rsidR="00EC33EC" w:rsidRPr="004677E6" w:rsidRDefault="00EC33EC" w:rsidP="00EC33EC">
      <w:pPr>
        <w:numPr>
          <w:ilvl w:val="0"/>
          <w:numId w:val="16"/>
        </w:numPr>
        <w:tabs>
          <w:tab w:val="left" w:pos="993"/>
        </w:tabs>
        <w:spacing w:before="120" w:after="120"/>
        <w:ind w:left="1321" w:hanging="612"/>
        <w:jc w:val="both"/>
        <w:rPr>
          <w:b/>
          <w:i/>
          <w:lang w:eastAsia="bg-BG"/>
        </w:rPr>
      </w:pPr>
      <w:r w:rsidRPr="004677E6">
        <w:rPr>
          <w:b/>
          <w:i/>
          <w:lang w:eastAsia="bg-BG"/>
        </w:rPr>
        <w:t xml:space="preserve">Трансфери между бюджети и сметки за средства от Европейския съюз </w:t>
      </w:r>
    </w:p>
    <w:p w:rsidR="00EC33EC" w:rsidRPr="004677E6" w:rsidRDefault="00EC33EC" w:rsidP="00E4628D">
      <w:pPr>
        <w:ind w:firstLine="567"/>
        <w:jc w:val="both"/>
      </w:pPr>
      <w:r w:rsidRPr="004677E6">
        <w:t>Получените трансфери от бюджетни сметки на бюджетни организации и общини са формирани при възстановяване на суми по вземания по ПРСР и директни плащания и техният размер е 4,6 млн.</w:t>
      </w:r>
      <w:r>
        <w:t xml:space="preserve"> </w:t>
      </w:r>
      <w:r w:rsidRPr="004677E6">
        <w:t>л</w:t>
      </w:r>
      <w:r>
        <w:t>е</w:t>
      </w:r>
      <w:r w:rsidRPr="004677E6">
        <w:t>в</w:t>
      </w:r>
      <w:r>
        <w:t>а</w:t>
      </w:r>
      <w:r w:rsidRPr="004677E6">
        <w:t>.</w:t>
      </w:r>
    </w:p>
    <w:p w:rsidR="00EC33EC" w:rsidRPr="004677E6" w:rsidRDefault="00EC33EC" w:rsidP="00E4628D">
      <w:pPr>
        <w:ind w:firstLine="567"/>
        <w:jc w:val="both"/>
      </w:pPr>
      <w:r w:rsidRPr="004677E6">
        <w:t>Предоставените за периода трансфери във връзка с чл.14 от Закона за подпомагане на земеделските производители възлизат на 0,4 млн.</w:t>
      </w:r>
      <w:r>
        <w:t xml:space="preserve"> </w:t>
      </w:r>
      <w:r w:rsidRPr="004677E6">
        <w:t>л</w:t>
      </w:r>
      <w:r>
        <w:t>е</w:t>
      </w:r>
      <w:r w:rsidRPr="004677E6">
        <w:t>в</w:t>
      </w:r>
      <w:r>
        <w:t>а</w:t>
      </w:r>
      <w:r w:rsidRPr="004677E6">
        <w:t>.</w:t>
      </w:r>
    </w:p>
    <w:p w:rsidR="00EC33EC" w:rsidRPr="004677E6" w:rsidRDefault="00EC33EC" w:rsidP="00EC33EC">
      <w:pPr>
        <w:numPr>
          <w:ilvl w:val="0"/>
          <w:numId w:val="16"/>
        </w:numPr>
        <w:tabs>
          <w:tab w:val="left" w:pos="993"/>
        </w:tabs>
        <w:spacing w:before="120" w:after="120"/>
        <w:ind w:left="1321" w:hanging="612"/>
        <w:jc w:val="both"/>
        <w:rPr>
          <w:b/>
          <w:i/>
          <w:lang w:eastAsia="bg-BG"/>
        </w:rPr>
      </w:pPr>
      <w:r w:rsidRPr="004677E6">
        <w:rPr>
          <w:b/>
          <w:i/>
          <w:lang w:eastAsia="bg-BG"/>
        </w:rPr>
        <w:lastRenderedPageBreak/>
        <w:t>Трансфери между сметки за средства от Европейския съюз:</w:t>
      </w:r>
    </w:p>
    <w:p w:rsidR="00EC33EC" w:rsidRPr="004677E6" w:rsidRDefault="00EC33EC" w:rsidP="006B0802">
      <w:pPr>
        <w:tabs>
          <w:tab w:val="left" w:pos="540"/>
        </w:tabs>
        <w:ind w:firstLine="567"/>
        <w:jc w:val="both"/>
      </w:pPr>
      <w:r w:rsidRPr="004677E6">
        <w:t>Трансферите са формирани от изплатените субсидии на публични бенефициенти и възстановените от тях суми. Към 31.12.2024</w:t>
      </w:r>
      <w:r>
        <w:t xml:space="preserve"> </w:t>
      </w:r>
      <w:r w:rsidRPr="004677E6">
        <w:t>г. са отчетени 211,5 млн.</w:t>
      </w:r>
      <w:r>
        <w:t xml:space="preserve"> </w:t>
      </w:r>
      <w:r w:rsidRPr="004677E6">
        <w:t xml:space="preserve">лв., в т.ч.: </w:t>
      </w:r>
    </w:p>
    <w:p w:rsidR="00EC33EC" w:rsidRPr="004677E6" w:rsidRDefault="00EC33EC" w:rsidP="00EC33EC">
      <w:pPr>
        <w:numPr>
          <w:ilvl w:val="0"/>
          <w:numId w:val="22"/>
        </w:numPr>
        <w:tabs>
          <w:tab w:val="left" w:pos="540"/>
          <w:tab w:val="left" w:pos="851"/>
        </w:tabs>
        <w:ind w:left="0" w:firstLine="709"/>
        <w:contextualSpacing/>
        <w:jc w:val="both"/>
      </w:pPr>
      <w:r w:rsidRPr="004677E6">
        <w:t>национално съфинансиране към директни плащания: 0,4 млн.</w:t>
      </w:r>
      <w:r>
        <w:t xml:space="preserve"> </w:t>
      </w:r>
      <w:r w:rsidRPr="004677E6">
        <w:t>лв.</w:t>
      </w:r>
      <w:r>
        <w:t>;</w:t>
      </w:r>
    </w:p>
    <w:p w:rsidR="00EC33EC" w:rsidRPr="004677E6" w:rsidRDefault="00EC33EC" w:rsidP="00EC33EC">
      <w:pPr>
        <w:numPr>
          <w:ilvl w:val="0"/>
          <w:numId w:val="22"/>
        </w:numPr>
        <w:tabs>
          <w:tab w:val="left" w:pos="540"/>
          <w:tab w:val="left" w:pos="851"/>
        </w:tabs>
        <w:ind w:left="0" w:firstLine="709"/>
        <w:contextualSpacing/>
        <w:jc w:val="both"/>
      </w:pPr>
      <w:r w:rsidRPr="004677E6">
        <w:t>по Програмата за развитие на селските райони: 197,8 млн.</w:t>
      </w:r>
      <w:r>
        <w:t xml:space="preserve"> </w:t>
      </w:r>
      <w:r w:rsidRPr="004677E6">
        <w:t>лв.;</w:t>
      </w:r>
    </w:p>
    <w:p w:rsidR="00EC33EC" w:rsidRPr="004677E6" w:rsidRDefault="00EC33EC" w:rsidP="00EC33EC">
      <w:pPr>
        <w:numPr>
          <w:ilvl w:val="0"/>
          <w:numId w:val="22"/>
        </w:numPr>
        <w:tabs>
          <w:tab w:val="left" w:pos="540"/>
          <w:tab w:val="left" w:pos="851"/>
        </w:tabs>
        <w:ind w:left="0" w:firstLine="709"/>
        <w:contextualSpacing/>
        <w:jc w:val="both"/>
      </w:pPr>
      <w:r w:rsidRPr="004677E6">
        <w:t>по Програмата за морско дело и рибарство: 13,3 млн.</w:t>
      </w:r>
      <w:r>
        <w:t xml:space="preserve"> </w:t>
      </w:r>
      <w:r w:rsidRPr="004677E6">
        <w:t>л</w:t>
      </w:r>
      <w:r>
        <w:t>е</w:t>
      </w:r>
      <w:r w:rsidRPr="004677E6">
        <w:t>в</w:t>
      </w:r>
      <w:r>
        <w:t>а</w:t>
      </w:r>
      <w:r w:rsidRPr="004677E6">
        <w:t>.</w:t>
      </w:r>
    </w:p>
    <w:p w:rsidR="00EC33EC" w:rsidRPr="004677E6" w:rsidRDefault="00EC33EC" w:rsidP="006B0802">
      <w:pPr>
        <w:tabs>
          <w:tab w:val="left" w:pos="540"/>
        </w:tabs>
        <w:ind w:firstLine="567"/>
        <w:jc w:val="both"/>
      </w:pPr>
      <w:r w:rsidRPr="004677E6">
        <w:t>Към края 2023</w:t>
      </w:r>
      <w:r>
        <w:t xml:space="preserve"> </w:t>
      </w:r>
      <w:r w:rsidRPr="004677E6">
        <w:t xml:space="preserve">г. предоставените трансфери </w:t>
      </w:r>
      <w:r>
        <w:t>в</w:t>
      </w:r>
      <w:r w:rsidRPr="004677E6">
        <w:t>ъзлиза</w:t>
      </w:r>
      <w:r>
        <w:t>т</w:t>
      </w:r>
      <w:r w:rsidRPr="004677E6">
        <w:t xml:space="preserve"> на 156,5 млн.</w:t>
      </w:r>
      <w:r>
        <w:t xml:space="preserve"> </w:t>
      </w:r>
      <w:r w:rsidRPr="004677E6">
        <w:t>л</w:t>
      </w:r>
      <w:r>
        <w:t>е</w:t>
      </w:r>
      <w:r w:rsidRPr="004677E6">
        <w:t>в</w:t>
      </w:r>
      <w:r>
        <w:t>а</w:t>
      </w:r>
      <w:r w:rsidRPr="004677E6">
        <w:t>.</w:t>
      </w:r>
    </w:p>
    <w:p w:rsidR="00EC33EC" w:rsidRPr="004677E6" w:rsidRDefault="00EC33EC" w:rsidP="00EC33EC">
      <w:pPr>
        <w:tabs>
          <w:tab w:val="left" w:pos="540"/>
        </w:tabs>
        <w:jc w:val="both"/>
      </w:pPr>
    </w:p>
    <w:p w:rsidR="00EC33EC" w:rsidRPr="004677E6" w:rsidRDefault="00EC33EC" w:rsidP="00EC33EC">
      <w:pPr>
        <w:numPr>
          <w:ilvl w:val="0"/>
          <w:numId w:val="17"/>
        </w:numPr>
        <w:spacing w:before="120" w:after="120" w:line="276" w:lineRule="auto"/>
        <w:ind w:left="780"/>
        <w:contextualSpacing/>
        <w:jc w:val="both"/>
        <w:rPr>
          <w:b/>
          <w:lang w:eastAsia="bg-BG"/>
        </w:rPr>
      </w:pPr>
      <w:r w:rsidRPr="004677E6">
        <w:rPr>
          <w:b/>
          <w:lang w:eastAsia="bg-BG"/>
        </w:rPr>
        <w:t>Финансиране</w:t>
      </w:r>
    </w:p>
    <w:p w:rsidR="00EC33EC" w:rsidRPr="004677E6" w:rsidRDefault="00EC33EC" w:rsidP="00EC33EC">
      <w:pPr>
        <w:numPr>
          <w:ilvl w:val="0"/>
          <w:numId w:val="16"/>
        </w:numPr>
        <w:tabs>
          <w:tab w:val="left" w:pos="993"/>
        </w:tabs>
        <w:spacing w:before="120" w:after="120"/>
        <w:ind w:left="851" w:hanging="425"/>
        <w:jc w:val="both"/>
        <w:rPr>
          <w:b/>
          <w:lang w:eastAsia="bg-BG"/>
        </w:rPr>
      </w:pPr>
      <w:r w:rsidRPr="004677E6">
        <w:rPr>
          <w:b/>
          <w:lang w:eastAsia="bg-BG"/>
        </w:rPr>
        <w:t>Суми по разчети за поети осигурителни вноски и данъци</w:t>
      </w:r>
    </w:p>
    <w:p w:rsidR="00EC33EC" w:rsidRPr="004677E6" w:rsidRDefault="00EC33EC" w:rsidP="006B0802">
      <w:pPr>
        <w:ind w:firstLine="567"/>
        <w:jc w:val="both"/>
        <w:rPr>
          <w:lang w:eastAsia="bg-BG"/>
        </w:rPr>
      </w:pPr>
      <w:r w:rsidRPr="004677E6">
        <w:rPr>
          <w:lang w:eastAsia="bg-BG"/>
        </w:rPr>
        <w:t>Към края на 2024</w:t>
      </w:r>
      <w:r>
        <w:rPr>
          <w:lang w:eastAsia="bg-BG"/>
        </w:rPr>
        <w:t xml:space="preserve"> </w:t>
      </w:r>
      <w:r w:rsidRPr="004677E6">
        <w:rPr>
          <w:lang w:eastAsia="bg-BG"/>
        </w:rPr>
        <w:t>г. сумата по разчети за поети данъци, формирани от удържан и внесен окончателен данък на физически лица, съгл. чл. 65, ал. 14 от ЗДДФЛ възлиза нето на минус 0,0</w:t>
      </w:r>
      <w:r>
        <w:rPr>
          <w:lang w:eastAsia="bg-BG"/>
        </w:rPr>
        <w:t>2</w:t>
      </w:r>
      <w:r w:rsidR="00AA6833">
        <w:rPr>
          <w:lang w:eastAsia="bg-BG"/>
        </w:rPr>
        <w:t> </w:t>
      </w:r>
      <w:r w:rsidRPr="004677E6">
        <w:rPr>
          <w:lang w:eastAsia="bg-BG"/>
        </w:rPr>
        <w:t>млн.</w:t>
      </w:r>
      <w:r>
        <w:rPr>
          <w:lang w:eastAsia="bg-BG"/>
        </w:rPr>
        <w:t xml:space="preserve"> </w:t>
      </w:r>
      <w:r w:rsidRPr="004677E6">
        <w:rPr>
          <w:lang w:eastAsia="bg-BG"/>
        </w:rPr>
        <w:t>л</w:t>
      </w:r>
      <w:r>
        <w:rPr>
          <w:lang w:eastAsia="bg-BG"/>
        </w:rPr>
        <w:t>е</w:t>
      </w:r>
      <w:r w:rsidRPr="004677E6">
        <w:rPr>
          <w:lang w:eastAsia="bg-BG"/>
        </w:rPr>
        <w:t>в</w:t>
      </w:r>
      <w:r>
        <w:rPr>
          <w:lang w:eastAsia="bg-BG"/>
        </w:rPr>
        <w:t>а</w:t>
      </w:r>
      <w:r w:rsidRPr="004677E6">
        <w:rPr>
          <w:lang w:eastAsia="bg-BG"/>
        </w:rPr>
        <w:t>.</w:t>
      </w:r>
    </w:p>
    <w:p w:rsidR="00EC33EC" w:rsidRPr="004677E6" w:rsidRDefault="00EC33EC" w:rsidP="00EC33EC">
      <w:pPr>
        <w:numPr>
          <w:ilvl w:val="0"/>
          <w:numId w:val="16"/>
        </w:numPr>
        <w:tabs>
          <w:tab w:val="left" w:pos="993"/>
        </w:tabs>
        <w:spacing w:before="120" w:after="120"/>
        <w:ind w:left="851" w:hanging="425"/>
        <w:jc w:val="both"/>
        <w:rPr>
          <w:b/>
          <w:lang w:eastAsia="bg-BG"/>
        </w:rPr>
      </w:pPr>
      <w:r w:rsidRPr="004677E6">
        <w:rPr>
          <w:b/>
          <w:lang w:eastAsia="bg-BG"/>
        </w:rPr>
        <w:t>Друго финансиране</w:t>
      </w:r>
    </w:p>
    <w:p w:rsidR="00EC33EC" w:rsidRPr="004677E6" w:rsidRDefault="00EC33EC" w:rsidP="006B0802">
      <w:pPr>
        <w:ind w:firstLine="567"/>
        <w:jc w:val="both"/>
        <w:rPr>
          <w:lang w:eastAsia="bg-BG"/>
        </w:rPr>
      </w:pPr>
      <w:r w:rsidRPr="004677E6">
        <w:rPr>
          <w:lang w:eastAsia="bg-BG"/>
        </w:rPr>
        <w:t>За периода 01.01-31.12.2024</w:t>
      </w:r>
      <w:r>
        <w:rPr>
          <w:lang w:eastAsia="bg-BG"/>
        </w:rPr>
        <w:t xml:space="preserve"> </w:t>
      </w:r>
      <w:r w:rsidRPr="004677E6">
        <w:rPr>
          <w:lang w:eastAsia="bg-BG"/>
        </w:rPr>
        <w:t>г. извършените плащания, възстановените суми, разчетът с централния бюджет и операциите с чужди средства, включени в отчетността в „Друго финансиране“ възлизат общо на 71,4 млн.</w:t>
      </w:r>
      <w:r>
        <w:rPr>
          <w:lang w:eastAsia="bg-BG"/>
        </w:rPr>
        <w:t xml:space="preserve"> </w:t>
      </w:r>
      <w:r w:rsidRPr="004677E6">
        <w:rPr>
          <w:lang w:eastAsia="bg-BG"/>
        </w:rPr>
        <w:t>лв., при планирани 15,8 млн.</w:t>
      </w:r>
      <w:r>
        <w:rPr>
          <w:lang w:eastAsia="bg-BG"/>
        </w:rPr>
        <w:t xml:space="preserve"> </w:t>
      </w:r>
      <w:r w:rsidRPr="004677E6">
        <w:rPr>
          <w:lang w:eastAsia="bg-BG"/>
        </w:rPr>
        <w:t>л</w:t>
      </w:r>
      <w:r>
        <w:rPr>
          <w:lang w:eastAsia="bg-BG"/>
        </w:rPr>
        <w:t>е</w:t>
      </w:r>
      <w:r w:rsidRPr="004677E6">
        <w:rPr>
          <w:lang w:eastAsia="bg-BG"/>
        </w:rPr>
        <w:t>в</w:t>
      </w:r>
      <w:r>
        <w:rPr>
          <w:lang w:eastAsia="bg-BG"/>
        </w:rPr>
        <w:t>а</w:t>
      </w:r>
      <w:r w:rsidRPr="004677E6">
        <w:rPr>
          <w:lang w:eastAsia="bg-BG"/>
        </w:rPr>
        <w:t>.</w:t>
      </w:r>
    </w:p>
    <w:p w:rsidR="00EC33EC" w:rsidRPr="004677E6" w:rsidRDefault="00EC33EC" w:rsidP="006B0802">
      <w:pPr>
        <w:ind w:firstLine="567"/>
        <w:jc w:val="both"/>
        <w:rPr>
          <w:lang w:eastAsia="bg-BG"/>
        </w:rPr>
      </w:pPr>
      <w:r>
        <w:rPr>
          <w:lang w:eastAsia="bg-BG"/>
        </w:rPr>
        <w:t xml:space="preserve">През </w:t>
      </w:r>
      <w:r w:rsidRPr="004677E6">
        <w:rPr>
          <w:lang w:eastAsia="bg-BG"/>
        </w:rPr>
        <w:t>2024</w:t>
      </w:r>
      <w:r>
        <w:rPr>
          <w:lang w:eastAsia="bg-BG"/>
        </w:rPr>
        <w:t xml:space="preserve"> </w:t>
      </w:r>
      <w:r w:rsidRPr="004677E6">
        <w:rPr>
          <w:lang w:eastAsia="bg-BG"/>
        </w:rPr>
        <w:t>г. плащания</w:t>
      </w:r>
      <w:r>
        <w:rPr>
          <w:lang w:eastAsia="bg-BG"/>
        </w:rPr>
        <w:t>та са</w:t>
      </w:r>
      <w:r w:rsidRPr="004677E6">
        <w:rPr>
          <w:lang w:eastAsia="bg-BG"/>
        </w:rPr>
        <w:t xml:space="preserve"> в общ размер 1 875,7 млн.</w:t>
      </w:r>
      <w:r>
        <w:rPr>
          <w:lang w:eastAsia="bg-BG"/>
        </w:rPr>
        <w:t xml:space="preserve"> </w:t>
      </w:r>
      <w:r w:rsidRPr="004677E6">
        <w:rPr>
          <w:lang w:eastAsia="bg-BG"/>
        </w:rPr>
        <w:t>лв., представляващи 96</w:t>
      </w:r>
      <w:r>
        <w:rPr>
          <w:lang w:eastAsia="bg-BG"/>
        </w:rPr>
        <w:t xml:space="preserve">,0 </w:t>
      </w:r>
      <w:r w:rsidRPr="004677E6">
        <w:rPr>
          <w:lang w:eastAsia="bg-BG"/>
        </w:rPr>
        <w:t>% от годишните разчети, които са 1 953 млн.</w:t>
      </w:r>
      <w:r>
        <w:rPr>
          <w:lang w:eastAsia="bg-BG"/>
        </w:rPr>
        <w:t xml:space="preserve"> </w:t>
      </w:r>
      <w:r w:rsidRPr="004677E6">
        <w:rPr>
          <w:lang w:eastAsia="bg-BG"/>
        </w:rPr>
        <w:t>л</w:t>
      </w:r>
      <w:r>
        <w:rPr>
          <w:lang w:eastAsia="bg-BG"/>
        </w:rPr>
        <w:t>е</w:t>
      </w:r>
      <w:r w:rsidRPr="004677E6">
        <w:rPr>
          <w:lang w:eastAsia="bg-BG"/>
        </w:rPr>
        <w:t>в</w:t>
      </w:r>
      <w:r>
        <w:rPr>
          <w:lang w:eastAsia="bg-BG"/>
        </w:rPr>
        <w:t>а</w:t>
      </w:r>
      <w:r w:rsidRPr="004677E6">
        <w:rPr>
          <w:lang w:eastAsia="bg-BG"/>
        </w:rPr>
        <w:t>. За 2023</w:t>
      </w:r>
      <w:r>
        <w:rPr>
          <w:lang w:eastAsia="bg-BG"/>
        </w:rPr>
        <w:t xml:space="preserve"> </w:t>
      </w:r>
      <w:r w:rsidRPr="004677E6">
        <w:rPr>
          <w:lang w:eastAsia="bg-BG"/>
        </w:rPr>
        <w:t>г. плащанията, отчитани като финансиране са били 1 544,5 млн.</w:t>
      </w:r>
      <w:r>
        <w:rPr>
          <w:lang w:eastAsia="bg-BG"/>
        </w:rPr>
        <w:t xml:space="preserve"> </w:t>
      </w:r>
      <w:r w:rsidRPr="004677E6">
        <w:rPr>
          <w:lang w:eastAsia="bg-BG"/>
        </w:rPr>
        <w:t>л</w:t>
      </w:r>
      <w:r>
        <w:rPr>
          <w:lang w:eastAsia="bg-BG"/>
        </w:rPr>
        <w:t>е</w:t>
      </w:r>
      <w:r w:rsidRPr="004677E6">
        <w:rPr>
          <w:lang w:eastAsia="bg-BG"/>
        </w:rPr>
        <w:t>в</w:t>
      </w:r>
      <w:r>
        <w:rPr>
          <w:lang w:eastAsia="bg-BG"/>
        </w:rPr>
        <w:t>а</w:t>
      </w:r>
      <w:r w:rsidRPr="004677E6">
        <w:rPr>
          <w:lang w:eastAsia="bg-BG"/>
        </w:rPr>
        <w:t>.</w:t>
      </w:r>
    </w:p>
    <w:p w:rsidR="00EC33EC" w:rsidRPr="004677E6" w:rsidRDefault="00EC33EC" w:rsidP="006B0802">
      <w:pPr>
        <w:ind w:firstLine="567"/>
        <w:jc w:val="both"/>
        <w:rPr>
          <w:szCs w:val="20"/>
        </w:rPr>
      </w:pPr>
      <w:r w:rsidRPr="004677E6">
        <w:rPr>
          <w:szCs w:val="20"/>
        </w:rPr>
        <w:t>Отчетените плащания са по следните направления:</w:t>
      </w:r>
    </w:p>
    <w:p w:rsidR="00EC33EC" w:rsidRPr="004677E6" w:rsidRDefault="00EC33EC" w:rsidP="00EC33EC">
      <w:pPr>
        <w:numPr>
          <w:ilvl w:val="0"/>
          <w:numId w:val="18"/>
        </w:numPr>
        <w:tabs>
          <w:tab w:val="left" w:pos="993"/>
        </w:tabs>
        <w:ind w:left="0" w:firstLine="709"/>
        <w:jc w:val="both"/>
        <w:rPr>
          <w:szCs w:val="20"/>
        </w:rPr>
      </w:pPr>
      <w:r w:rsidRPr="004677E6">
        <w:rPr>
          <w:szCs w:val="20"/>
        </w:rPr>
        <w:t>1 723,6 млн.</w:t>
      </w:r>
      <w:r>
        <w:rPr>
          <w:szCs w:val="20"/>
        </w:rPr>
        <w:t xml:space="preserve"> </w:t>
      </w:r>
      <w:r w:rsidRPr="004677E6">
        <w:rPr>
          <w:szCs w:val="20"/>
        </w:rPr>
        <w:t>лв. за директни плащания за сметка на ЕФГЗ, представляващи 95,8</w:t>
      </w:r>
      <w:r>
        <w:rPr>
          <w:szCs w:val="20"/>
        </w:rPr>
        <w:t xml:space="preserve"> </w:t>
      </w:r>
      <w:r w:rsidRPr="004677E6">
        <w:rPr>
          <w:szCs w:val="20"/>
        </w:rPr>
        <w:t>% от планираните 1</w:t>
      </w:r>
      <w:r w:rsidRPr="004677E6">
        <w:rPr>
          <w:szCs w:val="20"/>
          <w:lang w:val="en-US"/>
        </w:rPr>
        <w:t> </w:t>
      </w:r>
      <w:r w:rsidRPr="004677E6">
        <w:rPr>
          <w:szCs w:val="20"/>
        </w:rPr>
        <w:t>798,5 млн.</w:t>
      </w:r>
      <w:r>
        <w:rPr>
          <w:szCs w:val="20"/>
        </w:rPr>
        <w:t xml:space="preserve"> </w:t>
      </w:r>
      <w:r w:rsidRPr="004677E6">
        <w:rPr>
          <w:szCs w:val="20"/>
        </w:rPr>
        <w:t>лв.;</w:t>
      </w:r>
    </w:p>
    <w:p w:rsidR="00EC33EC" w:rsidRPr="004677E6" w:rsidRDefault="00EC33EC" w:rsidP="00EC33EC">
      <w:pPr>
        <w:numPr>
          <w:ilvl w:val="0"/>
          <w:numId w:val="18"/>
        </w:numPr>
        <w:tabs>
          <w:tab w:val="left" w:pos="993"/>
        </w:tabs>
        <w:ind w:left="0" w:firstLine="709"/>
        <w:jc w:val="both"/>
        <w:rPr>
          <w:szCs w:val="20"/>
        </w:rPr>
      </w:pPr>
      <w:r w:rsidRPr="004677E6">
        <w:rPr>
          <w:szCs w:val="20"/>
        </w:rPr>
        <w:t>118,3 млн.</w:t>
      </w:r>
      <w:r>
        <w:rPr>
          <w:szCs w:val="20"/>
        </w:rPr>
        <w:t xml:space="preserve"> </w:t>
      </w:r>
      <w:r w:rsidRPr="004677E6">
        <w:rPr>
          <w:szCs w:val="20"/>
        </w:rPr>
        <w:t>лв. средства от ЕЗФРСР, прехвърлени към директни плащания, което е 98,7% от планираните  119,8 млн.</w:t>
      </w:r>
      <w:r>
        <w:rPr>
          <w:szCs w:val="20"/>
        </w:rPr>
        <w:t xml:space="preserve"> </w:t>
      </w:r>
      <w:r w:rsidRPr="004677E6">
        <w:rPr>
          <w:szCs w:val="20"/>
        </w:rPr>
        <w:t>лв.;</w:t>
      </w:r>
    </w:p>
    <w:p w:rsidR="00EC33EC" w:rsidRPr="004677E6" w:rsidRDefault="00EC33EC" w:rsidP="00EC33EC">
      <w:pPr>
        <w:numPr>
          <w:ilvl w:val="0"/>
          <w:numId w:val="18"/>
        </w:numPr>
        <w:tabs>
          <w:tab w:val="left" w:pos="993"/>
        </w:tabs>
        <w:ind w:left="0" w:firstLine="709"/>
        <w:jc w:val="both"/>
        <w:rPr>
          <w:szCs w:val="20"/>
        </w:rPr>
      </w:pPr>
      <w:r w:rsidRPr="004677E6">
        <w:rPr>
          <w:szCs w:val="20"/>
        </w:rPr>
        <w:t>20,4 млн.</w:t>
      </w:r>
      <w:r>
        <w:rPr>
          <w:szCs w:val="20"/>
        </w:rPr>
        <w:t xml:space="preserve"> </w:t>
      </w:r>
      <w:r w:rsidRPr="004677E6">
        <w:rPr>
          <w:szCs w:val="20"/>
        </w:rPr>
        <w:t>лв. за пазарни мерки при разчет за плащания в размер 20,7 млн.</w:t>
      </w:r>
      <w:r>
        <w:rPr>
          <w:szCs w:val="20"/>
        </w:rPr>
        <w:t xml:space="preserve"> </w:t>
      </w:r>
      <w:r w:rsidRPr="004677E6">
        <w:rPr>
          <w:szCs w:val="20"/>
        </w:rPr>
        <w:t>лв. изпълнение 98,5</w:t>
      </w:r>
      <w:r>
        <w:rPr>
          <w:szCs w:val="20"/>
        </w:rPr>
        <w:t xml:space="preserve"> процента</w:t>
      </w:r>
      <w:r w:rsidRPr="004677E6">
        <w:rPr>
          <w:szCs w:val="20"/>
        </w:rPr>
        <w:t>;</w:t>
      </w:r>
    </w:p>
    <w:p w:rsidR="00EC33EC" w:rsidRPr="004677E6" w:rsidRDefault="00EC33EC" w:rsidP="00EC33EC">
      <w:pPr>
        <w:numPr>
          <w:ilvl w:val="0"/>
          <w:numId w:val="18"/>
        </w:numPr>
        <w:tabs>
          <w:tab w:val="left" w:pos="993"/>
        </w:tabs>
        <w:ind w:left="0" w:firstLine="709"/>
        <w:jc w:val="both"/>
        <w:rPr>
          <w:szCs w:val="20"/>
        </w:rPr>
      </w:pPr>
      <w:r w:rsidRPr="004677E6">
        <w:rPr>
          <w:szCs w:val="20"/>
        </w:rPr>
        <w:t>13,3 млн.</w:t>
      </w:r>
      <w:r>
        <w:rPr>
          <w:szCs w:val="20"/>
        </w:rPr>
        <w:t xml:space="preserve"> </w:t>
      </w:r>
      <w:r w:rsidRPr="004677E6">
        <w:rPr>
          <w:szCs w:val="20"/>
        </w:rPr>
        <w:t>лв. за преструктуриране, изпълнение 95% от планираните плащания в размер 14 млн.</w:t>
      </w:r>
      <w:r>
        <w:rPr>
          <w:szCs w:val="20"/>
        </w:rPr>
        <w:t xml:space="preserve"> </w:t>
      </w:r>
      <w:r w:rsidRPr="004677E6">
        <w:rPr>
          <w:szCs w:val="20"/>
        </w:rPr>
        <w:t>л</w:t>
      </w:r>
      <w:r>
        <w:rPr>
          <w:szCs w:val="20"/>
        </w:rPr>
        <w:t>е</w:t>
      </w:r>
      <w:r w:rsidRPr="004677E6">
        <w:rPr>
          <w:szCs w:val="20"/>
        </w:rPr>
        <w:t>в</w:t>
      </w:r>
      <w:r>
        <w:rPr>
          <w:szCs w:val="20"/>
        </w:rPr>
        <w:t>а</w:t>
      </w:r>
      <w:r w:rsidRPr="004677E6">
        <w:rPr>
          <w:szCs w:val="20"/>
        </w:rPr>
        <w:t>.</w:t>
      </w:r>
    </w:p>
    <w:p w:rsidR="00EC33EC" w:rsidRPr="004677E6" w:rsidRDefault="00EC33EC" w:rsidP="006B0802">
      <w:pPr>
        <w:ind w:firstLine="567"/>
        <w:jc w:val="both"/>
        <w:rPr>
          <w:szCs w:val="20"/>
        </w:rPr>
      </w:pPr>
      <w:r w:rsidRPr="004677E6">
        <w:rPr>
          <w:szCs w:val="20"/>
        </w:rPr>
        <w:t>Възстановените суми от Европейския съюз към 31.12.2024</w:t>
      </w:r>
      <w:r>
        <w:rPr>
          <w:szCs w:val="20"/>
        </w:rPr>
        <w:t xml:space="preserve"> </w:t>
      </w:r>
      <w:r w:rsidRPr="004677E6">
        <w:rPr>
          <w:szCs w:val="20"/>
        </w:rPr>
        <w:t>г. възлизат общо на 1 710,3  млн.</w:t>
      </w:r>
      <w:r>
        <w:rPr>
          <w:szCs w:val="20"/>
        </w:rPr>
        <w:t xml:space="preserve"> </w:t>
      </w:r>
      <w:r w:rsidRPr="004677E6">
        <w:rPr>
          <w:szCs w:val="20"/>
        </w:rPr>
        <w:t>лв., представляващи 99,9</w:t>
      </w:r>
      <w:r>
        <w:rPr>
          <w:szCs w:val="20"/>
        </w:rPr>
        <w:t xml:space="preserve"> </w:t>
      </w:r>
      <w:r w:rsidRPr="004677E6">
        <w:rPr>
          <w:szCs w:val="20"/>
        </w:rPr>
        <w:t>% от планираните 1 710,4 млн.</w:t>
      </w:r>
      <w:r>
        <w:rPr>
          <w:szCs w:val="20"/>
        </w:rPr>
        <w:t xml:space="preserve"> </w:t>
      </w:r>
      <w:r w:rsidRPr="004677E6">
        <w:rPr>
          <w:szCs w:val="20"/>
        </w:rPr>
        <w:t>л</w:t>
      </w:r>
      <w:r>
        <w:rPr>
          <w:szCs w:val="20"/>
        </w:rPr>
        <w:t>е</w:t>
      </w:r>
      <w:r w:rsidRPr="004677E6">
        <w:rPr>
          <w:szCs w:val="20"/>
        </w:rPr>
        <w:t>в</w:t>
      </w:r>
      <w:r>
        <w:rPr>
          <w:szCs w:val="20"/>
        </w:rPr>
        <w:t>а</w:t>
      </w:r>
      <w:r w:rsidRPr="004677E6">
        <w:rPr>
          <w:szCs w:val="20"/>
        </w:rPr>
        <w:t xml:space="preserve">. </w:t>
      </w:r>
      <w:r>
        <w:rPr>
          <w:szCs w:val="20"/>
        </w:rPr>
        <w:t>И</w:t>
      </w:r>
      <w:r w:rsidRPr="004677E6">
        <w:rPr>
          <w:szCs w:val="20"/>
        </w:rPr>
        <w:t>зпълнение за 2023</w:t>
      </w:r>
      <w:r>
        <w:rPr>
          <w:szCs w:val="20"/>
        </w:rPr>
        <w:t xml:space="preserve"> </w:t>
      </w:r>
      <w:r w:rsidRPr="004677E6">
        <w:rPr>
          <w:szCs w:val="20"/>
        </w:rPr>
        <w:t>г. е 1 863,2 млн.</w:t>
      </w:r>
      <w:r>
        <w:rPr>
          <w:szCs w:val="20"/>
        </w:rPr>
        <w:t xml:space="preserve"> </w:t>
      </w:r>
      <w:r w:rsidRPr="004677E6">
        <w:rPr>
          <w:szCs w:val="20"/>
        </w:rPr>
        <w:t>л</w:t>
      </w:r>
      <w:r>
        <w:rPr>
          <w:szCs w:val="20"/>
        </w:rPr>
        <w:t>е</w:t>
      </w:r>
      <w:r w:rsidRPr="004677E6">
        <w:rPr>
          <w:szCs w:val="20"/>
        </w:rPr>
        <w:t>в</w:t>
      </w:r>
      <w:r>
        <w:rPr>
          <w:szCs w:val="20"/>
        </w:rPr>
        <w:t>а</w:t>
      </w:r>
      <w:r w:rsidRPr="004677E6">
        <w:rPr>
          <w:szCs w:val="20"/>
        </w:rPr>
        <w:t>.</w:t>
      </w:r>
    </w:p>
    <w:p w:rsidR="00EC33EC" w:rsidRPr="004677E6" w:rsidRDefault="00EC33EC" w:rsidP="006B0802">
      <w:pPr>
        <w:tabs>
          <w:tab w:val="left" w:pos="709"/>
        </w:tabs>
        <w:ind w:firstLine="567"/>
        <w:jc w:val="both"/>
        <w:rPr>
          <w:lang w:eastAsia="bg-BG"/>
        </w:rPr>
      </w:pPr>
      <w:r w:rsidRPr="004677E6">
        <w:rPr>
          <w:lang w:eastAsia="bg-BG"/>
        </w:rPr>
        <w:t>Възстановени са суми по следните направления:</w:t>
      </w:r>
    </w:p>
    <w:p w:rsidR="00EC33EC" w:rsidRPr="004677E6" w:rsidRDefault="00EC33EC" w:rsidP="00EC33EC">
      <w:pPr>
        <w:numPr>
          <w:ilvl w:val="0"/>
          <w:numId w:val="18"/>
        </w:numPr>
        <w:tabs>
          <w:tab w:val="left" w:pos="993"/>
        </w:tabs>
        <w:ind w:left="0" w:firstLine="709"/>
        <w:jc w:val="both"/>
        <w:rPr>
          <w:lang w:eastAsia="bg-BG"/>
        </w:rPr>
      </w:pPr>
      <w:r w:rsidRPr="004677E6">
        <w:rPr>
          <w:lang w:eastAsia="bg-BG"/>
        </w:rPr>
        <w:t>1 555,9 млн.</w:t>
      </w:r>
      <w:r>
        <w:rPr>
          <w:lang w:eastAsia="bg-BG"/>
        </w:rPr>
        <w:t xml:space="preserve"> </w:t>
      </w:r>
      <w:r w:rsidRPr="004677E6">
        <w:rPr>
          <w:lang w:eastAsia="bg-BG"/>
        </w:rPr>
        <w:t xml:space="preserve">лв. за директни плащания от ЕФГЗ – </w:t>
      </w:r>
      <w:r>
        <w:rPr>
          <w:lang w:eastAsia="bg-BG"/>
        </w:rPr>
        <w:t xml:space="preserve">изпълнението е </w:t>
      </w:r>
      <w:r w:rsidRPr="004677E6">
        <w:rPr>
          <w:lang w:eastAsia="bg-BG"/>
        </w:rPr>
        <w:t>100</w:t>
      </w:r>
      <w:r>
        <w:rPr>
          <w:lang w:eastAsia="bg-BG"/>
        </w:rPr>
        <w:t xml:space="preserve"> </w:t>
      </w:r>
      <w:r w:rsidRPr="004677E6">
        <w:rPr>
          <w:lang w:eastAsia="bg-BG"/>
        </w:rPr>
        <w:t xml:space="preserve">% </w:t>
      </w:r>
      <w:r>
        <w:rPr>
          <w:lang w:eastAsia="bg-BG"/>
        </w:rPr>
        <w:t>на</w:t>
      </w:r>
      <w:r w:rsidRPr="004677E6">
        <w:rPr>
          <w:lang w:eastAsia="bg-BG"/>
        </w:rPr>
        <w:t xml:space="preserve"> планираните </w:t>
      </w:r>
      <w:r>
        <w:rPr>
          <w:lang w:eastAsia="bg-BG"/>
        </w:rPr>
        <w:t>средства</w:t>
      </w:r>
      <w:r w:rsidRPr="004677E6">
        <w:rPr>
          <w:lang w:eastAsia="bg-BG"/>
        </w:rPr>
        <w:t>;</w:t>
      </w:r>
    </w:p>
    <w:p w:rsidR="00EC33EC" w:rsidRPr="004677E6" w:rsidRDefault="00EC33EC" w:rsidP="00EC33EC">
      <w:pPr>
        <w:numPr>
          <w:ilvl w:val="0"/>
          <w:numId w:val="18"/>
        </w:numPr>
        <w:tabs>
          <w:tab w:val="left" w:pos="709"/>
          <w:tab w:val="left" w:pos="993"/>
        </w:tabs>
        <w:ind w:left="0" w:firstLine="709"/>
        <w:jc w:val="both"/>
        <w:rPr>
          <w:lang w:eastAsia="bg-BG"/>
        </w:rPr>
      </w:pPr>
      <w:r w:rsidRPr="004677E6">
        <w:rPr>
          <w:lang w:eastAsia="bg-BG"/>
        </w:rPr>
        <w:t>104,7 млн.</w:t>
      </w:r>
      <w:r>
        <w:rPr>
          <w:lang w:eastAsia="bg-BG"/>
        </w:rPr>
        <w:t xml:space="preserve"> </w:t>
      </w:r>
      <w:r w:rsidRPr="004677E6">
        <w:rPr>
          <w:lang w:eastAsia="bg-BG"/>
        </w:rPr>
        <w:t>лв. от ЕЗФРСР, прехвърлени към директни плащания – 99,9</w:t>
      </w:r>
      <w:r>
        <w:rPr>
          <w:lang w:eastAsia="bg-BG"/>
        </w:rPr>
        <w:t xml:space="preserve"> </w:t>
      </w:r>
      <w:r w:rsidRPr="004677E6">
        <w:rPr>
          <w:lang w:eastAsia="bg-BG"/>
        </w:rPr>
        <w:t>% от заложените 104,8 млн.</w:t>
      </w:r>
      <w:r>
        <w:rPr>
          <w:lang w:eastAsia="bg-BG"/>
        </w:rPr>
        <w:t xml:space="preserve"> </w:t>
      </w:r>
      <w:r w:rsidRPr="004677E6">
        <w:rPr>
          <w:lang w:eastAsia="bg-BG"/>
        </w:rPr>
        <w:t>лв.;</w:t>
      </w:r>
    </w:p>
    <w:p w:rsidR="00EC33EC" w:rsidRPr="004677E6" w:rsidRDefault="00EC33EC" w:rsidP="00EC33EC">
      <w:pPr>
        <w:numPr>
          <w:ilvl w:val="0"/>
          <w:numId w:val="18"/>
        </w:numPr>
        <w:tabs>
          <w:tab w:val="left" w:pos="709"/>
          <w:tab w:val="left" w:pos="993"/>
        </w:tabs>
        <w:ind w:left="0" w:firstLine="709"/>
        <w:jc w:val="both"/>
        <w:rPr>
          <w:lang w:eastAsia="bg-BG"/>
        </w:rPr>
      </w:pPr>
      <w:r w:rsidRPr="004677E6">
        <w:rPr>
          <w:lang w:eastAsia="bg-BG"/>
        </w:rPr>
        <w:t>38,5 млн.</w:t>
      </w:r>
      <w:r>
        <w:rPr>
          <w:lang w:eastAsia="bg-BG"/>
        </w:rPr>
        <w:t xml:space="preserve"> </w:t>
      </w:r>
      <w:r w:rsidRPr="004677E6">
        <w:rPr>
          <w:lang w:eastAsia="bg-BG"/>
        </w:rPr>
        <w:t>лв. за пазарни мерки от ЕФГЗ, степен на изпълнение: 100</w:t>
      </w:r>
      <w:r>
        <w:rPr>
          <w:lang w:eastAsia="bg-BG"/>
        </w:rPr>
        <w:t xml:space="preserve"> </w:t>
      </w:r>
      <w:r w:rsidRPr="004677E6">
        <w:rPr>
          <w:lang w:eastAsia="bg-BG"/>
        </w:rPr>
        <w:t>%;</w:t>
      </w:r>
    </w:p>
    <w:p w:rsidR="00EC33EC" w:rsidRPr="004677E6" w:rsidRDefault="00EC33EC" w:rsidP="00EC33EC">
      <w:pPr>
        <w:numPr>
          <w:ilvl w:val="0"/>
          <w:numId w:val="18"/>
        </w:numPr>
        <w:tabs>
          <w:tab w:val="left" w:pos="709"/>
          <w:tab w:val="left" w:pos="993"/>
        </w:tabs>
        <w:ind w:left="0" w:firstLine="709"/>
        <w:jc w:val="both"/>
        <w:rPr>
          <w:lang w:eastAsia="bg-BG"/>
        </w:rPr>
      </w:pPr>
      <w:r w:rsidRPr="004677E6">
        <w:rPr>
          <w:lang w:eastAsia="bg-BG"/>
        </w:rPr>
        <w:t>11,2 млн.</w:t>
      </w:r>
      <w:r>
        <w:rPr>
          <w:lang w:eastAsia="bg-BG"/>
        </w:rPr>
        <w:t xml:space="preserve"> </w:t>
      </w:r>
      <w:r w:rsidRPr="004677E6">
        <w:rPr>
          <w:lang w:eastAsia="bg-BG"/>
        </w:rPr>
        <w:t>лв. за преструктуриране от ЕФГЗ, изпълнение</w:t>
      </w:r>
      <w:r>
        <w:rPr>
          <w:lang w:eastAsia="bg-BG"/>
        </w:rPr>
        <w:t>то</w:t>
      </w:r>
      <w:r w:rsidRPr="004677E6">
        <w:rPr>
          <w:lang w:eastAsia="bg-BG"/>
        </w:rPr>
        <w:t xml:space="preserve"> на плана </w:t>
      </w:r>
      <w:r>
        <w:rPr>
          <w:lang w:eastAsia="bg-BG"/>
        </w:rPr>
        <w:t xml:space="preserve">е </w:t>
      </w:r>
      <w:r w:rsidRPr="004677E6">
        <w:rPr>
          <w:lang w:eastAsia="bg-BG"/>
        </w:rPr>
        <w:t>100</w:t>
      </w:r>
      <w:r>
        <w:rPr>
          <w:lang w:eastAsia="bg-BG"/>
        </w:rPr>
        <w:t xml:space="preserve"> </w:t>
      </w:r>
      <w:r w:rsidRPr="004677E6">
        <w:rPr>
          <w:lang w:eastAsia="bg-BG"/>
        </w:rPr>
        <w:t>%.</w:t>
      </w:r>
    </w:p>
    <w:p w:rsidR="00EC33EC" w:rsidRPr="004677E6" w:rsidRDefault="00EC33EC" w:rsidP="00736666">
      <w:pPr>
        <w:tabs>
          <w:tab w:val="left" w:pos="709"/>
        </w:tabs>
        <w:spacing w:after="120"/>
        <w:ind w:firstLine="567"/>
        <w:contextualSpacing/>
        <w:jc w:val="both"/>
      </w:pPr>
      <w:r w:rsidRPr="004677E6">
        <w:rPr>
          <w:lang w:eastAsia="bg-BG"/>
        </w:rPr>
        <w:t xml:space="preserve">Предоставените суми (нето) </w:t>
      </w:r>
      <w:r w:rsidRPr="004677E6">
        <w:t>по разчети с ЦБ за финансиране на плащания при недостиг на средства по сметки</w:t>
      </w:r>
      <w:r w:rsidRPr="004677E6">
        <w:rPr>
          <w:lang w:eastAsia="bg-BG"/>
        </w:rPr>
        <w:t xml:space="preserve"> към 31.12.2024</w:t>
      </w:r>
      <w:r>
        <w:rPr>
          <w:lang w:eastAsia="bg-BG"/>
        </w:rPr>
        <w:t xml:space="preserve"> </w:t>
      </w:r>
      <w:r w:rsidRPr="004677E6">
        <w:rPr>
          <w:lang w:eastAsia="bg-BG"/>
        </w:rPr>
        <w:t>г. възлизат на 94</w:t>
      </w:r>
      <w:r>
        <w:rPr>
          <w:lang w:eastAsia="bg-BG"/>
        </w:rPr>
        <w:t>,0</w:t>
      </w:r>
      <w:r w:rsidRPr="004677E6">
        <w:rPr>
          <w:lang w:eastAsia="bg-BG"/>
        </w:rPr>
        <w:t xml:space="preserve"> млн.</w:t>
      </w:r>
      <w:r>
        <w:rPr>
          <w:lang w:eastAsia="bg-BG"/>
        </w:rPr>
        <w:t xml:space="preserve"> </w:t>
      </w:r>
      <w:r w:rsidRPr="004677E6">
        <w:rPr>
          <w:lang w:eastAsia="bg-BG"/>
        </w:rPr>
        <w:t>лв., при планирани 258,5 млн.</w:t>
      </w:r>
      <w:r>
        <w:rPr>
          <w:lang w:eastAsia="bg-BG"/>
        </w:rPr>
        <w:t xml:space="preserve"> </w:t>
      </w:r>
      <w:r w:rsidRPr="004677E6">
        <w:rPr>
          <w:lang w:eastAsia="bg-BG"/>
        </w:rPr>
        <w:t>л</w:t>
      </w:r>
      <w:r>
        <w:rPr>
          <w:lang w:eastAsia="bg-BG"/>
        </w:rPr>
        <w:t>е</w:t>
      </w:r>
      <w:r w:rsidRPr="004677E6">
        <w:rPr>
          <w:lang w:eastAsia="bg-BG"/>
        </w:rPr>
        <w:t>в</w:t>
      </w:r>
      <w:r>
        <w:rPr>
          <w:lang w:eastAsia="bg-BG"/>
        </w:rPr>
        <w:t>а</w:t>
      </w:r>
      <w:r w:rsidRPr="004677E6">
        <w:rPr>
          <w:lang w:eastAsia="bg-BG"/>
        </w:rPr>
        <w:t>.</w:t>
      </w:r>
    </w:p>
    <w:p w:rsidR="00EB292B" w:rsidRPr="006E7134" w:rsidRDefault="00EB292B" w:rsidP="00EB292B">
      <w:pPr>
        <w:tabs>
          <w:tab w:val="left" w:pos="540"/>
        </w:tabs>
        <w:spacing w:before="120"/>
        <w:ind w:firstLine="567"/>
        <w:jc w:val="both"/>
        <w:rPr>
          <w:color w:val="0070C0"/>
        </w:rPr>
      </w:pPr>
      <w:r w:rsidRPr="006E7134">
        <w:rPr>
          <w:color w:val="0070C0"/>
          <w:lang w:eastAsia="bg-BG"/>
        </w:rPr>
        <w:tab/>
      </w:r>
    </w:p>
    <w:p w:rsidR="00EB292B" w:rsidRPr="00344B3B" w:rsidRDefault="00EB292B" w:rsidP="00E86EAF">
      <w:pPr>
        <w:pStyle w:val="Heading1"/>
        <w:numPr>
          <w:ilvl w:val="1"/>
          <w:numId w:val="8"/>
        </w:numPr>
        <w:spacing w:after="120"/>
        <w:ind w:left="792" w:right="-115" w:hanging="432"/>
        <w:jc w:val="both"/>
        <w:rPr>
          <w:sz w:val="24"/>
        </w:rPr>
      </w:pPr>
      <w:bookmarkStart w:id="86" w:name="_Toc83045529"/>
      <w:r w:rsidRPr="00344B3B">
        <w:rPr>
          <w:sz w:val="24"/>
        </w:rPr>
        <w:t>Сметка за средствата от Европейския съюз на Национален фонд към Министерство на финансите</w:t>
      </w:r>
      <w:bookmarkEnd w:id="86"/>
    </w:p>
    <w:p w:rsidR="00344B3B" w:rsidRPr="00B1140B" w:rsidRDefault="00344B3B" w:rsidP="006A16F5">
      <w:pPr>
        <w:ind w:firstLine="567"/>
        <w:jc w:val="both"/>
        <w:rPr>
          <w:bCs/>
          <w:color w:val="0070C0"/>
        </w:rPr>
      </w:pPr>
      <w:r w:rsidRPr="003B411F">
        <w:rPr>
          <w:bCs/>
        </w:rPr>
        <w:t>По сметките на НФ към 3</w:t>
      </w:r>
      <w:r w:rsidRPr="003B411F">
        <w:rPr>
          <w:bCs/>
          <w:lang w:val="ru-RU"/>
        </w:rPr>
        <w:t>1</w:t>
      </w:r>
      <w:r w:rsidRPr="003B411F">
        <w:rPr>
          <w:bCs/>
        </w:rPr>
        <w:t>.</w:t>
      </w:r>
      <w:r w:rsidRPr="003B411F">
        <w:rPr>
          <w:bCs/>
          <w:lang w:val="ru-RU"/>
        </w:rPr>
        <w:t>12</w:t>
      </w:r>
      <w:r w:rsidRPr="003B411F">
        <w:rPr>
          <w:bCs/>
        </w:rPr>
        <w:t>.2024 г. са постъпили приходи (нето) в размер на 2</w:t>
      </w:r>
      <w:r>
        <w:rPr>
          <w:bCs/>
        </w:rPr>
        <w:t> </w:t>
      </w:r>
      <w:r w:rsidRPr="003B411F">
        <w:rPr>
          <w:bCs/>
        </w:rPr>
        <w:t>54</w:t>
      </w:r>
      <w:r>
        <w:rPr>
          <w:bCs/>
        </w:rPr>
        <w:t>2,</w:t>
      </w:r>
      <w:r w:rsidRPr="003B411F">
        <w:rPr>
          <w:bCs/>
        </w:rPr>
        <w:t>8</w:t>
      </w:r>
      <w:r w:rsidR="00AA6833">
        <w:rPr>
          <w:bCs/>
          <w:lang w:val="ru-RU"/>
        </w:rPr>
        <w:t> </w:t>
      </w:r>
      <w:r w:rsidRPr="003B411F">
        <w:rPr>
          <w:bCs/>
        </w:rPr>
        <w:t>млн.</w:t>
      </w:r>
      <w:r>
        <w:rPr>
          <w:bCs/>
        </w:rPr>
        <w:t> </w:t>
      </w:r>
      <w:r w:rsidRPr="003B411F">
        <w:rPr>
          <w:bCs/>
        </w:rPr>
        <w:t>лв</w:t>
      </w:r>
      <w:r>
        <w:rPr>
          <w:bCs/>
        </w:rPr>
        <w:t>.</w:t>
      </w:r>
      <w:r w:rsidRPr="003B411F">
        <w:rPr>
          <w:bCs/>
        </w:rPr>
        <w:t xml:space="preserve"> по програмите, съфинансирани от Европейския фонд за регионално развитие, Европейския социален фонд (включително Инициативата за младежка заетост), Кохезионния фонд на ЕС за финансовата рамка, както </w:t>
      </w:r>
      <w:r>
        <w:rPr>
          <w:bCs/>
        </w:rPr>
        <w:t xml:space="preserve">и </w:t>
      </w:r>
      <w:r w:rsidRPr="003B411F">
        <w:rPr>
          <w:bCs/>
        </w:rPr>
        <w:t>Европейския социален фонд+, ФМ на ЕИП 2014–2021</w:t>
      </w:r>
      <w:r>
        <w:rPr>
          <w:bCs/>
        </w:rPr>
        <w:t> </w:t>
      </w:r>
      <w:r w:rsidRPr="003B411F">
        <w:rPr>
          <w:bCs/>
        </w:rPr>
        <w:t xml:space="preserve">г., НФМ 2014–2021 г. и Швейцарско-българската програма за сътрудничество (ШБПС), като в тази сума са включени и отразените (нето) в отчетността на НФ операции по постъпването по банковите бюджетни сметки на Министерство на регионалното развитие и благоустройството (МРРБ) на чуждото финансиране по двустранните програми за трансгранично сътрудничество по </w:t>
      </w:r>
      <w:r w:rsidRPr="003B411F">
        <w:rPr>
          <w:bCs/>
        </w:rPr>
        <w:lastRenderedPageBreak/>
        <w:t>външните граници на EС (ПТСВГ) и изплатените средства от получения ресурс към бенефициенти извън страната.</w:t>
      </w:r>
    </w:p>
    <w:p w:rsidR="00344B3B" w:rsidRPr="00DD3DA6" w:rsidRDefault="00344B3B" w:rsidP="006A16F5">
      <w:pPr>
        <w:ind w:firstLine="567"/>
        <w:jc w:val="both"/>
        <w:rPr>
          <w:bCs/>
        </w:rPr>
      </w:pPr>
      <w:r w:rsidRPr="001C64F9">
        <w:rPr>
          <w:bCs/>
        </w:rPr>
        <w:t xml:space="preserve">Извършените разходи (нето) за периода с натрупване чрез сметките на НФ възлизат на </w:t>
      </w:r>
      <w:r>
        <w:rPr>
          <w:bCs/>
        </w:rPr>
        <w:t>1 035,6</w:t>
      </w:r>
      <w:r w:rsidRPr="001C64F9">
        <w:rPr>
          <w:bCs/>
        </w:rPr>
        <w:t xml:space="preserve"> млн. лева. </w:t>
      </w:r>
      <w:r w:rsidRPr="00DD3DA6">
        <w:rPr>
          <w:bCs/>
        </w:rPr>
        <w:t>По видове разходи изпълнението е както следва: 92,38</w:t>
      </w:r>
      <w:r>
        <w:rPr>
          <w:bCs/>
        </w:rPr>
        <w:t xml:space="preserve"> </w:t>
      </w:r>
      <w:r w:rsidRPr="00DD3DA6">
        <w:rPr>
          <w:bCs/>
        </w:rPr>
        <w:t>% от общата стойност са капиталови трансфери, 7,47</w:t>
      </w:r>
      <w:r>
        <w:rPr>
          <w:bCs/>
        </w:rPr>
        <w:t xml:space="preserve"> </w:t>
      </w:r>
      <w:r w:rsidRPr="00DD3DA6">
        <w:rPr>
          <w:bCs/>
        </w:rPr>
        <w:t>% са субсидии, 0,15</w:t>
      </w:r>
      <w:r>
        <w:rPr>
          <w:bCs/>
        </w:rPr>
        <w:t xml:space="preserve"> </w:t>
      </w:r>
      <w:r w:rsidRPr="00DD3DA6">
        <w:rPr>
          <w:bCs/>
        </w:rPr>
        <w:t>% предоставени текущи и капиталови трансфери за чужбина и 0</w:t>
      </w:r>
      <w:r>
        <w:rPr>
          <w:bCs/>
        </w:rPr>
        <w:t>,</w:t>
      </w:r>
      <w:r w:rsidRPr="00DD3DA6">
        <w:rPr>
          <w:bCs/>
        </w:rPr>
        <w:t>0001</w:t>
      </w:r>
      <w:r>
        <w:rPr>
          <w:bCs/>
        </w:rPr>
        <w:t xml:space="preserve"> </w:t>
      </w:r>
      <w:r w:rsidRPr="00DD3DA6">
        <w:rPr>
          <w:bCs/>
        </w:rPr>
        <w:t>% - издръжка.</w:t>
      </w:r>
    </w:p>
    <w:p w:rsidR="00344B3B" w:rsidRPr="00A12262" w:rsidRDefault="00344B3B" w:rsidP="006A16F5">
      <w:pPr>
        <w:ind w:firstLine="567"/>
        <w:jc w:val="both"/>
        <w:rPr>
          <w:bCs/>
        </w:rPr>
      </w:pPr>
      <w:r w:rsidRPr="00A12262">
        <w:rPr>
          <w:bCs/>
        </w:rPr>
        <w:t>Трансферите (нето), временните безлихвени заеми (нето) и временна възмездна финансова помощ за разглеждания период са на стойност 1</w:t>
      </w:r>
      <w:r>
        <w:rPr>
          <w:bCs/>
        </w:rPr>
        <w:t> </w:t>
      </w:r>
      <w:r w:rsidRPr="00A12262">
        <w:rPr>
          <w:bCs/>
        </w:rPr>
        <w:t>772</w:t>
      </w:r>
      <w:r>
        <w:rPr>
          <w:bCs/>
        </w:rPr>
        <w:t>,</w:t>
      </w:r>
      <w:r w:rsidRPr="00A12262">
        <w:rPr>
          <w:bCs/>
        </w:rPr>
        <w:t>1 млн. лв. (включват предоставените трансфери към бенефициенти по Оперативните програми (ОП) на ЕС - програмен период 2014 – 2020 г. и програмен период 2021 – 2027 г., ПТСВГ за периода 2014 – 2020 г. и програмен период 2021 – 2027 г., Националния план за възстановяване и устойчивост (НПВУ), ФМ на ЕИП 2014–2021 г. и НФМ 2014–2021 г., както и възстановени трансфери от бенефициенти-бюджетни организации за неусвоени суми по приключили проекти, за недопустими разходи или други надплащания. В консолидираната отчетност на НФ са отразени и трансфери (нето) към бенефициенти – бюджетни организации, които са за сметка на средства, предоставени от държавите-партньори по ПТСВГ.</w:t>
      </w:r>
    </w:p>
    <w:p w:rsidR="00344B3B" w:rsidRPr="00B13E8C" w:rsidRDefault="00344B3B" w:rsidP="006A16F5">
      <w:pPr>
        <w:ind w:firstLine="567"/>
        <w:jc w:val="both"/>
        <w:rPr>
          <w:bCs/>
        </w:rPr>
      </w:pPr>
      <w:r w:rsidRPr="00A12262">
        <w:rPr>
          <w:bCs/>
        </w:rPr>
        <w:t xml:space="preserve">Във връзка с изпълнение на програмите и проектите по програмен период 2014 – 2020 г., 2021 – 2027 г., ФМ на ЕИП и НФМ и НПВУ по сметките на НФ са получени трансфери от </w:t>
      </w:r>
      <w:r w:rsidRPr="00B13E8C">
        <w:rPr>
          <w:bCs/>
        </w:rPr>
        <w:t>централния бюджет на стойност 621</w:t>
      </w:r>
      <w:r>
        <w:rPr>
          <w:bCs/>
        </w:rPr>
        <w:t>,</w:t>
      </w:r>
      <w:r w:rsidRPr="00B13E8C">
        <w:rPr>
          <w:bCs/>
        </w:rPr>
        <w:t>6 млн. лева.</w:t>
      </w:r>
    </w:p>
    <w:p w:rsidR="00344B3B" w:rsidRPr="00B13E8C" w:rsidRDefault="00344B3B" w:rsidP="006A16F5">
      <w:pPr>
        <w:ind w:firstLine="567"/>
        <w:jc w:val="both"/>
        <w:rPr>
          <w:bCs/>
        </w:rPr>
      </w:pPr>
      <w:r w:rsidRPr="00B13E8C">
        <w:rPr>
          <w:bCs/>
        </w:rPr>
        <w:t>Общата сума от други приходи (корективи за касови постъпления, отчетени за дължими суми от бенефициенти), отчетени по сметката за средства от ЕС на НФ, са в размер на 0</w:t>
      </w:r>
      <w:r>
        <w:rPr>
          <w:bCs/>
        </w:rPr>
        <w:t>,</w:t>
      </w:r>
      <w:r w:rsidRPr="00B13E8C">
        <w:rPr>
          <w:bCs/>
        </w:rPr>
        <w:t>7</w:t>
      </w:r>
      <w:r w:rsidR="00672BD0">
        <w:rPr>
          <w:bCs/>
        </w:rPr>
        <w:t> </w:t>
      </w:r>
      <w:r w:rsidRPr="00B13E8C">
        <w:rPr>
          <w:bCs/>
        </w:rPr>
        <w:t>млн.</w:t>
      </w:r>
      <w:r>
        <w:rPr>
          <w:bCs/>
        </w:rPr>
        <w:t> </w:t>
      </w:r>
      <w:r w:rsidRPr="00B13E8C">
        <w:rPr>
          <w:bCs/>
        </w:rPr>
        <w:t>лева.</w:t>
      </w:r>
    </w:p>
    <w:p w:rsidR="00344B3B" w:rsidRPr="00192569" w:rsidRDefault="00344B3B" w:rsidP="00344B3B">
      <w:pPr>
        <w:spacing w:before="120"/>
        <w:ind w:firstLine="686"/>
        <w:jc w:val="both"/>
        <w:rPr>
          <w:b/>
          <w:bCs/>
        </w:rPr>
      </w:pPr>
      <w:r w:rsidRPr="00192569">
        <w:rPr>
          <w:b/>
          <w:bCs/>
        </w:rPr>
        <w:t>Структурни и Кохезионен фондове (СКФ) 2007 – 2013 г.</w:t>
      </w:r>
    </w:p>
    <w:p w:rsidR="00344B3B" w:rsidRPr="00C272A9" w:rsidRDefault="00344B3B" w:rsidP="006A16F5">
      <w:pPr>
        <w:spacing w:before="120"/>
        <w:ind w:firstLine="567"/>
        <w:jc w:val="both"/>
      </w:pPr>
      <w:r w:rsidRPr="00192569">
        <w:rPr>
          <w:bCs/>
        </w:rPr>
        <w:t>През отчетния период са отчетени (нето) възстановени суми от бенефициенти на стойност на 22</w:t>
      </w:r>
      <w:r>
        <w:rPr>
          <w:bCs/>
        </w:rPr>
        <w:t>,</w:t>
      </w:r>
      <w:r w:rsidRPr="00192569">
        <w:rPr>
          <w:bCs/>
        </w:rPr>
        <w:t>8 млн. лв. и възстановено</w:t>
      </w:r>
      <w:r w:rsidRPr="00192569">
        <w:t xml:space="preserve"> </w:t>
      </w:r>
      <w:r w:rsidRPr="00192569">
        <w:rPr>
          <w:bCs/>
        </w:rPr>
        <w:t xml:space="preserve">авансово финансиране по реда на ДДС6/2011 г. в </w:t>
      </w:r>
      <w:r w:rsidRPr="00C272A9">
        <w:rPr>
          <w:bCs/>
        </w:rPr>
        <w:t>размер на 0</w:t>
      </w:r>
      <w:r>
        <w:rPr>
          <w:bCs/>
        </w:rPr>
        <w:t>,</w:t>
      </w:r>
      <w:r w:rsidRPr="00C272A9">
        <w:rPr>
          <w:bCs/>
        </w:rPr>
        <w:t>7</w:t>
      </w:r>
      <w:r w:rsidR="00672BD0">
        <w:rPr>
          <w:bCs/>
        </w:rPr>
        <w:t> </w:t>
      </w:r>
      <w:r w:rsidRPr="00C272A9">
        <w:rPr>
          <w:bCs/>
        </w:rPr>
        <w:t>млн. лева.</w:t>
      </w:r>
    </w:p>
    <w:p w:rsidR="00344B3B" w:rsidRPr="00C272A9" w:rsidRDefault="00344B3B" w:rsidP="00344B3B">
      <w:pPr>
        <w:spacing w:before="120"/>
        <w:ind w:firstLine="686"/>
        <w:jc w:val="both"/>
        <w:rPr>
          <w:b/>
          <w:bCs/>
        </w:rPr>
      </w:pPr>
      <w:r w:rsidRPr="00C272A9">
        <w:rPr>
          <w:bCs/>
        </w:rPr>
        <w:t xml:space="preserve"> </w:t>
      </w:r>
      <w:r w:rsidRPr="00C272A9">
        <w:rPr>
          <w:b/>
          <w:bCs/>
        </w:rPr>
        <w:t>Европейски фонд за регионално развитие, Европейски социален фонд (включително Инициативата за младежка заетост), Кохезионния фонд и ФЕПНЛ на Европейския съюз за финансова рамка 2014 – 2020 г.</w:t>
      </w:r>
    </w:p>
    <w:p w:rsidR="00344B3B" w:rsidRPr="00C272A9" w:rsidRDefault="00344B3B" w:rsidP="006A16F5">
      <w:pPr>
        <w:spacing w:before="120"/>
        <w:ind w:firstLine="567"/>
        <w:jc w:val="both"/>
        <w:rPr>
          <w:bCs/>
        </w:rPr>
      </w:pPr>
      <w:r w:rsidRPr="00C272A9">
        <w:rPr>
          <w:bCs/>
        </w:rPr>
        <w:t>Общо получените средства (нето) от ЕК за периода са в размер на 1</w:t>
      </w:r>
      <w:r>
        <w:rPr>
          <w:bCs/>
        </w:rPr>
        <w:t> </w:t>
      </w:r>
      <w:r w:rsidRPr="00C272A9">
        <w:rPr>
          <w:bCs/>
        </w:rPr>
        <w:t>656</w:t>
      </w:r>
      <w:r>
        <w:rPr>
          <w:bCs/>
        </w:rPr>
        <w:t>,</w:t>
      </w:r>
      <w:r w:rsidRPr="00C272A9">
        <w:rPr>
          <w:bCs/>
        </w:rPr>
        <w:t>3 млн. лв. (вкл. за REACT-EU в размер на 32</w:t>
      </w:r>
      <w:r>
        <w:rPr>
          <w:bCs/>
        </w:rPr>
        <w:t>,</w:t>
      </w:r>
      <w:r w:rsidRPr="00C272A9">
        <w:rPr>
          <w:bCs/>
        </w:rPr>
        <w:t>0 млн. лева) и са разпределени както следва:</w:t>
      </w:r>
    </w:p>
    <w:p w:rsidR="00344B3B" w:rsidRPr="00C272A9" w:rsidRDefault="00344B3B" w:rsidP="00344B3B">
      <w:pPr>
        <w:numPr>
          <w:ilvl w:val="0"/>
          <w:numId w:val="10"/>
        </w:numPr>
        <w:tabs>
          <w:tab w:val="clear" w:pos="1101"/>
          <w:tab w:val="num" w:pos="786"/>
        </w:tabs>
        <w:ind w:left="786"/>
        <w:jc w:val="both"/>
        <w:rPr>
          <w:bCs/>
        </w:rPr>
      </w:pPr>
      <w:r w:rsidRPr="00C272A9">
        <w:rPr>
          <w:bCs/>
        </w:rPr>
        <w:t>ОП „Транспорт и транспортна инфраструктура” – 503</w:t>
      </w:r>
      <w:r>
        <w:rPr>
          <w:bCs/>
        </w:rPr>
        <w:t>,</w:t>
      </w:r>
      <w:r w:rsidRPr="00C272A9">
        <w:rPr>
          <w:bCs/>
        </w:rPr>
        <w:t>4 млн. лв.;</w:t>
      </w:r>
    </w:p>
    <w:p w:rsidR="00344B3B" w:rsidRPr="00C272A9" w:rsidRDefault="00344B3B" w:rsidP="00344B3B">
      <w:pPr>
        <w:numPr>
          <w:ilvl w:val="0"/>
          <w:numId w:val="10"/>
        </w:numPr>
        <w:tabs>
          <w:tab w:val="clear" w:pos="1101"/>
          <w:tab w:val="num" w:pos="786"/>
        </w:tabs>
        <w:ind w:left="786"/>
        <w:jc w:val="both"/>
        <w:rPr>
          <w:bCs/>
        </w:rPr>
      </w:pPr>
      <w:r w:rsidRPr="00C272A9">
        <w:rPr>
          <w:bCs/>
        </w:rPr>
        <w:t>ОП „Развитие на човешките ресурси 2014 - 2020 г.” – 38</w:t>
      </w:r>
      <w:r>
        <w:rPr>
          <w:bCs/>
        </w:rPr>
        <w:t>,</w:t>
      </w:r>
      <w:r w:rsidRPr="00C272A9">
        <w:rPr>
          <w:bCs/>
        </w:rPr>
        <w:t>2 млн. лв.;</w:t>
      </w:r>
    </w:p>
    <w:p w:rsidR="00344B3B" w:rsidRPr="00C272A9" w:rsidRDefault="00344B3B" w:rsidP="00344B3B">
      <w:pPr>
        <w:numPr>
          <w:ilvl w:val="0"/>
          <w:numId w:val="10"/>
        </w:numPr>
        <w:tabs>
          <w:tab w:val="clear" w:pos="1101"/>
          <w:tab w:val="num" w:pos="786"/>
        </w:tabs>
        <w:ind w:left="786"/>
        <w:jc w:val="both"/>
        <w:rPr>
          <w:bCs/>
        </w:rPr>
      </w:pPr>
      <w:r w:rsidRPr="00C272A9">
        <w:rPr>
          <w:bCs/>
        </w:rPr>
        <w:t>Инициативата за младежка заетост – 8</w:t>
      </w:r>
      <w:r>
        <w:rPr>
          <w:bCs/>
        </w:rPr>
        <w:t>,</w:t>
      </w:r>
      <w:r w:rsidRPr="00C272A9">
        <w:rPr>
          <w:bCs/>
        </w:rPr>
        <w:t>8 млн. лв.;</w:t>
      </w:r>
    </w:p>
    <w:p w:rsidR="00344B3B" w:rsidRPr="00C272A9" w:rsidRDefault="00344B3B" w:rsidP="00344B3B">
      <w:pPr>
        <w:numPr>
          <w:ilvl w:val="0"/>
          <w:numId w:val="10"/>
        </w:numPr>
        <w:tabs>
          <w:tab w:val="clear" w:pos="1101"/>
          <w:tab w:val="num" w:pos="786"/>
        </w:tabs>
        <w:ind w:left="786"/>
        <w:jc w:val="both"/>
        <w:rPr>
          <w:bCs/>
        </w:rPr>
      </w:pPr>
      <w:r w:rsidRPr="00C272A9">
        <w:rPr>
          <w:bCs/>
        </w:rPr>
        <w:t>ОП „Добро управление” – 3</w:t>
      </w:r>
      <w:r w:rsidRPr="00906AD2">
        <w:rPr>
          <w:bCs/>
          <w:lang w:val="ru-RU"/>
        </w:rPr>
        <w:t>6</w:t>
      </w:r>
      <w:r>
        <w:rPr>
          <w:bCs/>
          <w:lang w:val="ru-RU"/>
        </w:rPr>
        <w:t>,</w:t>
      </w:r>
      <w:r w:rsidRPr="00906AD2">
        <w:rPr>
          <w:bCs/>
          <w:lang w:val="ru-RU"/>
        </w:rPr>
        <w:t>8</w:t>
      </w:r>
      <w:r w:rsidRPr="00C272A9">
        <w:rPr>
          <w:bCs/>
        </w:rPr>
        <w:t xml:space="preserve"> млн. лв.;</w:t>
      </w:r>
    </w:p>
    <w:p w:rsidR="00344B3B" w:rsidRPr="00C272A9" w:rsidRDefault="00344B3B" w:rsidP="00344B3B">
      <w:pPr>
        <w:numPr>
          <w:ilvl w:val="0"/>
          <w:numId w:val="10"/>
        </w:numPr>
        <w:tabs>
          <w:tab w:val="clear" w:pos="1101"/>
          <w:tab w:val="num" w:pos="786"/>
        </w:tabs>
        <w:ind w:left="786"/>
        <w:jc w:val="both"/>
        <w:rPr>
          <w:bCs/>
        </w:rPr>
      </w:pPr>
      <w:r w:rsidRPr="00C272A9">
        <w:rPr>
          <w:bCs/>
        </w:rPr>
        <w:t>ОП „Околна среда 2014 – 2020 г.“ – 427</w:t>
      </w:r>
      <w:r>
        <w:rPr>
          <w:bCs/>
        </w:rPr>
        <w:t>,</w:t>
      </w:r>
      <w:r w:rsidRPr="00C272A9">
        <w:rPr>
          <w:bCs/>
        </w:rPr>
        <w:t>5 млн. лв</w:t>
      </w:r>
      <w:r>
        <w:rPr>
          <w:bCs/>
        </w:rPr>
        <w:t>.</w:t>
      </w:r>
      <w:r w:rsidRPr="00C272A9">
        <w:rPr>
          <w:bCs/>
        </w:rPr>
        <w:t>;</w:t>
      </w:r>
    </w:p>
    <w:p w:rsidR="00344B3B" w:rsidRPr="00C272A9" w:rsidRDefault="00344B3B" w:rsidP="00344B3B">
      <w:pPr>
        <w:numPr>
          <w:ilvl w:val="0"/>
          <w:numId w:val="10"/>
        </w:numPr>
        <w:tabs>
          <w:tab w:val="clear" w:pos="1101"/>
          <w:tab w:val="num" w:pos="786"/>
        </w:tabs>
        <w:ind w:left="786"/>
        <w:jc w:val="both"/>
        <w:rPr>
          <w:bCs/>
        </w:rPr>
      </w:pPr>
      <w:r w:rsidRPr="00C272A9">
        <w:rPr>
          <w:bCs/>
        </w:rPr>
        <w:t>ОП „Иновации и конкурентоспособност” – 45</w:t>
      </w:r>
      <w:r>
        <w:rPr>
          <w:bCs/>
        </w:rPr>
        <w:t>,</w:t>
      </w:r>
      <w:r w:rsidRPr="00C272A9">
        <w:rPr>
          <w:bCs/>
        </w:rPr>
        <w:t xml:space="preserve">4 млн. лв. (вкл. за REACT-EU в размер на </w:t>
      </w:r>
      <w:r w:rsidRPr="00906AD2">
        <w:rPr>
          <w:bCs/>
          <w:lang w:val="ru-RU"/>
        </w:rPr>
        <w:t>2</w:t>
      </w:r>
      <w:r>
        <w:rPr>
          <w:bCs/>
          <w:lang w:val="ru-RU"/>
        </w:rPr>
        <w:t>,</w:t>
      </w:r>
      <w:r w:rsidRPr="00906AD2">
        <w:rPr>
          <w:bCs/>
          <w:lang w:val="ru-RU"/>
        </w:rPr>
        <w:t>8</w:t>
      </w:r>
      <w:r w:rsidRPr="00C272A9">
        <w:rPr>
          <w:bCs/>
        </w:rPr>
        <w:t xml:space="preserve"> млн. лева);</w:t>
      </w:r>
    </w:p>
    <w:p w:rsidR="00344B3B" w:rsidRPr="00C3584B" w:rsidRDefault="00344B3B" w:rsidP="00344B3B">
      <w:pPr>
        <w:numPr>
          <w:ilvl w:val="0"/>
          <w:numId w:val="10"/>
        </w:numPr>
        <w:tabs>
          <w:tab w:val="clear" w:pos="1101"/>
          <w:tab w:val="num" w:pos="786"/>
        </w:tabs>
        <w:ind w:left="786"/>
        <w:jc w:val="both"/>
        <w:rPr>
          <w:bCs/>
        </w:rPr>
      </w:pPr>
      <w:r w:rsidRPr="00D73B65">
        <w:rPr>
          <w:bCs/>
        </w:rPr>
        <w:t>ОП „Региони в растеж“ – 493</w:t>
      </w:r>
      <w:r>
        <w:rPr>
          <w:bCs/>
        </w:rPr>
        <w:t>,</w:t>
      </w:r>
      <w:r w:rsidRPr="00D73B65">
        <w:rPr>
          <w:bCs/>
        </w:rPr>
        <w:t>4 млн. лв. (вкл. за REACT-EU в размер на 29</w:t>
      </w:r>
      <w:r>
        <w:rPr>
          <w:bCs/>
        </w:rPr>
        <w:t>,</w:t>
      </w:r>
      <w:r w:rsidRPr="00D73B65">
        <w:rPr>
          <w:bCs/>
        </w:rPr>
        <w:t xml:space="preserve">2 млн. лева) </w:t>
      </w:r>
      <w:r w:rsidRPr="00C3584B">
        <w:rPr>
          <w:bCs/>
        </w:rPr>
        <w:t>и</w:t>
      </w:r>
    </w:p>
    <w:p w:rsidR="00344B3B" w:rsidRPr="00C3584B" w:rsidRDefault="00344B3B" w:rsidP="00344B3B">
      <w:pPr>
        <w:numPr>
          <w:ilvl w:val="0"/>
          <w:numId w:val="10"/>
        </w:numPr>
        <w:tabs>
          <w:tab w:val="clear" w:pos="1101"/>
          <w:tab w:val="num" w:pos="786"/>
        </w:tabs>
        <w:ind w:left="786"/>
        <w:jc w:val="both"/>
        <w:rPr>
          <w:bCs/>
        </w:rPr>
      </w:pPr>
      <w:r w:rsidRPr="00C3584B">
        <w:rPr>
          <w:bCs/>
        </w:rPr>
        <w:t>ОП „Наука и образование за интелигентен растеж” – 102</w:t>
      </w:r>
      <w:r>
        <w:rPr>
          <w:bCs/>
        </w:rPr>
        <w:t>,</w:t>
      </w:r>
      <w:r w:rsidRPr="00C3584B">
        <w:rPr>
          <w:bCs/>
        </w:rPr>
        <w:t>8 млн. л</w:t>
      </w:r>
      <w:r>
        <w:rPr>
          <w:bCs/>
        </w:rPr>
        <w:t>е</w:t>
      </w:r>
      <w:r w:rsidRPr="00C3584B">
        <w:rPr>
          <w:bCs/>
        </w:rPr>
        <w:t>в</w:t>
      </w:r>
      <w:r>
        <w:rPr>
          <w:bCs/>
        </w:rPr>
        <w:t>а</w:t>
      </w:r>
      <w:r w:rsidRPr="00C3584B">
        <w:rPr>
          <w:bCs/>
        </w:rPr>
        <w:t>.</w:t>
      </w:r>
    </w:p>
    <w:p w:rsidR="00344B3B" w:rsidRPr="00D37B3E" w:rsidRDefault="00344B3B" w:rsidP="000668E6">
      <w:pPr>
        <w:spacing w:before="120"/>
        <w:ind w:firstLine="567"/>
        <w:jc w:val="both"/>
        <w:rPr>
          <w:bCs/>
        </w:rPr>
      </w:pPr>
      <w:r w:rsidRPr="00D37B3E">
        <w:rPr>
          <w:bCs/>
        </w:rPr>
        <w:t>Направените разходи (нето) по Оперативни програми и трансферите (нето) към бюджетни организации и операции с активи за периода са на стойност 935</w:t>
      </w:r>
      <w:r>
        <w:rPr>
          <w:bCs/>
        </w:rPr>
        <w:t>,</w:t>
      </w:r>
      <w:r w:rsidRPr="00D37B3E">
        <w:rPr>
          <w:bCs/>
        </w:rPr>
        <w:t>9 млн. лв. (в тях влизат и извършените разходи по REACT-EU в размер на 4</w:t>
      </w:r>
      <w:r w:rsidRPr="00906AD2">
        <w:rPr>
          <w:bCs/>
          <w:lang w:val="ru-RU"/>
        </w:rPr>
        <w:t>3</w:t>
      </w:r>
      <w:r>
        <w:rPr>
          <w:bCs/>
          <w:lang w:val="ru-RU"/>
        </w:rPr>
        <w:t>,</w:t>
      </w:r>
      <w:r w:rsidRPr="00D37B3E">
        <w:rPr>
          <w:bCs/>
        </w:rPr>
        <w:t>9 млн. лева), като разпределението по Оперативни програми е следното:</w:t>
      </w:r>
    </w:p>
    <w:p w:rsidR="00344B3B" w:rsidRPr="00474461" w:rsidRDefault="00344B3B" w:rsidP="00344B3B">
      <w:pPr>
        <w:numPr>
          <w:ilvl w:val="0"/>
          <w:numId w:val="10"/>
        </w:numPr>
        <w:tabs>
          <w:tab w:val="clear" w:pos="1101"/>
          <w:tab w:val="num" w:pos="786"/>
        </w:tabs>
        <w:ind w:left="786"/>
        <w:jc w:val="both"/>
        <w:rPr>
          <w:bCs/>
        </w:rPr>
      </w:pPr>
      <w:r w:rsidRPr="00474461">
        <w:rPr>
          <w:bCs/>
        </w:rPr>
        <w:t xml:space="preserve">ОП „Развитие на човешките ресурси 2014 - 2020 г.” – </w:t>
      </w:r>
      <w:r w:rsidRPr="00906AD2">
        <w:rPr>
          <w:bCs/>
          <w:lang w:val="ru-RU"/>
        </w:rPr>
        <w:t>118</w:t>
      </w:r>
      <w:r>
        <w:rPr>
          <w:bCs/>
          <w:lang w:val="ru-RU"/>
        </w:rPr>
        <w:t>,</w:t>
      </w:r>
      <w:r w:rsidRPr="00474461">
        <w:rPr>
          <w:bCs/>
        </w:rPr>
        <w:t>1 млн. лв.</w:t>
      </w:r>
      <w:r w:rsidRPr="00474461">
        <w:t xml:space="preserve"> </w:t>
      </w:r>
      <w:r w:rsidRPr="00474461">
        <w:rPr>
          <w:bCs/>
        </w:rPr>
        <w:t>(вкл. за REACT-EU в размер на 5</w:t>
      </w:r>
      <w:r>
        <w:rPr>
          <w:bCs/>
        </w:rPr>
        <w:t>,</w:t>
      </w:r>
      <w:r w:rsidRPr="00B23D8A">
        <w:rPr>
          <w:bCs/>
          <w:lang w:val="ru-RU"/>
        </w:rPr>
        <w:t>1</w:t>
      </w:r>
      <w:r w:rsidRPr="00474461">
        <w:rPr>
          <w:bCs/>
        </w:rPr>
        <w:t xml:space="preserve"> млн. лева);</w:t>
      </w:r>
    </w:p>
    <w:p w:rsidR="00344B3B" w:rsidRPr="00474461" w:rsidRDefault="00344B3B" w:rsidP="00344B3B">
      <w:pPr>
        <w:numPr>
          <w:ilvl w:val="0"/>
          <w:numId w:val="10"/>
        </w:numPr>
        <w:tabs>
          <w:tab w:val="clear" w:pos="1101"/>
          <w:tab w:val="num" w:pos="786"/>
        </w:tabs>
        <w:ind w:left="786"/>
        <w:jc w:val="both"/>
        <w:rPr>
          <w:bCs/>
        </w:rPr>
      </w:pPr>
      <w:r w:rsidRPr="00474461">
        <w:rPr>
          <w:bCs/>
        </w:rPr>
        <w:t>Инициативата за младежка заетост –</w:t>
      </w:r>
      <w:r w:rsidRPr="00906AD2">
        <w:rPr>
          <w:bCs/>
          <w:lang w:val="ru-RU"/>
        </w:rPr>
        <w:t xml:space="preserve"> 4</w:t>
      </w:r>
      <w:r>
        <w:rPr>
          <w:bCs/>
          <w:lang w:val="ru-RU"/>
        </w:rPr>
        <w:t>,</w:t>
      </w:r>
      <w:r w:rsidRPr="00906AD2">
        <w:rPr>
          <w:bCs/>
          <w:lang w:val="ru-RU"/>
        </w:rPr>
        <w:t>5</w:t>
      </w:r>
      <w:r w:rsidRPr="00474461">
        <w:rPr>
          <w:bCs/>
        </w:rPr>
        <w:t xml:space="preserve"> млн. лв.;</w:t>
      </w:r>
    </w:p>
    <w:p w:rsidR="00344B3B" w:rsidRPr="00474461" w:rsidRDefault="00344B3B" w:rsidP="00344B3B">
      <w:pPr>
        <w:numPr>
          <w:ilvl w:val="0"/>
          <w:numId w:val="10"/>
        </w:numPr>
        <w:tabs>
          <w:tab w:val="clear" w:pos="1101"/>
          <w:tab w:val="num" w:pos="786"/>
        </w:tabs>
        <w:ind w:left="786"/>
        <w:jc w:val="both"/>
        <w:rPr>
          <w:bCs/>
        </w:rPr>
      </w:pPr>
      <w:r w:rsidRPr="00474461">
        <w:rPr>
          <w:bCs/>
        </w:rPr>
        <w:t xml:space="preserve">ФЕПНЛ 2014-2020 – възстановени средства от бенефициенти в размер </w:t>
      </w:r>
      <w:r w:rsidRPr="00B23D8A">
        <w:rPr>
          <w:bCs/>
        </w:rPr>
        <w:t>на – 0,01 млн. лв.;</w:t>
      </w:r>
    </w:p>
    <w:p w:rsidR="00344B3B" w:rsidRPr="00474461" w:rsidRDefault="00344B3B" w:rsidP="00344B3B">
      <w:pPr>
        <w:numPr>
          <w:ilvl w:val="0"/>
          <w:numId w:val="10"/>
        </w:numPr>
        <w:tabs>
          <w:tab w:val="clear" w:pos="1101"/>
          <w:tab w:val="num" w:pos="786"/>
        </w:tabs>
        <w:ind w:left="786"/>
        <w:jc w:val="both"/>
        <w:rPr>
          <w:bCs/>
        </w:rPr>
      </w:pPr>
      <w:r w:rsidRPr="00474461">
        <w:rPr>
          <w:bCs/>
        </w:rPr>
        <w:t>ОП „Иновации и конкурентоспособност” – 43</w:t>
      </w:r>
      <w:r>
        <w:rPr>
          <w:bCs/>
        </w:rPr>
        <w:t>,</w:t>
      </w:r>
      <w:r w:rsidRPr="00474461">
        <w:rPr>
          <w:bCs/>
        </w:rPr>
        <w:t xml:space="preserve">9 млн. лв. (вкл. за REACT-EU в размер на </w:t>
      </w:r>
      <w:r w:rsidRPr="00906AD2">
        <w:rPr>
          <w:bCs/>
          <w:lang w:val="ru-RU"/>
        </w:rPr>
        <w:t>3</w:t>
      </w:r>
      <w:r>
        <w:rPr>
          <w:bCs/>
          <w:lang w:val="ru-RU"/>
        </w:rPr>
        <w:t>,</w:t>
      </w:r>
      <w:r w:rsidRPr="00906AD2">
        <w:rPr>
          <w:bCs/>
          <w:lang w:val="ru-RU"/>
        </w:rPr>
        <w:t>3</w:t>
      </w:r>
      <w:r w:rsidRPr="00474461">
        <w:rPr>
          <w:bCs/>
        </w:rPr>
        <w:t xml:space="preserve"> млн. лева);</w:t>
      </w:r>
    </w:p>
    <w:p w:rsidR="00344B3B" w:rsidRPr="004133E0" w:rsidRDefault="00344B3B" w:rsidP="00344B3B">
      <w:pPr>
        <w:numPr>
          <w:ilvl w:val="0"/>
          <w:numId w:val="10"/>
        </w:numPr>
        <w:tabs>
          <w:tab w:val="clear" w:pos="1101"/>
          <w:tab w:val="num" w:pos="786"/>
        </w:tabs>
        <w:ind w:left="786"/>
        <w:jc w:val="both"/>
        <w:rPr>
          <w:bCs/>
        </w:rPr>
      </w:pPr>
      <w:r w:rsidRPr="004133E0">
        <w:rPr>
          <w:bCs/>
        </w:rPr>
        <w:t>ОП „Добро управление” – 35</w:t>
      </w:r>
      <w:r>
        <w:rPr>
          <w:bCs/>
        </w:rPr>
        <w:t>,</w:t>
      </w:r>
      <w:r w:rsidRPr="004133E0">
        <w:rPr>
          <w:bCs/>
        </w:rPr>
        <w:t>4 млн. лв.;</w:t>
      </w:r>
    </w:p>
    <w:p w:rsidR="00344B3B" w:rsidRPr="004133E0" w:rsidRDefault="00344B3B" w:rsidP="00344B3B">
      <w:pPr>
        <w:numPr>
          <w:ilvl w:val="0"/>
          <w:numId w:val="10"/>
        </w:numPr>
        <w:tabs>
          <w:tab w:val="clear" w:pos="1101"/>
          <w:tab w:val="num" w:pos="786"/>
        </w:tabs>
        <w:ind w:left="786"/>
        <w:jc w:val="both"/>
        <w:rPr>
          <w:bCs/>
        </w:rPr>
      </w:pPr>
      <w:r w:rsidRPr="004133E0">
        <w:rPr>
          <w:bCs/>
        </w:rPr>
        <w:lastRenderedPageBreak/>
        <w:t>ОП „Региони в растеж“ – 184</w:t>
      </w:r>
      <w:r>
        <w:rPr>
          <w:bCs/>
        </w:rPr>
        <w:t>,</w:t>
      </w:r>
      <w:r w:rsidRPr="004133E0">
        <w:rPr>
          <w:bCs/>
        </w:rPr>
        <w:t>2 млн. лв.</w:t>
      </w:r>
      <w:r w:rsidRPr="00906AD2">
        <w:rPr>
          <w:bCs/>
          <w:lang w:val="ru-RU"/>
        </w:rPr>
        <w:t xml:space="preserve"> </w:t>
      </w:r>
      <w:r w:rsidRPr="004133E0">
        <w:rPr>
          <w:bCs/>
        </w:rPr>
        <w:t>(вкл. за REACT-EU в размер на 35</w:t>
      </w:r>
      <w:r>
        <w:rPr>
          <w:bCs/>
        </w:rPr>
        <w:t>,</w:t>
      </w:r>
      <w:r w:rsidRPr="004133E0">
        <w:rPr>
          <w:bCs/>
        </w:rPr>
        <w:t>6 млн. лева);</w:t>
      </w:r>
    </w:p>
    <w:p w:rsidR="00344B3B" w:rsidRPr="00912CF0" w:rsidRDefault="00344B3B" w:rsidP="00344B3B">
      <w:pPr>
        <w:numPr>
          <w:ilvl w:val="0"/>
          <w:numId w:val="10"/>
        </w:numPr>
        <w:tabs>
          <w:tab w:val="clear" w:pos="1101"/>
          <w:tab w:val="num" w:pos="786"/>
        </w:tabs>
        <w:ind w:left="786"/>
        <w:jc w:val="both"/>
        <w:rPr>
          <w:bCs/>
        </w:rPr>
      </w:pPr>
      <w:r w:rsidRPr="00912CF0">
        <w:rPr>
          <w:bCs/>
        </w:rPr>
        <w:t>ОП „Транспорт и транспортна инфраструктура” – 226</w:t>
      </w:r>
      <w:r>
        <w:rPr>
          <w:bCs/>
        </w:rPr>
        <w:t>,</w:t>
      </w:r>
      <w:r w:rsidRPr="00912CF0">
        <w:rPr>
          <w:bCs/>
        </w:rPr>
        <w:t>6 млн. лв.;</w:t>
      </w:r>
    </w:p>
    <w:p w:rsidR="00344B3B" w:rsidRPr="00912CF0" w:rsidRDefault="00344B3B" w:rsidP="00344B3B">
      <w:pPr>
        <w:numPr>
          <w:ilvl w:val="0"/>
          <w:numId w:val="10"/>
        </w:numPr>
        <w:tabs>
          <w:tab w:val="clear" w:pos="1101"/>
          <w:tab w:val="num" w:pos="786"/>
        </w:tabs>
        <w:ind w:left="786"/>
        <w:jc w:val="both"/>
        <w:rPr>
          <w:bCs/>
        </w:rPr>
      </w:pPr>
      <w:r w:rsidRPr="00912CF0">
        <w:rPr>
          <w:bCs/>
        </w:rPr>
        <w:t>ОП „Наука и образование за интелигентен растеж” – 60</w:t>
      </w:r>
      <w:r>
        <w:rPr>
          <w:bCs/>
        </w:rPr>
        <w:t>,</w:t>
      </w:r>
      <w:r w:rsidRPr="00912CF0">
        <w:rPr>
          <w:bCs/>
        </w:rPr>
        <w:t>7 млн. лв. (вкл. възстановени средства от бенефициенти по REACT-EU в размер на 0</w:t>
      </w:r>
      <w:r>
        <w:rPr>
          <w:bCs/>
        </w:rPr>
        <w:t>,</w:t>
      </w:r>
      <w:r w:rsidRPr="00912CF0">
        <w:rPr>
          <w:bCs/>
        </w:rPr>
        <w:t>01 млн. лева) и</w:t>
      </w:r>
    </w:p>
    <w:p w:rsidR="00344B3B" w:rsidRPr="00AA35B1" w:rsidRDefault="00344B3B" w:rsidP="00344B3B">
      <w:pPr>
        <w:numPr>
          <w:ilvl w:val="0"/>
          <w:numId w:val="10"/>
        </w:numPr>
        <w:tabs>
          <w:tab w:val="clear" w:pos="1101"/>
          <w:tab w:val="num" w:pos="786"/>
        </w:tabs>
        <w:ind w:left="786"/>
        <w:jc w:val="both"/>
        <w:rPr>
          <w:bCs/>
        </w:rPr>
      </w:pPr>
      <w:r w:rsidRPr="00AA35B1">
        <w:rPr>
          <w:bCs/>
        </w:rPr>
        <w:t>ОП „Околна среда 2014 – 2020 г.“ – 262</w:t>
      </w:r>
      <w:r>
        <w:rPr>
          <w:bCs/>
        </w:rPr>
        <w:t>,</w:t>
      </w:r>
      <w:r w:rsidRPr="00AA35B1">
        <w:rPr>
          <w:bCs/>
        </w:rPr>
        <w:t>5 млн. л</w:t>
      </w:r>
      <w:r>
        <w:rPr>
          <w:bCs/>
        </w:rPr>
        <w:t>е</w:t>
      </w:r>
      <w:r w:rsidRPr="00AA35B1">
        <w:rPr>
          <w:bCs/>
        </w:rPr>
        <w:t>в</w:t>
      </w:r>
      <w:r>
        <w:rPr>
          <w:bCs/>
        </w:rPr>
        <w:t>а</w:t>
      </w:r>
      <w:r w:rsidRPr="00AA35B1">
        <w:rPr>
          <w:bCs/>
        </w:rPr>
        <w:t>.</w:t>
      </w:r>
    </w:p>
    <w:p w:rsidR="00344B3B" w:rsidRPr="00D27815" w:rsidRDefault="00344B3B" w:rsidP="00297423">
      <w:pPr>
        <w:spacing w:before="120"/>
        <w:ind w:firstLine="567"/>
        <w:jc w:val="both"/>
        <w:rPr>
          <w:bCs/>
        </w:rPr>
      </w:pPr>
      <w:r w:rsidRPr="00D27815">
        <w:t>Възстановеното авансово финансиране по реда на ДДС6/2011 г. е в размер на 476</w:t>
      </w:r>
      <w:r>
        <w:t>,</w:t>
      </w:r>
      <w:r w:rsidRPr="00D27815">
        <w:t>0 млн. лева, в т.ч. възстановена възмездна финансова помощ по ОПТТИ и ОПОС.</w:t>
      </w:r>
    </w:p>
    <w:p w:rsidR="00344B3B" w:rsidRPr="00474461" w:rsidRDefault="00344B3B" w:rsidP="00344B3B">
      <w:pPr>
        <w:jc w:val="both"/>
        <w:rPr>
          <w:bCs/>
        </w:rPr>
      </w:pPr>
      <w:r w:rsidRPr="00474461">
        <w:rPr>
          <w:bCs/>
        </w:rPr>
        <w:t>Изплатените средства от оперативните програми за мерките за минимизиране на отрицателните последици от епидемичното разпространение на COVD-19 през отчетния период са в размер на 75</w:t>
      </w:r>
      <w:r w:rsidR="007D6F5B">
        <w:rPr>
          <w:bCs/>
        </w:rPr>
        <w:t>,</w:t>
      </w:r>
      <w:r w:rsidRPr="00474461">
        <w:rPr>
          <w:bCs/>
        </w:rPr>
        <w:t>5 млн. лева.</w:t>
      </w:r>
    </w:p>
    <w:p w:rsidR="00344B3B" w:rsidRPr="0088715C" w:rsidRDefault="00344B3B" w:rsidP="00344B3B">
      <w:pPr>
        <w:spacing w:before="120"/>
        <w:ind w:firstLine="686"/>
        <w:jc w:val="both"/>
        <w:rPr>
          <w:b/>
          <w:bCs/>
        </w:rPr>
      </w:pPr>
      <w:r w:rsidRPr="0088715C">
        <w:rPr>
          <w:b/>
          <w:bCs/>
        </w:rPr>
        <w:t>Европейския социален фонд+, Европейския фонд за регионално развитие (включително Фонда за справедлив преход) и Кохезионния фонд за програмен период 2021-2027 г.</w:t>
      </w:r>
    </w:p>
    <w:p w:rsidR="00344B3B" w:rsidRPr="0088715C" w:rsidRDefault="00344B3B" w:rsidP="00297423">
      <w:pPr>
        <w:spacing w:before="120"/>
        <w:ind w:firstLine="567"/>
        <w:jc w:val="both"/>
        <w:rPr>
          <w:bCs/>
        </w:rPr>
      </w:pPr>
      <w:r w:rsidRPr="0088715C">
        <w:rPr>
          <w:bCs/>
        </w:rPr>
        <w:t>Получените средства (нето) от ЕК за периода са в размер на 848</w:t>
      </w:r>
      <w:r>
        <w:rPr>
          <w:bCs/>
        </w:rPr>
        <w:t>,</w:t>
      </w:r>
      <w:r w:rsidRPr="0088715C">
        <w:rPr>
          <w:bCs/>
        </w:rPr>
        <w:t>6 млн. л</w:t>
      </w:r>
      <w:r>
        <w:rPr>
          <w:bCs/>
        </w:rPr>
        <w:t>е</w:t>
      </w:r>
      <w:r w:rsidRPr="0088715C">
        <w:rPr>
          <w:bCs/>
        </w:rPr>
        <w:t>в</w:t>
      </w:r>
      <w:r>
        <w:rPr>
          <w:bCs/>
        </w:rPr>
        <w:t>а</w:t>
      </w:r>
      <w:r w:rsidRPr="0088715C">
        <w:rPr>
          <w:bCs/>
        </w:rPr>
        <w:t>.</w:t>
      </w:r>
    </w:p>
    <w:p w:rsidR="00344B3B" w:rsidRPr="0088715C" w:rsidRDefault="00344B3B" w:rsidP="00344B3B">
      <w:pPr>
        <w:jc w:val="both"/>
        <w:rPr>
          <w:bCs/>
        </w:rPr>
      </w:pPr>
    </w:p>
    <w:p w:rsidR="00344B3B" w:rsidRPr="0088715C" w:rsidRDefault="00344B3B" w:rsidP="00344B3B">
      <w:pPr>
        <w:ind w:firstLine="426"/>
        <w:jc w:val="both"/>
        <w:rPr>
          <w:bCs/>
        </w:rPr>
      </w:pPr>
      <w:r w:rsidRPr="0088715C">
        <w:rPr>
          <w:bCs/>
        </w:rPr>
        <w:t>Направените разходи (нето) за периода са в размер на 898</w:t>
      </w:r>
      <w:r>
        <w:rPr>
          <w:bCs/>
        </w:rPr>
        <w:t>,</w:t>
      </w:r>
      <w:r w:rsidRPr="0088715C">
        <w:rPr>
          <w:bCs/>
        </w:rPr>
        <w:t>5 млн. лв. и са разпределени както следва:</w:t>
      </w:r>
    </w:p>
    <w:p w:rsidR="00344B3B" w:rsidRPr="0088715C" w:rsidRDefault="00344B3B" w:rsidP="00344B3B">
      <w:pPr>
        <w:numPr>
          <w:ilvl w:val="0"/>
          <w:numId w:val="10"/>
        </w:numPr>
        <w:tabs>
          <w:tab w:val="clear" w:pos="1101"/>
          <w:tab w:val="num" w:pos="786"/>
        </w:tabs>
        <w:ind w:left="786"/>
        <w:jc w:val="both"/>
        <w:rPr>
          <w:bCs/>
        </w:rPr>
      </w:pPr>
      <w:r w:rsidRPr="0088715C">
        <w:rPr>
          <w:bCs/>
        </w:rPr>
        <w:t>Програма „Развитие на човешките ресурси” 2021-2027 г. – 298</w:t>
      </w:r>
      <w:r>
        <w:rPr>
          <w:bCs/>
        </w:rPr>
        <w:t>,</w:t>
      </w:r>
      <w:r w:rsidRPr="0088715C">
        <w:rPr>
          <w:bCs/>
        </w:rPr>
        <w:t xml:space="preserve">7 млн. лв.;  </w:t>
      </w:r>
    </w:p>
    <w:p w:rsidR="00344B3B" w:rsidRPr="0088715C" w:rsidRDefault="00344B3B" w:rsidP="00344B3B">
      <w:pPr>
        <w:numPr>
          <w:ilvl w:val="0"/>
          <w:numId w:val="10"/>
        </w:numPr>
        <w:tabs>
          <w:tab w:val="clear" w:pos="1101"/>
          <w:tab w:val="num" w:pos="786"/>
        </w:tabs>
        <w:ind w:left="786"/>
        <w:jc w:val="both"/>
        <w:rPr>
          <w:bCs/>
        </w:rPr>
      </w:pPr>
      <w:r w:rsidRPr="0088715C">
        <w:rPr>
          <w:bCs/>
        </w:rPr>
        <w:t>Програма „Храни и основно материално подпомагане” 2021-2027 г. – 98</w:t>
      </w:r>
      <w:r>
        <w:rPr>
          <w:bCs/>
        </w:rPr>
        <w:t>,</w:t>
      </w:r>
      <w:r w:rsidRPr="0088715C">
        <w:rPr>
          <w:bCs/>
        </w:rPr>
        <w:t>5 млн. лв.;</w:t>
      </w:r>
    </w:p>
    <w:p w:rsidR="00344B3B" w:rsidRPr="0088715C" w:rsidRDefault="00344B3B" w:rsidP="00344B3B">
      <w:pPr>
        <w:numPr>
          <w:ilvl w:val="0"/>
          <w:numId w:val="10"/>
        </w:numPr>
        <w:tabs>
          <w:tab w:val="clear" w:pos="1101"/>
          <w:tab w:val="num" w:pos="786"/>
        </w:tabs>
        <w:ind w:left="786"/>
        <w:jc w:val="both"/>
        <w:rPr>
          <w:bCs/>
        </w:rPr>
      </w:pPr>
      <w:r w:rsidRPr="0088715C">
        <w:rPr>
          <w:bCs/>
        </w:rPr>
        <w:t>Програма „Образование” 2021-2027 г. – 74</w:t>
      </w:r>
      <w:r>
        <w:rPr>
          <w:bCs/>
        </w:rPr>
        <w:t>,</w:t>
      </w:r>
      <w:r w:rsidRPr="0088715C">
        <w:rPr>
          <w:bCs/>
        </w:rPr>
        <w:t>6 млн. лв.;</w:t>
      </w:r>
    </w:p>
    <w:p w:rsidR="00344B3B" w:rsidRPr="0088715C" w:rsidRDefault="00344B3B" w:rsidP="00344B3B">
      <w:pPr>
        <w:numPr>
          <w:ilvl w:val="0"/>
          <w:numId w:val="10"/>
        </w:numPr>
        <w:tabs>
          <w:tab w:val="clear" w:pos="1101"/>
          <w:tab w:val="num" w:pos="786"/>
        </w:tabs>
        <w:ind w:left="786"/>
        <w:jc w:val="both"/>
        <w:rPr>
          <w:bCs/>
        </w:rPr>
      </w:pPr>
      <w:r w:rsidRPr="0088715C">
        <w:rPr>
          <w:bCs/>
        </w:rPr>
        <w:t>Програма „Околна среда“ 2021-2027 г. – 152</w:t>
      </w:r>
      <w:r>
        <w:rPr>
          <w:bCs/>
        </w:rPr>
        <w:t>,</w:t>
      </w:r>
      <w:r w:rsidRPr="0088715C">
        <w:rPr>
          <w:bCs/>
        </w:rPr>
        <w:t>7 млн. лв.;</w:t>
      </w:r>
    </w:p>
    <w:p w:rsidR="00344B3B" w:rsidRPr="0088715C" w:rsidRDefault="00344B3B" w:rsidP="00344B3B">
      <w:pPr>
        <w:numPr>
          <w:ilvl w:val="0"/>
          <w:numId w:val="10"/>
        </w:numPr>
        <w:tabs>
          <w:tab w:val="clear" w:pos="1101"/>
          <w:tab w:val="num" w:pos="786"/>
        </w:tabs>
        <w:ind w:left="786"/>
        <w:jc w:val="both"/>
        <w:rPr>
          <w:bCs/>
        </w:rPr>
      </w:pPr>
      <w:r w:rsidRPr="0088715C">
        <w:rPr>
          <w:bCs/>
        </w:rPr>
        <w:t>Програма „Техническа помощ“ – 23</w:t>
      </w:r>
      <w:r>
        <w:rPr>
          <w:bCs/>
        </w:rPr>
        <w:t>,</w:t>
      </w:r>
      <w:r w:rsidRPr="0088715C">
        <w:rPr>
          <w:bCs/>
        </w:rPr>
        <w:t>9 млн. лв.;</w:t>
      </w:r>
    </w:p>
    <w:p w:rsidR="00344B3B" w:rsidRPr="0088715C" w:rsidRDefault="00344B3B" w:rsidP="00344B3B">
      <w:pPr>
        <w:numPr>
          <w:ilvl w:val="0"/>
          <w:numId w:val="10"/>
        </w:numPr>
        <w:tabs>
          <w:tab w:val="clear" w:pos="1101"/>
          <w:tab w:val="num" w:pos="786"/>
        </w:tabs>
        <w:ind w:left="786"/>
        <w:jc w:val="both"/>
        <w:rPr>
          <w:bCs/>
        </w:rPr>
      </w:pPr>
      <w:r w:rsidRPr="0088715C">
        <w:rPr>
          <w:bCs/>
        </w:rPr>
        <w:t>Програма „Конкурентоспособност и иновации в предприятията“ 2021 2027 г. – 19</w:t>
      </w:r>
      <w:r>
        <w:rPr>
          <w:bCs/>
        </w:rPr>
        <w:t>,</w:t>
      </w:r>
      <w:r w:rsidRPr="0088715C">
        <w:rPr>
          <w:bCs/>
        </w:rPr>
        <w:t>8</w:t>
      </w:r>
      <w:r w:rsidR="00672BD0">
        <w:rPr>
          <w:bCs/>
        </w:rPr>
        <w:t> </w:t>
      </w:r>
      <w:r w:rsidRPr="0088715C">
        <w:rPr>
          <w:bCs/>
        </w:rPr>
        <w:t>млн.</w:t>
      </w:r>
      <w:r>
        <w:t> </w:t>
      </w:r>
      <w:r w:rsidRPr="0088715C">
        <w:rPr>
          <w:bCs/>
        </w:rPr>
        <w:t>лв.;</w:t>
      </w:r>
    </w:p>
    <w:p w:rsidR="00344B3B" w:rsidRPr="0088715C" w:rsidRDefault="00344B3B" w:rsidP="00344B3B">
      <w:pPr>
        <w:numPr>
          <w:ilvl w:val="0"/>
          <w:numId w:val="10"/>
        </w:numPr>
        <w:tabs>
          <w:tab w:val="clear" w:pos="1101"/>
          <w:tab w:val="num" w:pos="786"/>
        </w:tabs>
        <w:ind w:left="786"/>
        <w:jc w:val="both"/>
        <w:rPr>
          <w:bCs/>
        </w:rPr>
      </w:pPr>
      <w:r w:rsidRPr="0088715C">
        <w:rPr>
          <w:bCs/>
        </w:rPr>
        <w:t>Програма „Развитие на регионите“ 2021 2027 г. – 0</w:t>
      </w:r>
      <w:r>
        <w:rPr>
          <w:bCs/>
        </w:rPr>
        <w:t>,</w:t>
      </w:r>
      <w:r w:rsidRPr="0088715C">
        <w:rPr>
          <w:bCs/>
        </w:rPr>
        <w:t>4 млн. лв.;</w:t>
      </w:r>
    </w:p>
    <w:p w:rsidR="00344B3B" w:rsidRPr="0088715C" w:rsidRDefault="00344B3B" w:rsidP="00344B3B">
      <w:pPr>
        <w:numPr>
          <w:ilvl w:val="0"/>
          <w:numId w:val="10"/>
        </w:numPr>
        <w:tabs>
          <w:tab w:val="clear" w:pos="1101"/>
          <w:tab w:val="num" w:pos="786"/>
        </w:tabs>
        <w:ind w:left="786"/>
        <w:jc w:val="both"/>
        <w:rPr>
          <w:bCs/>
        </w:rPr>
      </w:pPr>
      <w:r w:rsidRPr="0088715C">
        <w:rPr>
          <w:bCs/>
        </w:rPr>
        <w:t>Фонд за справедлив преход – 11</w:t>
      </w:r>
      <w:r>
        <w:rPr>
          <w:bCs/>
        </w:rPr>
        <w:t>,</w:t>
      </w:r>
      <w:r w:rsidRPr="0088715C">
        <w:rPr>
          <w:bCs/>
        </w:rPr>
        <w:t>6 млн. лв.;</w:t>
      </w:r>
    </w:p>
    <w:p w:rsidR="00344B3B" w:rsidRPr="0088715C" w:rsidRDefault="00344B3B" w:rsidP="00344B3B">
      <w:pPr>
        <w:numPr>
          <w:ilvl w:val="0"/>
          <w:numId w:val="10"/>
        </w:numPr>
        <w:tabs>
          <w:tab w:val="clear" w:pos="1101"/>
          <w:tab w:val="num" w:pos="786"/>
        </w:tabs>
        <w:ind w:left="786"/>
        <w:jc w:val="both"/>
        <w:rPr>
          <w:bCs/>
        </w:rPr>
      </w:pPr>
      <w:r w:rsidRPr="0088715C">
        <w:rPr>
          <w:bCs/>
        </w:rPr>
        <w:t>Програма „Научни изследвания, иновации и дигитализация за интелигентна трансформация“ 2021 2027 г. – 19</w:t>
      </w:r>
      <w:r>
        <w:rPr>
          <w:bCs/>
        </w:rPr>
        <w:t>,</w:t>
      </w:r>
      <w:r w:rsidRPr="0088715C">
        <w:rPr>
          <w:bCs/>
        </w:rPr>
        <w:t>3 млн. лв. и</w:t>
      </w:r>
    </w:p>
    <w:p w:rsidR="00344B3B" w:rsidRPr="0088715C" w:rsidRDefault="00344B3B" w:rsidP="00344B3B">
      <w:pPr>
        <w:numPr>
          <w:ilvl w:val="0"/>
          <w:numId w:val="10"/>
        </w:numPr>
        <w:tabs>
          <w:tab w:val="clear" w:pos="1101"/>
          <w:tab w:val="num" w:pos="786"/>
        </w:tabs>
        <w:ind w:left="786"/>
        <w:jc w:val="both"/>
        <w:rPr>
          <w:bCs/>
        </w:rPr>
      </w:pPr>
      <w:r w:rsidRPr="0088715C">
        <w:rPr>
          <w:bCs/>
        </w:rPr>
        <w:t>Програма „Транспортна свързаност“ – 198</w:t>
      </w:r>
      <w:r>
        <w:rPr>
          <w:bCs/>
        </w:rPr>
        <w:t>,</w:t>
      </w:r>
      <w:r w:rsidRPr="0088715C">
        <w:rPr>
          <w:bCs/>
        </w:rPr>
        <w:t>8 млн. л</w:t>
      </w:r>
      <w:r>
        <w:rPr>
          <w:bCs/>
        </w:rPr>
        <w:t>е</w:t>
      </w:r>
      <w:r w:rsidRPr="0088715C">
        <w:rPr>
          <w:bCs/>
        </w:rPr>
        <w:t>в</w:t>
      </w:r>
      <w:r>
        <w:rPr>
          <w:bCs/>
        </w:rPr>
        <w:t>а</w:t>
      </w:r>
      <w:r w:rsidRPr="0088715C">
        <w:rPr>
          <w:bCs/>
        </w:rPr>
        <w:t>.</w:t>
      </w:r>
    </w:p>
    <w:p w:rsidR="00344B3B" w:rsidRPr="0088715C" w:rsidRDefault="00344B3B" w:rsidP="00344B3B">
      <w:pPr>
        <w:jc w:val="both"/>
      </w:pPr>
    </w:p>
    <w:p w:rsidR="00344B3B" w:rsidRPr="0088715C" w:rsidRDefault="00344B3B" w:rsidP="00297423">
      <w:pPr>
        <w:ind w:firstLine="567"/>
        <w:jc w:val="both"/>
        <w:rPr>
          <w:bCs/>
        </w:rPr>
      </w:pPr>
      <w:r w:rsidRPr="0088715C">
        <w:t>Платеното авансово финансиране по реда на ДДС6/2011 г. е в размер на 6</w:t>
      </w:r>
      <w:r>
        <w:t>,</w:t>
      </w:r>
      <w:r w:rsidRPr="0088715C">
        <w:t>1 млн. лева, а възстановените средства по този механизъм са в размер на 3</w:t>
      </w:r>
      <w:r>
        <w:t>,</w:t>
      </w:r>
      <w:r w:rsidRPr="0088715C">
        <w:t>8 млн. лева.</w:t>
      </w:r>
    </w:p>
    <w:p w:rsidR="00344B3B" w:rsidRPr="00841854" w:rsidRDefault="00344B3B" w:rsidP="00344B3B">
      <w:pPr>
        <w:spacing w:before="120"/>
        <w:ind w:firstLine="686"/>
        <w:jc w:val="both"/>
        <w:rPr>
          <w:b/>
          <w:bCs/>
        </w:rPr>
      </w:pPr>
      <w:r w:rsidRPr="00841854">
        <w:rPr>
          <w:b/>
          <w:bCs/>
        </w:rPr>
        <w:t>Национален план за възстановяване и устойчивост (НПВУ)</w:t>
      </w:r>
    </w:p>
    <w:p w:rsidR="00344B3B" w:rsidRPr="00841854" w:rsidRDefault="00344B3B" w:rsidP="00297423">
      <w:pPr>
        <w:spacing w:before="120"/>
        <w:ind w:firstLine="567"/>
        <w:jc w:val="both"/>
        <w:rPr>
          <w:bCs/>
        </w:rPr>
      </w:pPr>
      <w:r w:rsidRPr="00841854">
        <w:rPr>
          <w:bCs/>
        </w:rPr>
        <w:t>През отчетния период чрез НПВУ бяха извършени разходи и трансфери (нето)</w:t>
      </w:r>
      <w:r w:rsidRPr="00906AD2">
        <w:rPr>
          <w:bCs/>
          <w:lang w:val="ru-RU"/>
        </w:rPr>
        <w:t xml:space="preserve"> </w:t>
      </w:r>
      <w:r w:rsidRPr="00841854">
        <w:rPr>
          <w:bCs/>
        </w:rPr>
        <w:t>в размер на 1</w:t>
      </w:r>
      <w:r>
        <w:rPr>
          <w:bCs/>
        </w:rPr>
        <w:t> </w:t>
      </w:r>
      <w:r w:rsidRPr="00841854">
        <w:rPr>
          <w:bCs/>
        </w:rPr>
        <w:t>093</w:t>
      </w:r>
      <w:r>
        <w:rPr>
          <w:bCs/>
        </w:rPr>
        <w:t>,</w:t>
      </w:r>
      <w:r w:rsidRPr="00841854">
        <w:rPr>
          <w:bCs/>
        </w:rPr>
        <w:t>7 млн. лева.</w:t>
      </w:r>
    </w:p>
    <w:p w:rsidR="00344B3B" w:rsidRPr="00A33832" w:rsidRDefault="00344B3B" w:rsidP="00344B3B">
      <w:pPr>
        <w:spacing w:before="120"/>
        <w:ind w:firstLine="686"/>
        <w:jc w:val="both"/>
        <w:rPr>
          <w:b/>
          <w:bCs/>
        </w:rPr>
      </w:pPr>
      <w:r w:rsidRPr="00A33832">
        <w:rPr>
          <w:b/>
          <w:bCs/>
        </w:rPr>
        <w:t>Двустранни програми за трансгранично сътрудничество по външните граници на Европейския съюз 2014 – 2020 г. и 2021 – 2027 г.</w:t>
      </w:r>
    </w:p>
    <w:p w:rsidR="00344B3B" w:rsidRPr="00A33832" w:rsidRDefault="00344B3B" w:rsidP="00297423">
      <w:pPr>
        <w:spacing w:before="120"/>
        <w:ind w:firstLine="567"/>
        <w:jc w:val="both"/>
        <w:rPr>
          <w:bCs/>
        </w:rPr>
      </w:pPr>
      <w:r w:rsidRPr="00A33832">
        <w:rPr>
          <w:bCs/>
        </w:rPr>
        <w:t>Получените средства към 3</w:t>
      </w:r>
      <w:r w:rsidRPr="00906AD2">
        <w:rPr>
          <w:bCs/>
          <w:lang w:val="ru-RU"/>
        </w:rPr>
        <w:t>1</w:t>
      </w:r>
      <w:r w:rsidRPr="00A33832">
        <w:rPr>
          <w:bCs/>
        </w:rPr>
        <w:t>.</w:t>
      </w:r>
      <w:r w:rsidRPr="00906AD2">
        <w:rPr>
          <w:bCs/>
          <w:lang w:val="ru-RU"/>
        </w:rPr>
        <w:t>12</w:t>
      </w:r>
      <w:r w:rsidRPr="00A33832">
        <w:rPr>
          <w:bCs/>
        </w:rPr>
        <w:t>.202</w:t>
      </w:r>
      <w:r w:rsidRPr="00906AD2">
        <w:rPr>
          <w:bCs/>
          <w:lang w:val="ru-RU"/>
        </w:rPr>
        <w:t>4</w:t>
      </w:r>
      <w:r w:rsidRPr="00A33832">
        <w:rPr>
          <w:bCs/>
        </w:rPr>
        <w:t xml:space="preserve"> г. са на стойност </w:t>
      </w:r>
      <w:r w:rsidRPr="00906AD2">
        <w:rPr>
          <w:bCs/>
          <w:lang w:val="ru-RU"/>
        </w:rPr>
        <w:t>0</w:t>
      </w:r>
      <w:r>
        <w:rPr>
          <w:bCs/>
          <w:lang w:val="ru-RU"/>
        </w:rPr>
        <w:t>,</w:t>
      </w:r>
      <w:r w:rsidRPr="00A33832">
        <w:rPr>
          <w:bCs/>
        </w:rPr>
        <w:t>2 млн. лв., представляващи постъпили средства за съфинансиране от страните-партньори, както</w:t>
      </w:r>
      <w:r>
        <w:rPr>
          <w:bCs/>
        </w:rPr>
        <w:t xml:space="preserve"> и</w:t>
      </w:r>
      <w:r w:rsidRPr="00A33832">
        <w:rPr>
          <w:bCs/>
        </w:rPr>
        <w:t xml:space="preserve"> разпределени към администратори в чужбина за сметка на средствата, получени от страната-партньор.</w:t>
      </w:r>
    </w:p>
    <w:p w:rsidR="00344B3B" w:rsidRPr="00A33832" w:rsidRDefault="00344B3B" w:rsidP="00344B3B">
      <w:pPr>
        <w:jc w:val="both"/>
        <w:rPr>
          <w:b/>
          <w:bCs/>
        </w:rPr>
      </w:pPr>
      <w:r w:rsidRPr="00A33832">
        <w:rPr>
          <w:bCs/>
        </w:rPr>
        <w:t xml:space="preserve">Сумата на разходите и трансферите (нето) към бюджетни организации в страната, които са направени през </w:t>
      </w:r>
      <w:r>
        <w:rPr>
          <w:bCs/>
        </w:rPr>
        <w:t>2024 г.</w:t>
      </w:r>
      <w:r w:rsidRPr="00A33832">
        <w:rPr>
          <w:bCs/>
        </w:rPr>
        <w:t xml:space="preserve"> по двустранните програми са на обща стойност 9</w:t>
      </w:r>
      <w:r>
        <w:rPr>
          <w:bCs/>
        </w:rPr>
        <w:t>,</w:t>
      </w:r>
      <w:r w:rsidRPr="00906AD2">
        <w:rPr>
          <w:bCs/>
          <w:lang w:val="ru-RU"/>
        </w:rPr>
        <w:t>5</w:t>
      </w:r>
      <w:r w:rsidRPr="00A33832">
        <w:rPr>
          <w:bCs/>
        </w:rPr>
        <w:t xml:space="preserve"> млн. лв., включително за плащания към бенефициенти в страната, извършени за сметка на полученото финансиране от страната-партньор по тези програми. </w:t>
      </w:r>
    </w:p>
    <w:p w:rsidR="00344B3B" w:rsidRPr="005D1842" w:rsidRDefault="00344B3B" w:rsidP="00344B3B">
      <w:pPr>
        <w:spacing w:before="120"/>
        <w:ind w:firstLine="708"/>
        <w:jc w:val="both"/>
        <w:rPr>
          <w:b/>
          <w:bCs/>
        </w:rPr>
      </w:pPr>
      <w:r w:rsidRPr="005D1842">
        <w:rPr>
          <w:b/>
          <w:bCs/>
        </w:rPr>
        <w:t>Финансов механизъм на Европейското икономическо пространство и Норвежки финансов механизъм за периода 2009-2014 г. и 2014-2021 г.</w:t>
      </w:r>
    </w:p>
    <w:p w:rsidR="00344B3B" w:rsidRPr="005D1842" w:rsidRDefault="00344B3B" w:rsidP="00F1162C">
      <w:pPr>
        <w:spacing w:before="120"/>
        <w:ind w:firstLine="567"/>
        <w:jc w:val="both"/>
        <w:rPr>
          <w:b/>
          <w:bCs/>
        </w:rPr>
      </w:pPr>
      <w:r w:rsidRPr="005D1842">
        <w:rPr>
          <w:bCs/>
        </w:rPr>
        <w:t>Получените средства към 3</w:t>
      </w:r>
      <w:r w:rsidRPr="00906AD2">
        <w:rPr>
          <w:bCs/>
          <w:lang w:val="ru-RU"/>
        </w:rPr>
        <w:t>1</w:t>
      </w:r>
      <w:r w:rsidRPr="005D1842">
        <w:rPr>
          <w:bCs/>
        </w:rPr>
        <w:t>.</w:t>
      </w:r>
      <w:r w:rsidRPr="00906AD2">
        <w:rPr>
          <w:bCs/>
          <w:lang w:val="ru-RU"/>
        </w:rPr>
        <w:t>12</w:t>
      </w:r>
      <w:r w:rsidRPr="005D1842">
        <w:rPr>
          <w:bCs/>
        </w:rPr>
        <w:t>.202</w:t>
      </w:r>
      <w:r w:rsidRPr="00906AD2">
        <w:rPr>
          <w:bCs/>
          <w:lang w:val="ru-RU"/>
        </w:rPr>
        <w:t>4</w:t>
      </w:r>
      <w:r w:rsidRPr="005D1842">
        <w:rPr>
          <w:bCs/>
        </w:rPr>
        <w:t xml:space="preserve"> г. са в размер на 3</w:t>
      </w:r>
      <w:r w:rsidRPr="00906AD2">
        <w:rPr>
          <w:bCs/>
          <w:lang w:val="ru-RU"/>
        </w:rPr>
        <w:t>7</w:t>
      </w:r>
      <w:r>
        <w:rPr>
          <w:bCs/>
          <w:lang w:val="ru-RU"/>
        </w:rPr>
        <w:t>,</w:t>
      </w:r>
      <w:r w:rsidRPr="00906AD2">
        <w:rPr>
          <w:bCs/>
          <w:lang w:val="ru-RU"/>
        </w:rPr>
        <w:t>8</w:t>
      </w:r>
      <w:r w:rsidRPr="005D1842">
        <w:rPr>
          <w:bCs/>
        </w:rPr>
        <w:t xml:space="preserve"> млн. л</w:t>
      </w:r>
      <w:r>
        <w:rPr>
          <w:bCs/>
        </w:rPr>
        <w:t>е</w:t>
      </w:r>
      <w:r w:rsidRPr="005D1842">
        <w:rPr>
          <w:bCs/>
        </w:rPr>
        <w:t>в</w:t>
      </w:r>
      <w:r>
        <w:rPr>
          <w:bCs/>
        </w:rPr>
        <w:t>а</w:t>
      </w:r>
      <w:r w:rsidRPr="005D1842">
        <w:rPr>
          <w:bCs/>
        </w:rPr>
        <w:t>.</w:t>
      </w:r>
    </w:p>
    <w:p w:rsidR="00344B3B" w:rsidRPr="005D1842" w:rsidRDefault="00344B3B" w:rsidP="00F1162C">
      <w:pPr>
        <w:spacing w:before="120"/>
        <w:ind w:firstLine="567"/>
        <w:jc w:val="both"/>
        <w:rPr>
          <w:b/>
          <w:bCs/>
        </w:rPr>
      </w:pPr>
      <w:r w:rsidRPr="005D1842">
        <w:rPr>
          <w:bCs/>
        </w:rPr>
        <w:t xml:space="preserve">Сумата на разходите и трансферите (нето) за периода са на обща стойност </w:t>
      </w:r>
      <w:r w:rsidRPr="00906AD2">
        <w:rPr>
          <w:bCs/>
          <w:lang w:val="ru-RU"/>
        </w:rPr>
        <w:t>67</w:t>
      </w:r>
      <w:r>
        <w:rPr>
          <w:bCs/>
          <w:lang w:val="ru-RU"/>
        </w:rPr>
        <w:t>,</w:t>
      </w:r>
      <w:r w:rsidRPr="00906AD2">
        <w:rPr>
          <w:bCs/>
          <w:lang w:val="ru-RU"/>
        </w:rPr>
        <w:t>5</w:t>
      </w:r>
      <w:r w:rsidRPr="005D1842">
        <w:rPr>
          <w:bCs/>
        </w:rPr>
        <w:t xml:space="preserve"> млн. лева.</w:t>
      </w:r>
      <w:r w:rsidRPr="005D1842">
        <w:rPr>
          <w:b/>
          <w:bCs/>
        </w:rPr>
        <w:t xml:space="preserve"> </w:t>
      </w:r>
    </w:p>
    <w:p w:rsidR="00344B3B" w:rsidRPr="005D1842" w:rsidRDefault="00344B3B" w:rsidP="00344B3B">
      <w:pPr>
        <w:spacing w:before="120"/>
        <w:ind w:firstLine="708"/>
        <w:jc w:val="both"/>
        <w:rPr>
          <w:b/>
          <w:bCs/>
        </w:rPr>
      </w:pPr>
      <w:r w:rsidRPr="005D1842">
        <w:rPr>
          <w:b/>
          <w:bCs/>
        </w:rPr>
        <w:t>Резерва за приспособяване във връзка с последиците от Брексит</w:t>
      </w:r>
    </w:p>
    <w:p w:rsidR="00344B3B" w:rsidRPr="00B1140B" w:rsidRDefault="00344B3B" w:rsidP="00F1162C">
      <w:pPr>
        <w:spacing w:before="120"/>
        <w:ind w:firstLine="567"/>
        <w:jc w:val="both"/>
        <w:rPr>
          <w:bCs/>
          <w:color w:val="0070C0"/>
        </w:rPr>
      </w:pPr>
      <w:r w:rsidRPr="005D1842">
        <w:rPr>
          <w:bCs/>
        </w:rPr>
        <w:lastRenderedPageBreak/>
        <w:t>Сумата на разходите и трансферите (нето) за периода са на обща стойност 1</w:t>
      </w:r>
      <w:r>
        <w:rPr>
          <w:bCs/>
        </w:rPr>
        <w:t>,</w:t>
      </w:r>
      <w:r w:rsidRPr="00906AD2">
        <w:rPr>
          <w:bCs/>
          <w:lang w:val="ru-RU"/>
        </w:rPr>
        <w:t>7</w:t>
      </w:r>
      <w:r w:rsidRPr="005D1842">
        <w:rPr>
          <w:bCs/>
        </w:rPr>
        <w:t xml:space="preserve"> млн. лева</w:t>
      </w:r>
      <w:r w:rsidRPr="00B1140B">
        <w:rPr>
          <w:bCs/>
          <w:color w:val="0070C0"/>
        </w:rPr>
        <w:t>.</w:t>
      </w:r>
    </w:p>
    <w:p w:rsidR="00344B3B" w:rsidRPr="006732AC" w:rsidRDefault="00344B3B" w:rsidP="00344B3B">
      <w:pPr>
        <w:spacing w:before="120"/>
        <w:ind w:firstLine="708"/>
        <w:jc w:val="both"/>
        <w:rPr>
          <w:b/>
          <w:bCs/>
        </w:rPr>
      </w:pPr>
      <w:r w:rsidRPr="006732AC">
        <w:rPr>
          <w:b/>
          <w:bCs/>
        </w:rPr>
        <w:t>Швейцарско-българската програма за сътрудничество</w:t>
      </w:r>
    </w:p>
    <w:p w:rsidR="00344B3B" w:rsidRPr="006732AC" w:rsidRDefault="00344B3B" w:rsidP="00F1162C">
      <w:pPr>
        <w:spacing w:before="120"/>
        <w:ind w:firstLine="567"/>
        <w:jc w:val="both"/>
        <w:rPr>
          <w:bCs/>
        </w:rPr>
      </w:pPr>
      <w:r w:rsidRPr="006732AC">
        <w:rPr>
          <w:bCs/>
        </w:rPr>
        <w:t>Получените средства за периода са в размер на 0</w:t>
      </w:r>
      <w:r>
        <w:rPr>
          <w:bCs/>
        </w:rPr>
        <w:t>,</w:t>
      </w:r>
      <w:r w:rsidRPr="006732AC">
        <w:rPr>
          <w:bCs/>
        </w:rPr>
        <w:t>01 млн. л</w:t>
      </w:r>
      <w:r>
        <w:rPr>
          <w:bCs/>
        </w:rPr>
        <w:t>е</w:t>
      </w:r>
      <w:r w:rsidRPr="006732AC">
        <w:rPr>
          <w:bCs/>
        </w:rPr>
        <w:t>в</w:t>
      </w:r>
      <w:r>
        <w:rPr>
          <w:bCs/>
        </w:rPr>
        <w:t>а</w:t>
      </w:r>
      <w:r w:rsidRPr="006732AC">
        <w:rPr>
          <w:bCs/>
        </w:rPr>
        <w:t>.</w:t>
      </w:r>
    </w:p>
    <w:p w:rsidR="00344B3B" w:rsidRPr="002C067C" w:rsidRDefault="00344B3B" w:rsidP="00344B3B">
      <w:pPr>
        <w:spacing w:before="120"/>
        <w:ind w:firstLine="686"/>
        <w:jc w:val="both"/>
        <w:rPr>
          <w:b/>
          <w:bCs/>
        </w:rPr>
      </w:pPr>
      <w:r w:rsidRPr="002C067C">
        <w:rPr>
          <w:b/>
          <w:bCs/>
        </w:rPr>
        <w:t xml:space="preserve">Програма ФАР </w:t>
      </w:r>
    </w:p>
    <w:p w:rsidR="00344B3B" w:rsidRPr="002C067C" w:rsidRDefault="00344B3B" w:rsidP="00D26E00">
      <w:pPr>
        <w:spacing w:before="120"/>
        <w:ind w:firstLine="567"/>
        <w:jc w:val="both"/>
        <w:rPr>
          <w:bCs/>
        </w:rPr>
      </w:pPr>
      <w:r w:rsidRPr="002C067C">
        <w:rPr>
          <w:bCs/>
        </w:rPr>
        <w:t>През отчетния период са възстановени суми от бенефициенти на стойност 0</w:t>
      </w:r>
      <w:r>
        <w:rPr>
          <w:bCs/>
        </w:rPr>
        <w:t>,</w:t>
      </w:r>
      <w:r w:rsidRPr="00906AD2">
        <w:rPr>
          <w:bCs/>
          <w:lang w:val="ru-RU"/>
        </w:rPr>
        <w:t>0</w:t>
      </w:r>
      <w:r w:rsidRPr="002C067C">
        <w:rPr>
          <w:bCs/>
        </w:rPr>
        <w:t xml:space="preserve">05 млн. лева. </w:t>
      </w:r>
    </w:p>
    <w:p w:rsidR="00344B3B" w:rsidRPr="002C067C" w:rsidRDefault="00344B3B" w:rsidP="00344B3B">
      <w:pPr>
        <w:spacing w:before="120"/>
        <w:ind w:firstLine="686"/>
        <w:jc w:val="both"/>
        <w:rPr>
          <w:b/>
          <w:bCs/>
        </w:rPr>
      </w:pPr>
      <w:r w:rsidRPr="002C067C">
        <w:rPr>
          <w:b/>
          <w:bCs/>
        </w:rPr>
        <w:t xml:space="preserve">Програма САПАРД </w:t>
      </w:r>
    </w:p>
    <w:p w:rsidR="00344B3B" w:rsidRPr="00731F7C" w:rsidRDefault="00344B3B" w:rsidP="00D26E00">
      <w:pPr>
        <w:spacing w:before="120"/>
        <w:ind w:firstLine="567"/>
        <w:jc w:val="both"/>
        <w:rPr>
          <w:bCs/>
        </w:rPr>
      </w:pPr>
      <w:r w:rsidRPr="002C067C">
        <w:rPr>
          <w:bCs/>
        </w:rPr>
        <w:t xml:space="preserve">През периода са извършени възстановявания от бенефициенти по дългове на стойност </w:t>
      </w:r>
      <w:r>
        <w:rPr>
          <w:bCs/>
        </w:rPr>
        <w:t>0,</w:t>
      </w:r>
      <w:r w:rsidRPr="00731F7C">
        <w:rPr>
          <w:bCs/>
        </w:rPr>
        <w:t>00</w:t>
      </w:r>
      <w:r w:rsidRPr="002C067C">
        <w:rPr>
          <w:bCs/>
        </w:rPr>
        <w:t>3</w:t>
      </w:r>
      <w:r w:rsidR="00672BD0">
        <w:rPr>
          <w:bCs/>
        </w:rPr>
        <w:t> </w:t>
      </w:r>
      <w:r w:rsidRPr="002C067C">
        <w:rPr>
          <w:bCs/>
        </w:rPr>
        <w:t>млн. л</w:t>
      </w:r>
      <w:r>
        <w:rPr>
          <w:bCs/>
        </w:rPr>
        <w:t>е</w:t>
      </w:r>
      <w:r w:rsidRPr="002C067C">
        <w:rPr>
          <w:bCs/>
        </w:rPr>
        <w:t>в</w:t>
      </w:r>
      <w:r>
        <w:rPr>
          <w:bCs/>
        </w:rPr>
        <w:t>а</w:t>
      </w:r>
      <w:r w:rsidRPr="002C067C">
        <w:rPr>
          <w:bCs/>
        </w:rPr>
        <w:t>.</w:t>
      </w:r>
    </w:p>
    <w:p w:rsidR="00936CD8" w:rsidRPr="006C078A" w:rsidRDefault="00936CD8" w:rsidP="00E86EAF">
      <w:pPr>
        <w:pStyle w:val="Heading1"/>
        <w:numPr>
          <w:ilvl w:val="0"/>
          <w:numId w:val="8"/>
        </w:numPr>
        <w:spacing w:before="360"/>
        <w:ind w:left="533" w:right="-108" w:hanging="391"/>
        <w:jc w:val="both"/>
        <w:rPr>
          <w:sz w:val="24"/>
        </w:rPr>
      </w:pPr>
      <w:r w:rsidRPr="006C078A">
        <w:rPr>
          <w:sz w:val="24"/>
        </w:rPr>
        <w:t>Бюджети на социално и здравно-осигурителните фондове и бюджети по чл. 13, ал. 2 и ал. 3 на Закона за публичните финанси</w:t>
      </w:r>
    </w:p>
    <w:p w:rsidR="00936CD8" w:rsidRPr="006C078A" w:rsidRDefault="00936CD8" w:rsidP="00E86EAF">
      <w:pPr>
        <w:pStyle w:val="Heading1"/>
        <w:numPr>
          <w:ilvl w:val="1"/>
          <w:numId w:val="8"/>
        </w:numPr>
        <w:spacing w:before="240"/>
        <w:ind w:left="788" w:right="-108" w:hanging="431"/>
        <w:jc w:val="both"/>
        <w:rPr>
          <w:sz w:val="24"/>
        </w:rPr>
      </w:pPr>
      <w:r w:rsidRPr="006C078A">
        <w:rPr>
          <w:sz w:val="24"/>
        </w:rPr>
        <w:t>Социално и здравно-осигурителни фондове</w:t>
      </w:r>
    </w:p>
    <w:p w:rsidR="00CA4EF0" w:rsidRPr="006C078A" w:rsidRDefault="00CA4EF0" w:rsidP="00E86EAF">
      <w:pPr>
        <w:numPr>
          <w:ilvl w:val="1"/>
          <w:numId w:val="5"/>
        </w:numPr>
        <w:spacing w:before="120" w:line="276" w:lineRule="auto"/>
        <w:ind w:left="992" w:hanging="357"/>
        <w:jc w:val="both"/>
        <w:rPr>
          <w:b/>
          <w:bCs/>
        </w:rPr>
      </w:pPr>
      <w:r w:rsidRPr="006C078A">
        <w:rPr>
          <w:b/>
        </w:rPr>
        <w:t>Държавно обществено осигуряване</w:t>
      </w:r>
    </w:p>
    <w:p w:rsidR="004B55BB" w:rsidRDefault="004B55BB" w:rsidP="004B55BB">
      <w:pPr>
        <w:ind w:firstLine="567"/>
        <w:jc w:val="both"/>
        <w:rPr>
          <w:rFonts w:eastAsiaTheme="minorHAnsi"/>
          <w:color w:val="0070C0"/>
        </w:rPr>
      </w:pPr>
      <w:r>
        <w:t xml:space="preserve">Общата сума на </w:t>
      </w:r>
      <w:r>
        <w:rPr>
          <w:b/>
        </w:rPr>
        <w:t>приходите, помощите и даренията</w:t>
      </w:r>
      <w:r>
        <w:t xml:space="preserve"> по бюджета на Държавното обществено осигуряване (ДОО) към 3</w:t>
      </w:r>
      <w:r>
        <w:rPr>
          <w:lang w:val="en-US"/>
        </w:rPr>
        <w:t>1</w:t>
      </w:r>
      <w:r>
        <w:t>.</w:t>
      </w:r>
      <w:r>
        <w:rPr>
          <w:lang w:val="en-US"/>
        </w:rPr>
        <w:t>12</w:t>
      </w:r>
      <w:r>
        <w:t>.202</w:t>
      </w:r>
      <w:r>
        <w:rPr>
          <w:lang w:val="ru-RU"/>
        </w:rPr>
        <w:t>4</w:t>
      </w:r>
      <w:r>
        <w:t xml:space="preserve"> г. възлиза на </w:t>
      </w:r>
      <w:r>
        <w:rPr>
          <w:lang w:val="en-US"/>
        </w:rPr>
        <w:t>13 101</w:t>
      </w:r>
      <w:r>
        <w:t>,</w:t>
      </w:r>
      <w:r>
        <w:rPr>
          <w:lang w:val="en-US"/>
        </w:rPr>
        <w:t>6</w:t>
      </w:r>
      <w:r>
        <w:t xml:space="preserve"> млн. лв. Съпоставени с изпълнението през 2023 г., приходите по бюджета на ДОО нарастват с</w:t>
      </w:r>
      <w:r>
        <w:rPr>
          <w:lang w:val="ru-RU"/>
        </w:rPr>
        <w:t xml:space="preserve"> 1 711</w:t>
      </w:r>
      <w:r>
        <w:t>,8 млн. лв. (15,0 %). Постъпилите средства представляват 101,7 % спрямо разчетените в Закона за бюджета на Държавното обществено осигуряване за 2024 г. (ЗБДОО за  2024 г.). Най-голям е делът на приходите от осигурителни вноски (98,4 % от общите приходи), които за отчетния период са в размер на 12 885,6 млн. лв. Приходите от осигурителни вноски към 31.12.2024 г. са 101,2 % от разчетите към ЗБДОО за 2024 г., а спрямо предходната година нарастват с 15,0</w:t>
      </w:r>
      <w:r>
        <w:rPr>
          <w:lang w:val="en-US"/>
        </w:rPr>
        <w:t> </w:t>
      </w:r>
      <w:r>
        <w:t>%.</w:t>
      </w:r>
    </w:p>
    <w:p w:rsidR="004B55BB" w:rsidRDefault="004B55BB" w:rsidP="004B55BB">
      <w:pPr>
        <w:ind w:firstLine="567"/>
        <w:jc w:val="both"/>
        <w:rPr>
          <w:bCs/>
        </w:rPr>
      </w:pPr>
      <w:r>
        <w:rPr>
          <w:bCs/>
        </w:rPr>
        <w:t>Отчетените неданъчни приходи през 2024 г. по бюджета на ДОО възлизат на 216,0 млн. лв., в т.ч. 194,3 млн. лв. постъпили средства по чл. 4б, чл. 4в и чл. 69б от Кодекса за социално осигуряване (КСО)</w:t>
      </w:r>
      <w:r>
        <w:t>.</w:t>
      </w:r>
      <w:r>
        <w:rPr>
          <w:bCs/>
        </w:rPr>
        <w:t xml:space="preserve"> </w:t>
      </w:r>
    </w:p>
    <w:p w:rsidR="004B55BB" w:rsidRDefault="004B55BB" w:rsidP="004B55BB">
      <w:pPr>
        <w:ind w:firstLine="567"/>
        <w:jc w:val="both"/>
        <w:rPr>
          <w:bCs/>
        </w:rPr>
      </w:pPr>
      <w:r>
        <w:rPr>
          <w:bCs/>
        </w:rPr>
        <w:t>Получените трансфери от централния бюджет (вкл. за поети осигурителни вноски) за периода са 11 531,0 млн. лв.</w:t>
      </w:r>
    </w:p>
    <w:p w:rsidR="004B55BB" w:rsidRDefault="004B55BB" w:rsidP="004B55BB">
      <w:pPr>
        <w:tabs>
          <w:tab w:val="num" w:pos="1499"/>
          <w:tab w:val="num" w:pos="2148"/>
        </w:tabs>
        <w:ind w:firstLine="567"/>
        <w:jc w:val="both"/>
        <w:rPr>
          <w:bCs/>
        </w:rPr>
      </w:pPr>
      <w:r>
        <w:rPr>
          <w:bCs/>
        </w:rPr>
        <w:t xml:space="preserve">Размерът на извършените </w:t>
      </w:r>
      <w:r>
        <w:rPr>
          <w:b/>
          <w:bCs/>
        </w:rPr>
        <w:t xml:space="preserve">разходи </w:t>
      </w:r>
      <w:r>
        <w:rPr>
          <w:bCs/>
        </w:rPr>
        <w:t>през 2024 г. по бюджета на ДОО е 24 615,0 млн. лв. Спрямо предходната година, общо разходите по бюджета на ДОО са с 3 005,5 млн. лв. (13,9 %) повече. Изразходваните средства представляват 101,1 % спрямо разчетен</w:t>
      </w:r>
      <w:r w:rsidR="004721DE">
        <w:rPr>
          <w:bCs/>
        </w:rPr>
        <w:t xml:space="preserve">ите със ЗБДОО 2024 г. разходи. </w:t>
      </w:r>
      <w:r>
        <w:rPr>
          <w:bCs/>
        </w:rPr>
        <w:t xml:space="preserve">От структурна гледна точка най-голям относителен дял в общите разходи заемат разходите за пенсии, обезщетения и помощи, изплащани на основание КСО – общо 24 421,9 млн. лв. или 99,2 % от общия размер на разходите за отчетния период. </w:t>
      </w:r>
    </w:p>
    <w:p w:rsidR="004B55BB" w:rsidRDefault="004B55BB" w:rsidP="004B55BB">
      <w:pPr>
        <w:tabs>
          <w:tab w:val="num" w:pos="1499"/>
          <w:tab w:val="num" w:pos="2148"/>
        </w:tabs>
        <w:ind w:firstLine="567"/>
        <w:jc w:val="both"/>
        <w:rPr>
          <w:bCs/>
          <w:lang w:val="ru-RU"/>
        </w:rPr>
      </w:pPr>
      <w:r>
        <w:rPr>
          <w:bCs/>
        </w:rPr>
        <w:t xml:space="preserve">Отчетените разходи за </w:t>
      </w:r>
      <w:r>
        <w:rPr>
          <w:b/>
          <w:bCs/>
        </w:rPr>
        <w:t>пенсии</w:t>
      </w:r>
      <w:r>
        <w:rPr>
          <w:bCs/>
        </w:rPr>
        <w:t xml:space="preserve"> по бюджета на ДОО към 3</w:t>
      </w:r>
      <w:r>
        <w:rPr>
          <w:bCs/>
          <w:lang w:val="en-US"/>
        </w:rPr>
        <w:t>1</w:t>
      </w:r>
      <w:r>
        <w:rPr>
          <w:bCs/>
        </w:rPr>
        <w:t>.</w:t>
      </w:r>
      <w:r>
        <w:rPr>
          <w:bCs/>
          <w:lang w:val="en-US"/>
        </w:rPr>
        <w:t>12</w:t>
      </w:r>
      <w:r>
        <w:rPr>
          <w:bCs/>
        </w:rPr>
        <w:t xml:space="preserve">.2024 г. възлизат на </w:t>
      </w:r>
      <w:r>
        <w:rPr>
          <w:bCs/>
          <w:lang w:val="en-US"/>
        </w:rPr>
        <w:t>21</w:t>
      </w:r>
      <w:r>
        <w:rPr>
          <w:bCs/>
        </w:rPr>
        <w:t> </w:t>
      </w:r>
      <w:r>
        <w:rPr>
          <w:bCs/>
          <w:lang w:val="en-US"/>
        </w:rPr>
        <w:t>666</w:t>
      </w:r>
      <w:r>
        <w:rPr>
          <w:bCs/>
        </w:rPr>
        <w:t>,</w:t>
      </w:r>
      <w:r>
        <w:rPr>
          <w:bCs/>
          <w:lang w:val="en-US"/>
        </w:rPr>
        <w:t>7</w:t>
      </w:r>
      <w:r>
        <w:rPr>
          <w:bCs/>
        </w:rPr>
        <w:t xml:space="preserve"> млн. лв., което е с </w:t>
      </w:r>
      <w:r>
        <w:rPr>
          <w:bCs/>
          <w:lang w:val="en-US"/>
        </w:rPr>
        <w:t>2</w:t>
      </w:r>
      <w:r>
        <w:rPr>
          <w:bCs/>
        </w:rPr>
        <w:t> </w:t>
      </w:r>
      <w:r>
        <w:rPr>
          <w:bCs/>
          <w:lang w:val="en-US"/>
        </w:rPr>
        <w:t>545</w:t>
      </w:r>
      <w:r>
        <w:rPr>
          <w:bCs/>
        </w:rPr>
        <w:t>,</w:t>
      </w:r>
      <w:r>
        <w:rPr>
          <w:bCs/>
          <w:lang w:val="en-US"/>
        </w:rPr>
        <w:t>6</w:t>
      </w:r>
      <w:r>
        <w:rPr>
          <w:bCs/>
        </w:rPr>
        <w:t xml:space="preserve"> млн. лв. повече от изплатените средства през 2023 г. и представляват 100,3 % спрямо разчета за годината. Основната причина за това е изплащането през първото полугодие на 2024 г. на осъвременените пенсии с 12 % от 1 юли 2023 г., увеличението на минималната пенсия и осъвременяването на пенсиите от 1 юли 2024 г. с 11 на сто и допълнителните плащания през м. април и декември 2024 г. към пенсиите, които са под линията на бедността. </w:t>
      </w:r>
    </w:p>
    <w:p w:rsidR="004B55BB" w:rsidRDefault="004B55BB" w:rsidP="004B55BB">
      <w:pPr>
        <w:tabs>
          <w:tab w:val="num" w:pos="1499"/>
          <w:tab w:val="num" w:pos="2148"/>
        </w:tabs>
        <w:ind w:firstLine="567"/>
        <w:jc w:val="both"/>
      </w:pPr>
      <w:r>
        <w:t xml:space="preserve">Отчетените разходи за </w:t>
      </w:r>
      <w:r>
        <w:rPr>
          <w:b/>
        </w:rPr>
        <w:t>краткосрочни обезщетения и помощи по КСО</w:t>
      </w:r>
      <w:r>
        <w:t xml:space="preserve"> са в размер на 2 755,2 млн. лева. Спрямо предходната година изплатените обезщетения по КСО са с 430,6 млн. лв. (18,5 %) повече. Спрямо разчета в ЗБДОО за 2024 г. изпълнението е 108,2 %.</w:t>
      </w:r>
    </w:p>
    <w:p w:rsidR="004B55BB" w:rsidRDefault="004B55BB" w:rsidP="004B55BB">
      <w:pPr>
        <w:numPr>
          <w:ilvl w:val="1"/>
          <w:numId w:val="35"/>
        </w:numPr>
        <w:tabs>
          <w:tab w:val="num" w:pos="709"/>
          <w:tab w:val="left" w:pos="851"/>
          <w:tab w:val="left" w:pos="1134"/>
        </w:tabs>
        <w:spacing w:before="120" w:line="276" w:lineRule="auto"/>
        <w:ind w:left="709" w:hanging="357"/>
        <w:jc w:val="both"/>
        <w:rPr>
          <w:b/>
          <w:bCs/>
          <w:color w:val="0070C0"/>
        </w:rPr>
      </w:pPr>
      <w:r>
        <w:rPr>
          <w:b/>
          <w:bCs/>
        </w:rPr>
        <w:t>Национална здравноосигурителна каса</w:t>
      </w:r>
    </w:p>
    <w:p w:rsidR="004B55BB" w:rsidRDefault="004B55BB" w:rsidP="004B55BB">
      <w:pPr>
        <w:ind w:firstLine="567"/>
        <w:jc w:val="both"/>
        <w:rPr>
          <w:color w:val="0070C0"/>
        </w:rPr>
      </w:pPr>
      <w:r>
        <w:t xml:space="preserve">Общият размер на събраните </w:t>
      </w:r>
      <w:r>
        <w:rPr>
          <w:b/>
        </w:rPr>
        <w:t>приходи, помощи и дарения</w:t>
      </w:r>
      <w:r>
        <w:t xml:space="preserve"> по бюджета на НЗОК през 2024</w:t>
      </w:r>
      <w:r w:rsidR="00014057">
        <w:t> </w:t>
      </w:r>
      <w:r>
        <w:t>г. възлиза на 5 039,3 млн. лв., което е с 692,0 млн. лв.  (15,9 %) повече в сравнение с предходната година. Постъпилите средства представляват 102,6 % от предвидените в Закона за бюджета на Националната здравноосигурителна каса за 2024 г. (ЗБНЗОК за 2024 г.) приходи. Постъпленията от здравноосигурителни вноски са в размер на 5</w:t>
      </w:r>
      <w:r>
        <w:rPr>
          <w:lang w:val="en-US"/>
        </w:rPr>
        <w:t> </w:t>
      </w:r>
      <w:r>
        <w:t xml:space="preserve">007,9 млн. лв., което е 102,6 % от предвидените в ЗБНЗОК за 2024 г. и с 691,7 млн. лв. повече от постъпленията през 2023 г. </w:t>
      </w:r>
      <w:r>
        <w:lastRenderedPageBreak/>
        <w:t xml:space="preserve">Събраните неданъчни приходи за 2024 г. са 31,4 млн. лв., като основната част от тях са приходи от глоби, санкции и наказателни лихви. </w:t>
      </w:r>
    </w:p>
    <w:p w:rsidR="004B55BB" w:rsidRDefault="004B55BB" w:rsidP="004B55BB">
      <w:pPr>
        <w:ind w:firstLine="567"/>
        <w:jc w:val="both"/>
        <w:rPr>
          <w:lang w:val="ru-RU"/>
        </w:rPr>
      </w:pPr>
      <w:r>
        <w:t>Полученият трансфер от МЗ за</w:t>
      </w:r>
      <w:r>
        <w:rPr>
          <w:szCs w:val="20"/>
        </w:rPr>
        <w:t xml:space="preserve"> финансиране на разходите </w:t>
      </w:r>
      <w:r>
        <w:t xml:space="preserve">за лекарствени продукти – ваксини и дейности по прилагането им по чл. 82, ал. 2, т. 3 от Закона за здравето; за дейности за здравно неосигурени лица, включващи: интензивно лечение; комплексно диспансерно (амбулаторно) наблюдение при пациенти с кожно-венерически и психиатрични заболявания; </w:t>
      </w:r>
      <w:r>
        <w:rPr>
          <w:szCs w:val="20"/>
        </w:rPr>
        <w:t>дейности по чл. 82, ал. 1, т. 2 от ЗЗ, за сумите по чл. 37, ал. 6 от Закона за здравното осигуряване (ЗЗО) и за медицински изделия, помощни средства, приспособления и съоръжения за хората с увреждания извън обхвата на задължителното здравно осигуряване</w:t>
      </w:r>
      <w:r>
        <w:t xml:space="preserve"> </w:t>
      </w:r>
      <w:r>
        <w:rPr>
          <w:szCs w:val="20"/>
        </w:rPr>
        <w:t xml:space="preserve">за отчетния период e в размер на </w:t>
      </w:r>
      <w:r>
        <w:rPr>
          <w:szCs w:val="20"/>
          <w:lang w:val="en-US"/>
        </w:rPr>
        <w:t>214</w:t>
      </w:r>
      <w:r>
        <w:rPr>
          <w:szCs w:val="20"/>
        </w:rPr>
        <w:t>,</w:t>
      </w:r>
      <w:r>
        <w:rPr>
          <w:szCs w:val="20"/>
          <w:lang w:val="en-US"/>
        </w:rPr>
        <w:t>9</w:t>
      </w:r>
      <w:r>
        <w:t xml:space="preserve"> млн. лева.</w:t>
      </w:r>
    </w:p>
    <w:p w:rsidR="004B55BB" w:rsidRDefault="004B55BB" w:rsidP="004B55BB">
      <w:pPr>
        <w:ind w:firstLine="567"/>
        <w:jc w:val="both"/>
        <w:rPr>
          <w:color w:val="0070C0"/>
        </w:rPr>
      </w:pPr>
      <w:r>
        <w:t xml:space="preserve">Получените трансфери от централния бюджет (вкл. за поети осигурителни вноски) за периода са </w:t>
      </w:r>
      <w:r>
        <w:rPr>
          <w:lang w:val="en-US"/>
        </w:rPr>
        <w:t>3 092</w:t>
      </w:r>
      <w:r>
        <w:t>,</w:t>
      </w:r>
      <w:r>
        <w:rPr>
          <w:lang w:val="en-US"/>
        </w:rPr>
        <w:t>0</w:t>
      </w:r>
      <w:r>
        <w:t xml:space="preserve"> млн. лв.</w:t>
      </w:r>
      <w:r>
        <w:rPr>
          <w:color w:val="000000"/>
        </w:rPr>
        <w:t xml:space="preserve"> В сумата са включени и предоставените допълнително трансфери от 7,3 млн. лв. в изпълнение на ПМС № 137/2024 г. за преодоляване на диспропорции във възнагражденията на персонала в бюджетните организации и 6,0 млн. лв. в изпълнение на ПМС 408/2024 г.</w:t>
      </w:r>
      <w:r>
        <w:t xml:space="preserve"> </w:t>
      </w:r>
      <w:r>
        <w:rPr>
          <w:color w:val="000000"/>
        </w:rPr>
        <w:t>за здравноосигурителни вноски за лицата със статут на временна закрила.</w:t>
      </w:r>
    </w:p>
    <w:p w:rsidR="004B55BB" w:rsidRDefault="004B55BB" w:rsidP="004B55BB">
      <w:pPr>
        <w:ind w:firstLine="567"/>
        <w:jc w:val="both"/>
        <w:rPr>
          <w:color w:val="0070C0"/>
        </w:rPr>
      </w:pPr>
      <w:r>
        <w:t xml:space="preserve">Отчетените </w:t>
      </w:r>
      <w:r>
        <w:rPr>
          <w:b/>
        </w:rPr>
        <w:t>разходи</w:t>
      </w:r>
      <w:r>
        <w:t xml:space="preserve"> към 3</w:t>
      </w:r>
      <w:r>
        <w:rPr>
          <w:lang w:val="en-US"/>
        </w:rPr>
        <w:t>1</w:t>
      </w:r>
      <w:r>
        <w:t>.</w:t>
      </w:r>
      <w:r>
        <w:rPr>
          <w:lang w:val="en-US"/>
        </w:rPr>
        <w:t>12</w:t>
      </w:r>
      <w:r>
        <w:t xml:space="preserve">.2024 г. са в размер на </w:t>
      </w:r>
      <w:r>
        <w:rPr>
          <w:lang w:val="en-US"/>
        </w:rPr>
        <w:t>8</w:t>
      </w:r>
      <w:r>
        <w:t> </w:t>
      </w:r>
      <w:r>
        <w:rPr>
          <w:lang w:val="en-US"/>
        </w:rPr>
        <w:t>149</w:t>
      </w:r>
      <w:r>
        <w:t>,</w:t>
      </w:r>
      <w:r>
        <w:rPr>
          <w:lang w:val="en-US"/>
        </w:rPr>
        <w:t>1</w:t>
      </w:r>
      <w:r>
        <w:t xml:space="preserve"> млн. лв. и нарастват с 1 267,5</w:t>
      </w:r>
      <w:r>
        <w:rPr>
          <w:lang w:val="en-US"/>
        </w:rPr>
        <w:t> </w:t>
      </w:r>
      <w:r>
        <w:t>млн. лв. (18,4 %) спрямо предходната година. Спрямо годишните разчети извършените разходи представляват 99,8 %.</w:t>
      </w:r>
    </w:p>
    <w:p w:rsidR="004B55BB" w:rsidRDefault="004B55BB" w:rsidP="004B55BB">
      <w:pPr>
        <w:ind w:firstLine="567"/>
        <w:jc w:val="both"/>
        <w:rPr>
          <w:color w:val="0070C0"/>
        </w:rPr>
      </w:pPr>
      <w:r>
        <w:t>Най-голям относителен дял в общите разходи (96,1 %) заемат здравноосигурителните плащания, които възлизат на 7 829,8 млн. лева. В отделните направления на здравноосигурителни плащания изпълнението на бюджета през 2024 г. е следното</w:t>
      </w:r>
      <w:r>
        <w:rPr>
          <w:color w:val="0070C0"/>
        </w:rPr>
        <w:t>:</w:t>
      </w:r>
    </w:p>
    <w:p w:rsidR="004B55BB" w:rsidRDefault="004B55BB" w:rsidP="004B55BB">
      <w:pPr>
        <w:numPr>
          <w:ilvl w:val="0"/>
          <w:numId w:val="43"/>
        </w:numPr>
        <w:tabs>
          <w:tab w:val="num" w:pos="0"/>
          <w:tab w:val="left" w:pos="720"/>
          <w:tab w:val="left" w:pos="1134"/>
        </w:tabs>
        <w:spacing w:before="120" w:line="276" w:lineRule="auto"/>
        <w:ind w:hanging="6169"/>
        <w:jc w:val="both"/>
        <w:rPr>
          <w:bCs/>
        </w:rPr>
      </w:pPr>
      <w:r>
        <w:rPr>
          <w:b/>
          <w:i/>
        </w:rPr>
        <w:t>първична извънболнична медицинска помощ</w:t>
      </w:r>
      <w:r>
        <w:rPr>
          <w:i/>
        </w:rPr>
        <w:t xml:space="preserve"> –</w:t>
      </w:r>
      <w:r>
        <w:t xml:space="preserve"> 560,3 млн. лева;</w:t>
      </w:r>
      <w:r>
        <w:rPr>
          <w:bCs/>
        </w:rPr>
        <w:t xml:space="preserve"> </w:t>
      </w:r>
    </w:p>
    <w:p w:rsidR="004B55BB" w:rsidRDefault="004B55BB" w:rsidP="004B55BB">
      <w:pPr>
        <w:numPr>
          <w:ilvl w:val="0"/>
          <w:numId w:val="43"/>
        </w:numPr>
        <w:tabs>
          <w:tab w:val="num" w:pos="0"/>
          <w:tab w:val="left" w:pos="720"/>
          <w:tab w:val="left" w:pos="1134"/>
        </w:tabs>
        <w:spacing w:line="276" w:lineRule="auto"/>
        <w:ind w:hanging="6169"/>
        <w:jc w:val="both"/>
        <w:rPr>
          <w:i/>
          <w:color w:val="0070C0"/>
        </w:rPr>
      </w:pPr>
      <w:r>
        <w:rPr>
          <w:b/>
          <w:i/>
        </w:rPr>
        <w:t xml:space="preserve">специализирана извънболнична медицинска помощ </w:t>
      </w:r>
      <w:r>
        <w:t xml:space="preserve"> – 571,1 млн. лева;</w:t>
      </w:r>
    </w:p>
    <w:p w:rsidR="004B55BB" w:rsidRDefault="004B55BB" w:rsidP="004B55BB">
      <w:pPr>
        <w:numPr>
          <w:ilvl w:val="0"/>
          <w:numId w:val="43"/>
        </w:numPr>
        <w:tabs>
          <w:tab w:val="num" w:pos="0"/>
          <w:tab w:val="left" w:pos="720"/>
          <w:tab w:val="left" w:pos="1134"/>
        </w:tabs>
        <w:spacing w:line="276" w:lineRule="auto"/>
        <w:ind w:hanging="6169"/>
        <w:jc w:val="both"/>
        <w:rPr>
          <w:b/>
        </w:rPr>
      </w:pPr>
      <w:r>
        <w:rPr>
          <w:b/>
          <w:i/>
        </w:rPr>
        <w:t xml:space="preserve">дентална помощ </w:t>
      </w:r>
      <w:r>
        <w:rPr>
          <w:b/>
        </w:rPr>
        <w:t xml:space="preserve">– </w:t>
      </w:r>
      <w:r>
        <w:t>372,0 млн. лева;</w:t>
      </w:r>
    </w:p>
    <w:p w:rsidR="004B55BB" w:rsidRDefault="004B55BB" w:rsidP="004B55BB">
      <w:pPr>
        <w:numPr>
          <w:ilvl w:val="0"/>
          <w:numId w:val="43"/>
        </w:numPr>
        <w:tabs>
          <w:tab w:val="num" w:pos="0"/>
          <w:tab w:val="left" w:pos="720"/>
          <w:tab w:val="left" w:pos="1134"/>
        </w:tabs>
        <w:spacing w:line="276" w:lineRule="auto"/>
        <w:ind w:hanging="6169"/>
        <w:jc w:val="both"/>
        <w:rPr>
          <w:b/>
          <w:i/>
        </w:rPr>
      </w:pPr>
      <w:r>
        <w:rPr>
          <w:b/>
          <w:i/>
        </w:rPr>
        <w:t xml:space="preserve">медико-диагностична дейност </w:t>
      </w:r>
      <w:r>
        <w:t>– 259,0 млн. лева;</w:t>
      </w:r>
      <w:r>
        <w:rPr>
          <w:b/>
          <w:i/>
        </w:rPr>
        <w:t xml:space="preserve"> </w:t>
      </w:r>
    </w:p>
    <w:p w:rsidR="004B55BB" w:rsidRDefault="004B55BB" w:rsidP="004B55BB">
      <w:pPr>
        <w:numPr>
          <w:ilvl w:val="0"/>
          <w:numId w:val="43"/>
        </w:numPr>
        <w:tabs>
          <w:tab w:val="num" w:pos="0"/>
          <w:tab w:val="left" w:pos="1134"/>
        </w:tabs>
        <w:spacing w:line="276" w:lineRule="auto"/>
        <w:ind w:left="1134" w:hanging="425"/>
        <w:jc w:val="both"/>
      </w:pPr>
      <w:r>
        <w:rPr>
          <w:b/>
          <w:i/>
        </w:rPr>
        <w:t xml:space="preserve">лекарствени продукти, медицински изделия и диетични храни за домашно лечение на територията на страната  - </w:t>
      </w:r>
      <w:r>
        <w:t>1 183,8 млн. лв.</w:t>
      </w:r>
    </w:p>
    <w:p w:rsidR="004B55BB" w:rsidRDefault="004B55BB" w:rsidP="004B55BB">
      <w:pPr>
        <w:numPr>
          <w:ilvl w:val="0"/>
          <w:numId w:val="43"/>
        </w:numPr>
        <w:tabs>
          <w:tab w:val="num" w:pos="0"/>
          <w:tab w:val="left" w:pos="1134"/>
          <w:tab w:val="num" w:pos="6096"/>
        </w:tabs>
        <w:spacing w:line="276" w:lineRule="auto"/>
        <w:ind w:left="1134" w:hanging="425"/>
        <w:jc w:val="both"/>
      </w:pPr>
      <w:r>
        <w:rPr>
          <w:b/>
          <w:i/>
        </w:rPr>
        <w:t xml:space="preserve"> лекарствени продукти за лечение на злокачествени заболявания в условията на болнична медицинска помощ </w:t>
      </w:r>
      <w:r>
        <w:t xml:space="preserve"> – 872,1 млн. лева;</w:t>
      </w:r>
    </w:p>
    <w:p w:rsidR="004B55BB" w:rsidRDefault="004B55BB" w:rsidP="004B55BB">
      <w:pPr>
        <w:numPr>
          <w:ilvl w:val="0"/>
          <w:numId w:val="43"/>
        </w:numPr>
        <w:tabs>
          <w:tab w:val="num" w:pos="0"/>
          <w:tab w:val="left" w:pos="720"/>
          <w:tab w:val="num" w:pos="1134"/>
        </w:tabs>
        <w:spacing w:line="276" w:lineRule="auto"/>
        <w:ind w:left="1134" w:hanging="425"/>
        <w:jc w:val="both"/>
      </w:pPr>
      <w:r>
        <w:rPr>
          <w:b/>
          <w:i/>
        </w:rPr>
        <w:t>медицински изделия, прилагани в болничната  помощ –</w:t>
      </w:r>
      <w:r>
        <w:t xml:space="preserve"> 175,1 млн. лева;</w:t>
      </w:r>
    </w:p>
    <w:p w:rsidR="004B55BB" w:rsidRDefault="004B55BB" w:rsidP="004B55BB">
      <w:pPr>
        <w:numPr>
          <w:ilvl w:val="0"/>
          <w:numId w:val="43"/>
        </w:numPr>
        <w:tabs>
          <w:tab w:val="num" w:pos="0"/>
          <w:tab w:val="left" w:pos="720"/>
          <w:tab w:val="left" w:pos="1134"/>
        </w:tabs>
        <w:spacing w:line="276" w:lineRule="auto"/>
        <w:ind w:hanging="6169"/>
        <w:jc w:val="both"/>
      </w:pPr>
      <w:r>
        <w:rPr>
          <w:b/>
          <w:i/>
        </w:rPr>
        <w:t>болнична медицинска помощ –</w:t>
      </w:r>
      <w:r>
        <w:t xml:space="preserve"> 3 760,5 млн. лева.</w:t>
      </w:r>
      <w:r>
        <w:tab/>
        <w:t xml:space="preserve"> </w:t>
      </w:r>
    </w:p>
    <w:p w:rsidR="004B55BB" w:rsidRDefault="004B55BB" w:rsidP="004B55BB">
      <w:pPr>
        <w:numPr>
          <w:ilvl w:val="0"/>
          <w:numId w:val="43"/>
        </w:numPr>
        <w:tabs>
          <w:tab w:val="num" w:pos="0"/>
          <w:tab w:val="left" w:pos="720"/>
          <w:tab w:val="left" w:pos="1134"/>
        </w:tabs>
        <w:spacing w:line="276" w:lineRule="auto"/>
        <w:ind w:hanging="6169"/>
        <w:jc w:val="both"/>
      </w:pPr>
      <w:r>
        <w:rPr>
          <w:b/>
          <w:i/>
        </w:rPr>
        <w:t xml:space="preserve">други здравноосигурителни плащания – </w:t>
      </w:r>
      <w:r>
        <w:t>75,9 млн. лева.</w:t>
      </w:r>
    </w:p>
    <w:p w:rsidR="004B55BB" w:rsidRDefault="004B55BB" w:rsidP="004B55BB">
      <w:pPr>
        <w:spacing w:before="120"/>
        <w:ind w:firstLine="567"/>
        <w:jc w:val="both"/>
        <w:rPr>
          <w:color w:val="0070C0"/>
        </w:rPr>
      </w:pPr>
      <w:r>
        <w:t>Като здравноосигурителни плащания следва да се третират и преведените 191,2 млн. лв. трансфери по договори за извършване на медицински услуги към бюджетни организации, в структурата на които има лечебни заведения по чл. 5 от Закона за лечебните заведения. Заедно с преведените трансфери усвоените средства за здравноосигурителни плащания възлизат на 8 021,0 млн. лв.</w:t>
      </w:r>
      <w:r>
        <w:rPr>
          <w:lang w:val="ru-RU"/>
        </w:rPr>
        <w:t xml:space="preserve"> </w:t>
      </w:r>
    </w:p>
    <w:p w:rsidR="004B55BB" w:rsidRDefault="004B55BB" w:rsidP="004B55BB">
      <w:pPr>
        <w:ind w:firstLine="567"/>
        <w:jc w:val="both"/>
        <w:rPr>
          <w:lang w:val="ru-RU"/>
        </w:rPr>
      </w:pPr>
      <w:r>
        <w:t>За периода са отчетени плащания в размер на 206,5 млн. лв. за дейности за здравнонеосигурени лица, лекарствени продукти, потребителска такса, медицински изделия за хората с увреждания и за лечение на лица до 18 годишна възраст по чл.82, ал.1а, 3 и 6 от Закона за здравето и на лица над 18 годишна възраст по чл.82, ал.1а и 6.</w:t>
      </w:r>
      <w:r>
        <w:rPr>
          <w:lang w:val="ru-RU"/>
        </w:rPr>
        <w:t xml:space="preserve"> </w:t>
      </w:r>
    </w:p>
    <w:p w:rsidR="004B55BB" w:rsidRDefault="004B55BB" w:rsidP="004B55BB">
      <w:pPr>
        <w:ind w:firstLine="567"/>
        <w:jc w:val="both"/>
        <w:rPr>
          <w:color w:val="0070C0"/>
        </w:rPr>
      </w:pPr>
      <w:r>
        <w:t>През годината са отчетени 109,4 млн. лв. за административни разходи на институцията, които включват разходите за персонал, за текуща издръжка и лихвени плащания. Усвоените средства за административни разходи заемат 1,3 на сто в структурата на общите разходи за отчетния период. Отчетените капиталови разходи за периода възлизат на 3,5 млн. лева.</w:t>
      </w:r>
    </w:p>
    <w:p w:rsidR="00656380" w:rsidRPr="006E7134" w:rsidRDefault="00656380" w:rsidP="002763DB">
      <w:pPr>
        <w:ind w:firstLine="567"/>
        <w:jc w:val="both"/>
        <w:rPr>
          <w:color w:val="0070C0"/>
        </w:rPr>
      </w:pPr>
    </w:p>
    <w:p w:rsidR="004D0FB4" w:rsidRPr="004D0FB4" w:rsidRDefault="00B6120B" w:rsidP="004D0FB4">
      <w:pPr>
        <w:pStyle w:val="Heading1"/>
        <w:numPr>
          <w:ilvl w:val="1"/>
          <w:numId w:val="8"/>
        </w:numPr>
        <w:spacing w:before="120"/>
        <w:ind w:left="788" w:right="-108" w:hanging="431"/>
        <w:jc w:val="both"/>
        <w:rPr>
          <w:sz w:val="24"/>
        </w:rPr>
      </w:pPr>
      <w:r w:rsidRPr="004D0FB4">
        <w:rPr>
          <w:sz w:val="24"/>
        </w:rPr>
        <w:t>Общински бюджети</w:t>
      </w:r>
    </w:p>
    <w:p w:rsidR="004D0FB4" w:rsidRPr="001136A5" w:rsidRDefault="004D0FB4" w:rsidP="004D0FB4">
      <w:pPr>
        <w:numPr>
          <w:ilvl w:val="0"/>
          <w:numId w:val="20"/>
        </w:numPr>
        <w:tabs>
          <w:tab w:val="left" w:pos="851"/>
        </w:tabs>
        <w:spacing w:before="120" w:line="276" w:lineRule="auto"/>
        <w:ind w:left="533" w:firstLine="34"/>
        <w:jc w:val="both"/>
        <w:rPr>
          <w:b/>
        </w:rPr>
      </w:pPr>
      <w:r w:rsidRPr="001136A5">
        <w:rPr>
          <w:b/>
        </w:rPr>
        <w:t>Приходи</w:t>
      </w:r>
    </w:p>
    <w:p w:rsidR="004D0FB4" w:rsidRPr="00F554AD" w:rsidRDefault="004D0FB4" w:rsidP="004D0FB4">
      <w:pPr>
        <w:tabs>
          <w:tab w:val="center" w:pos="4153"/>
          <w:tab w:val="right" w:pos="8306"/>
        </w:tabs>
        <w:ind w:firstLine="567"/>
        <w:jc w:val="both"/>
        <w:rPr>
          <w:bCs/>
        </w:rPr>
      </w:pPr>
      <w:r w:rsidRPr="001136A5">
        <w:t xml:space="preserve">Приходите по бюджетите на общините към 31.12.2024 г. са в размер на </w:t>
      </w:r>
      <w:r w:rsidRPr="001136A5">
        <w:rPr>
          <w:lang w:val="ru-RU"/>
        </w:rPr>
        <w:t>3</w:t>
      </w:r>
      <w:r w:rsidRPr="001136A5">
        <w:rPr>
          <w:lang w:val="en-US"/>
        </w:rPr>
        <w:t> </w:t>
      </w:r>
      <w:r w:rsidRPr="001136A5">
        <w:rPr>
          <w:lang w:val="ru-RU"/>
        </w:rPr>
        <w:t>527,7</w:t>
      </w:r>
      <w:r w:rsidRPr="001136A5">
        <w:t xml:space="preserve"> млн. лв.</w:t>
      </w:r>
      <w:r w:rsidRPr="002C3982">
        <w:rPr>
          <w:bCs/>
        </w:rPr>
        <w:t xml:space="preserve"> или 91,8 % от годишния разчет към ЗДБРБ за 2024</w:t>
      </w:r>
      <w:r w:rsidRPr="002C3982">
        <w:rPr>
          <w:bCs/>
          <w:lang w:val="en-US"/>
        </w:rPr>
        <w:t> </w:t>
      </w:r>
      <w:r>
        <w:rPr>
          <w:bCs/>
        </w:rPr>
        <w:t xml:space="preserve">г. и </w:t>
      </w:r>
      <w:r w:rsidRPr="00F554AD">
        <w:rPr>
          <w:bCs/>
        </w:rPr>
        <w:t xml:space="preserve"> ръст от 5,3 % спрямо 2023 г.</w:t>
      </w:r>
    </w:p>
    <w:p w:rsidR="004D0FB4" w:rsidRPr="00A91EF0" w:rsidRDefault="004D0FB4" w:rsidP="004D0FB4">
      <w:pPr>
        <w:tabs>
          <w:tab w:val="center" w:pos="4153"/>
          <w:tab w:val="right" w:pos="8306"/>
        </w:tabs>
        <w:ind w:firstLine="567"/>
        <w:jc w:val="both"/>
      </w:pPr>
      <w:r w:rsidRPr="0027504E">
        <w:rPr>
          <w:i/>
        </w:rPr>
        <w:lastRenderedPageBreak/>
        <w:t>Данъчните приходи</w:t>
      </w:r>
      <w:r w:rsidRPr="0027504E">
        <w:t xml:space="preserve"> по общинските бюджети са в размер на </w:t>
      </w:r>
      <w:r w:rsidRPr="0027504E">
        <w:rPr>
          <w:lang w:val="ru-RU"/>
        </w:rPr>
        <w:t>1</w:t>
      </w:r>
      <w:r w:rsidRPr="0027504E">
        <w:rPr>
          <w:lang w:val="en-US"/>
        </w:rPr>
        <w:t> </w:t>
      </w:r>
      <w:r w:rsidRPr="0027504E">
        <w:rPr>
          <w:lang w:val="ru-RU"/>
        </w:rPr>
        <w:t>557,3</w:t>
      </w:r>
      <w:r w:rsidRPr="0027504E">
        <w:t xml:space="preserve"> млн. лв. или с </w:t>
      </w:r>
      <w:r w:rsidRPr="0027504E">
        <w:rPr>
          <w:lang w:val="ru-RU"/>
        </w:rPr>
        <w:t xml:space="preserve">11,8 </w:t>
      </w:r>
      <w:r w:rsidRPr="0027504E">
        <w:t xml:space="preserve">% повече спрямо тези за 2023 г. </w:t>
      </w:r>
      <w:r w:rsidRPr="0027504E">
        <w:rPr>
          <w:i/>
        </w:rPr>
        <w:t>Неданъчните приходи и помощите</w:t>
      </w:r>
      <w:r w:rsidRPr="0027504E">
        <w:t xml:space="preserve"> към 31.12.2024 г. възлизат на </w:t>
      </w:r>
      <w:r w:rsidRPr="0027504E">
        <w:rPr>
          <w:lang w:val="ru-RU"/>
        </w:rPr>
        <w:t>1 970</w:t>
      </w:r>
      <w:r w:rsidRPr="00A91EF0">
        <w:rPr>
          <w:lang w:val="ru-RU"/>
        </w:rPr>
        <w:t>,5</w:t>
      </w:r>
      <w:r w:rsidRPr="00A91EF0">
        <w:t xml:space="preserve"> млн. лв. или с </w:t>
      </w:r>
      <w:r w:rsidRPr="00A91EF0">
        <w:rPr>
          <w:lang w:val="ru-RU"/>
        </w:rPr>
        <w:t>12,5</w:t>
      </w:r>
      <w:r w:rsidRPr="00A91EF0">
        <w:t xml:space="preserve"> млн. лв. повече спрямо предходната година. </w:t>
      </w:r>
    </w:p>
    <w:p w:rsidR="004D0FB4" w:rsidRPr="006E7134" w:rsidRDefault="004D0FB4" w:rsidP="004D0FB4">
      <w:pPr>
        <w:tabs>
          <w:tab w:val="center" w:pos="4153"/>
          <w:tab w:val="right" w:pos="8306"/>
        </w:tabs>
        <w:ind w:firstLine="567"/>
        <w:jc w:val="both"/>
        <w:rPr>
          <w:color w:val="0070C0"/>
        </w:rPr>
      </w:pPr>
      <w:r w:rsidRPr="00A91EF0">
        <w:t xml:space="preserve">От имуществени данъци в общинските бюджети към 31.12.2024 г. са постъпили 1 539,2 млн. лв., което представлява ръст от 11,7 % спрямо миналата година. С най-значителен дял в приходите от имуществени данъци е данъкът върху придобиването на имущество по дарения и възмезден начин – 41,9 %, следван от данъкът върху превозните средства – 28,8 %, данъкът върху недвижимите имоти – 27,6 % и туристическият данък – 1,7 %. Към 31.12.2024 г. по бюджетите на общините са постъпили 18,0 млн. лв. от патентен данък и данък върху таксиметров превоз на пътници. </w:t>
      </w:r>
    </w:p>
    <w:p w:rsidR="004D0FB4" w:rsidRPr="006E7134" w:rsidRDefault="004D0FB4" w:rsidP="004D0FB4">
      <w:pPr>
        <w:tabs>
          <w:tab w:val="center" w:pos="4153"/>
          <w:tab w:val="right" w:pos="8306"/>
        </w:tabs>
        <w:ind w:firstLine="567"/>
        <w:jc w:val="both"/>
        <w:rPr>
          <w:color w:val="0070C0"/>
        </w:rPr>
      </w:pPr>
      <w:r w:rsidRPr="00A91EF0">
        <w:t xml:space="preserve">Общият размер на </w:t>
      </w:r>
      <w:r w:rsidRPr="00A91EF0">
        <w:rPr>
          <w:i/>
        </w:rPr>
        <w:t>неданъчните приходи</w:t>
      </w:r>
      <w:r w:rsidRPr="00A91EF0">
        <w:t>, постъпили по местните бюджети към 31.12.2024 г., е 1 937,2</w:t>
      </w:r>
      <w:r w:rsidRPr="00A91EF0">
        <w:rPr>
          <w:lang w:val="ru-RU"/>
        </w:rPr>
        <w:t xml:space="preserve"> </w:t>
      </w:r>
      <w:r w:rsidRPr="00A91EF0">
        <w:t>млн. лв. Най-голям относителен дял в неданъчните приходи в общинските бюджети заемат приходите от общински такси (1 069,6 млн. лв.) или 55,2 %, следват приходите и доходите от собственост (410,9 млн. лв.) – 21,2 %, постъпленията от продажба на нефинансови активи (172,9 млн. лв.) – 8,9 %,</w:t>
      </w:r>
      <w:r>
        <w:rPr>
          <w:color w:val="0070C0"/>
        </w:rPr>
        <w:t xml:space="preserve"> </w:t>
      </w:r>
      <w:r w:rsidRPr="00A91EF0">
        <w:t xml:space="preserve">други неданъчни приходи </w:t>
      </w:r>
      <w:r w:rsidRPr="00A91EF0">
        <w:rPr>
          <w:lang w:val="en-US"/>
        </w:rPr>
        <w:t xml:space="preserve">(160,7 </w:t>
      </w:r>
      <w:r w:rsidRPr="00A91EF0">
        <w:t>млн. лв. – 8,3 %,  постъпленията от глоби, санкции и наказателни лихви (100,2 млн. лв.) – 5,2 % и приходите от концесии (72,8 млн. лв.) – 3,8 %.  Съпоставени с предходната 2023 г. постъплени</w:t>
      </w:r>
      <w:r>
        <w:t>ята от неданъчни приходи са с 9,8</w:t>
      </w:r>
      <w:r w:rsidRPr="00A91EF0">
        <w:t xml:space="preserve"> млн. лв. повече, като се наблюдава ръст във всички неданъчни приходи с изключение на постъпленията от продажба на нефинансови активи, при които се наблюдава спад. </w:t>
      </w:r>
    </w:p>
    <w:p w:rsidR="004D0FB4" w:rsidRPr="00A91EF0" w:rsidRDefault="004D0FB4" w:rsidP="004D0FB4">
      <w:pPr>
        <w:tabs>
          <w:tab w:val="center" w:pos="4153"/>
          <w:tab w:val="right" w:pos="8306"/>
        </w:tabs>
        <w:ind w:firstLine="567"/>
        <w:jc w:val="both"/>
      </w:pPr>
      <w:r w:rsidRPr="00A91EF0">
        <w:t xml:space="preserve">Към 31.12.2024 г. по общинските бюджети са постъпили 33,3 млн. лв. приходи от </w:t>
      </w:r>
      <w:r w:rsidRPr="00A91EF0">
        <w:rPr>
          <w:i/>
        </w:rPr>
        <w:t>помощи и дарения</w:t>
      </w:r>
      <w:r>
        <w:t>, които са с 2,7</w:t>
      </w:r>
      <w:r w:rsidRPr="00A91EF0">
        <w:t xml:space="preserve"> млн. лв. повече спрямо размера им за миналата година. </w:t>
      </w:r>
    </w:p>
    <w:p w:rsidR="004D0FB4" w:rsidRPr="006E7134" w:rsidRDefault="004D0FB4" w:rsidP="004D0FB4">
      <w:pPr>
        <w:tabs>
          <w:tab w:val="center" w:pos="4153"/>
          <w:tab w:val="right" w:pos="8306"/>
        </w:tabs>
        <w:ind w:firstLine="567"/>
        <w:jc w:val="both"/>
        <w:rPr>
          <w:color w:val="0070C0"/>
          <w:lang w:eastAsia="bg-BG"/>
        </w:rPr>
      </w:pPr>
      <w:r w:rsidRPr="006E7134">
        <w:rPr>
          <w:color w:val="0070C0"/>
          <w:lang w:eastAsia="bg-BG"/>
        </w:rPr>
        <w:t xml:space="preserve"> </w:t>
      </w:r>
    </w:p>
    <w:p w:rsidR="004D0FB4" w:rsidRPr="00582E9D" w:rsidRDefault="004D0FB4" w:rsidP="004D0FB4">
      <w:pPr>
        <w:numPr>
          <w:ilvl w:val="0"/>
          <w:numId w:val="20"/>
        </w:numPr>
        <w:tabs>
          <w:tab w:val="left" w:pos="851"/>
        </w:tabs>
        <w:spacing w:line="276" w:lineRule="auto"/>
        <w:ind w:left="533" w:firstLine="34"/>
        <w:jc w:val="both"/>
        <w:rPr>
          <w:b/>
        </w:rPr>
      </w:pPr>
      <w:r w:rsidRPr="00582E9D">
        <w:rPr>
          <w:b/>
        </w:rPr>
        <w:t>Разходи</w:t>
      </w:r>
    </w:p>
    <w:p w:rsidR="004D0FB4" w:rsidRPr="009C661C" w:rsidRDefault="004D0FB4" w:rsidP="004D0FB4">
      <w:pPr>
        <w:tabs>
          <w:tab w:val="center" w:pos="4153"/>
          <w:tab w:val="right" w:pos="8306"/>
        </w:tabs>
        <w:ind w:firstLine="567"/>
        <w:jc w:val="both"/>
      </w:pPr>
      <w:r w:rsidRPr="00582E9D">
        <w:t xml:space="preserve">Към 31.12.2024 г. общините са </w:t>
      </w:r>
      <w:r w:rsidRPr="005352C2">
        <w:t xml:space="preserve">отчели общо разходи в размер на </w:t>
      </w:r>
      <w:r w:rsidRPr="005352C2">
        <w:rPr>
          <w:lang w:val="en-US"/>
        </w:rPr>
        <w:t>14</w:t>
      </w:r>
      <w:r w:rsidRPr="005352C2">
        <w:t> </w:t>
      </w:r>
      <w:r w:rsidRPr="005352C2">
        <w:rPr>
          <w:lang w:val="en-US"/>
        </w:rPr>
        <w:t>688</w:t>
      </w:r>
      <w:r w:rsidRPr="005352C2">
        <w:t xml:space="preserve">,8 млн. лв., </w:t>
      </w:r>
      <w:r w:rsidRPr="00F554AD">
        <w:t>или 146,4</w:t>
      </w:r>
      <w:r>
        <w:t> </w:t>
      </w:r>
      <w:r w:rsidRPr="00F554AD">
        <w:t xml:space="preserve">% спрямо разчетите към ЗДБРБ за 2024 г. и ръст от 17,4 % </w:t>
      </w:r>
      <w:r w:rsidRPr="00F554AD">
        <w:rPr>
          <w:bCs/>
        </w:rPr>
        <w:t>спрямо 2023 г.</w:t>
      </w:r>
      <w:r w:rsidRPr="00F554AD">
        <w:t xml:space="preserve"> </w:t>
      </w:r>
      <w:r>
        <w:rPr>
          <w:i/>
        </w:rPr>
        <w:t>Текущите нелихвени</w:t>
      </w:r>
      <w:r w:rsidRPr="005352C2">
        <w:rPr>
          <w:i/>
        </w:rPr>
        <w:t xml:space="preserve"> разходи</w:t>
      </w:r>
      <w:r w:rsidRPr="005352C2">
        <w:t xml:space="preserve"> възлизат на </w:t>
      </w:r>
      <w:r w:rsidRPr="00AE5A8F">
        <w:rPr>
          <w:i/>
          <w:lang w:eastAsia="bg-BG"/>
        </w:rPr>
        <w:t>12 </w:t>
      </w:r>
      <w:r w:rsidRPr="00AE5A8F">
        <w:rPr>
          <w:i/>
          <w:lang w:val="en-US" w:eastAsia="bg-BG"/>
        </w:rPr>
        <w:t>220</w:t>
      </w:r>
      <w:r w:rsidRPr="00AE5A8F">
        <w:rPr>
          <w:i/>
          <w:lang w:eastAsia="bg-BG"/>
        </w:rPr>
        <w:t>,6</w:t>
      </w:r>
      <w:r w:rsidRPr="00AE5A8F">
        <w:rPr>
          <w:i/>
          <w:lang w:val="ru-RU" w:eastAsia="bg-BG"/>
        </w:rPr>
        <w:t xml:space="preserve"> </w:t>
      </w:r>
      <w:r w:rsidRPr="00AE5A8F">
        <w:rPr>
          <w:i/>
        </w:rPr>
        <w:t>млн. лв.</w:t>
      </w:r>
      <w:r w:rsidRPr="00AE5A8F">
        <w:rPr>
          <w:i/>
          <w:lang w:val="ru-RU"/>
        </w:rPr>
        <w:t xml:space="preserve"> </w:t>
      </w:r>
      <w:r w:rsidRPr="005352C2">
        <w:rPr>
          <w:lang w:val="ru-RU"/>
        </w:rPr>
        <w:t>С най-голям относителен дял са</w:t>
      </w:r>
      <w:r w:rsidRPr="005352C2">
        <w:t xml:space="preserve"> разходите за персонал (заплати, други възнаграждения и осигурителни плащания за персонала) – 8 </w:t>
      </w:r>
      <w:r w:rsidRPr="005352C2">
        <w:rPr>
          <w:lang w:val="en-US"/>
        </w:rPr>
        <w:t>117</w:t>
      </w:r>
      <w:r w:rsidRPr="005352C2">
        <w:t>,8 млн. лв. –</w:t>
      </w:r>
      <w:r>
        <w:t xml:space="preserve"> 66,4</w:t>
      </w:r>
      <w:r w:rsidRPr="005352C2">
        <w:t xml:space="preserve"> %, следват разходите за издръжка </w:t>
      </w:r>
      <w:r w:rsidRPr="005352C2">
        <w:rPr>
          <w:bCs/>
        </w:rPr>
        <w:t xml:space="preserve">(вкл. разходи за членски внос и участие в нетърговски организации и дейности, платени данъци, такси и </w:t>
      </w:r>
      <w:r w:rsidRPr="009C661C">
        <w:rPr>
          <w:bCs/>
        </w:rPr>
        <w:t>административни санкции)</w:t>
      </w:r>
      <w:r w:rsidRPr="009C661C">
        <w:rPr>
          <w:bCs/>
          <w:lang w:val="en-US"/>
        </w:rPr>
        <w:t xml:space="preserve"> </w:t>
      </w:r>
      <w:r w:rsidRPr="009C661C">
        <w:rPr>
          <w:lang w:val="en-US"/>
        </w:rPr>
        <w:t xml:space="preserve">- </w:t>
      </w:r>
      <w:r w:rsidRPr="009C661C">
        <w:t xml:space="preserve">3 040,3 млн. лв. – 24,9 %, разходите за субсидии (723,3 млн. лв.) – 5,9 % и изплатените текущи трансфери, обезщетения и помощи за домакинствата (313,5 млн. лв.) – 2,6 процента. </w:t>
      </w:r>
    </w:p>
    <w:p w:rsidR="004D0FB4" w:rsidRPr="009C661C" w:rsidRDefault="005075E1" w:rsidP="004D0FB4">
      <w:pPr>
        <w:tabs>
          <w:tab w:val="center" w:pos="4153"/>
          <w:tab w:val="right" w:pos="8306"/>
        </w:tabs>
        <w:ind w:firstLine="567"/>
        <w:jc w:val="both"/>
      </w:pPr>
      <w:r w:rsidRPr="009C661C">
        <w:rPr>
          <w:i/>
        </w:rPr>
        <w:t>Капиталовите разходи</w:t>
      </w:r>
      <w:r w:rsidRPr="009C661C">
        <w:t xml:space="preserve"> са в размер на </w:t>
      </w:r>
      <w:r w:rsidRPr="00DB03A5">
        <w:rPr>
          <w:i/>
        </w:rPr>
        <w:t>2</w:t>
      </w:r>
      <w:r w:rsidRPr="009C661C">
        <w:rPr>
          <w:i/>
        </w:rPr>
        <w:t> 413,4 млн. лв.</w:t>
      </w:r>
      <w:r w:rsidRPr="009C661C">
        <w:t xml:space="preserve"> и в сравнение с</w:t>
      </w:r>
      <w:r>
        <w:rPr>
          <w:lang w:val="en-US"/>
        </w:rPr>
        <w:t xml:space="preserve"> </w:t>
      </w:r>
      <w:r w:rsidRPr="009C661C">
        <w:t>2023 г. са се увеличили с 534,9 млн. лв.</w:t>
      </w:r>
      <w:r>
        <w:t xml:space="preserve"> (ръст от </w:t>
      </w:r>
      <w:r w:rsidR="002F6B2A">
        <w:t>28,5</w:t>
      </w:r>
      <w:r>
        <w:t xml:space="preserve"> на сто).</w:t>
      </w:r>
      <w:r w:rsidR="004D0FB4" w:rsidRPr="009C661C">
        <w:t xml:space="preserve"> В общия размер на капиталовите разходи най-съществен дял (53,9 %) заемат разходите за основен ремонт (1 299,8 млн. лв.) и за при</w:t>
      </w:r>
      <w:r w:rsidR="007A7882">
        <w:t>добиване на ДМА (43,9 % дял, 1 059,2</w:t>
      </w:r>
      <w:r w:rsidR="004D0FB4" w:rsidRPr="009C661C">
        <w:t xml:space="preserve"> млн. лева).</w:t>
      </w:r>
    </w:p>
    <w:p w:rsidR="004D0FB4" w:rsidRPr="003D0A6C" w:rsidRDefault="004D0FB4" w:rsidP="004D0FB4">
      <w:pPr>
        <w:tabs>
          <w:tab w:val="center" w:pos="4153"/>
          <w:tab w:val="right" w:pos="8306"/>
        </w:tabs>
        <w:ind w:firstLine="567"/>
        <w:jc w:val="both"/>
      </w:pPr>
      <w:r w:rsidRPr="009C661C">
        <w:t xml:space="preserve">Общият размер на платените от общинските бюджети </w:t>
      </w:r>
      <w:r w:rsidRPr="009C661C">
        <w:rPr>
          <w:i/>
        </w:rPr>
        <w:t>лихви</w:t>
      </w:r>
      <w:r w:rsidRPr="009C661C">
        <w:t xml:space="preserve"> към 31.12.2024 г. е </w:t>
      </w:r>
      <w:r w:rsidRPr="00DB03A5">
        <w:rPr>
          <w:i/>
        </w:rPr>
        <w:t>53,4 млн. лв.</w:t>
      </w:r>
      <w:r w:rsidRPr="009C661C">
        <w:t xml:space="preserve"> Към края на  2023 г. те са били 45,9 млн. лв. или със 7,5 млн. лв. по-малко. </w:t>
      </w:r>
      <w:r w:rsidRPr="000E629A">
        <w:t xml:space="preserve">По-високият размер на платените лихви през 2024 г. се дължи на получените от общините през предходната година значителни средства под формата на дълг. Лихвените плащания по заеми от </w:t>
      </w:r>
      <w:r w:rsidRPr="000E629A">
        <w:rPr>
          <w:i/>
        </w:rPr>
        <w:t>чужбина</w:t>
      </w:r>
      <w:r w:rsidRPr="000E629A">
        <w:t xml:space="preserve"> към края на 2024 г. са в размер на 19,1 млн. лв. (с 2,2 млн. лв. повече в сравнение със същия период на миналата година). По облигационни заеми платените лихви от общините са 1,6 млн. лв. или с 0,1 млн. лв. повече спрямо същия период на предходната година. По заеми към местни лица от страната (заеми от банки, заеми от „ФЛАГ“ ЕАД и др. местни лица) отчетените от общините разходи за лихви са 28,7 млн. лв., като при тях е отчетено и най-голямото увеличение спрямо същия период </w:t>
      </w:r>
      <w:r w:rsidRPr="003D0A6C">
        <w:t>на 2023 г. (към 31.12.2023 г. те са били 22,7 млн. лв. или с 6,0 млн. лв. по-малко). Отчетените лихвени разходи по задължения, представляващи форми на общински дълг (лихви по финансов лизинг и търговски кредити) са в размер на 0,3 млн. лв. Платените от общините през 2024 г. законни лихви по невъзстановени от тях в срок безлихвени заеми са в размер на 1,1 млн. лв. (с 0,8</w:t>
      </w:r>
      <w:r w:rsidR="00312F98">
        <w:rPr>
          <w:lang w:val="en-US"/>
        </w:rPr>
        <w:t> </w:t>
      </w:r>
      <w:r w:rsidRPr="003D0A6C">
        <w:t>млн. лв. повече в сравнение със същия период на миналата година), което се дължи най-вече на платените лихви по предоставени на общините от централния бюджет заеми за покриване на временен недостиг на средства. Общините отчитат и други разходи за лихви към местни лица в размер на 2,6 млн. лв. (с 1,7 млн. лв. по-малко в сравнение със същия период на миналата година).</w:t>
      </w:r>
    </w:p>
    <w:p w:rsidR="004D0FB4" w:rsidRPr="003D0A6C" w:rsidRDefault="004D0FB4" w:rsidP="004D0FB4">
      <w:pPr>
        <w:tabs>
          <w:tab w:val="center" w:pos="4153"/>
          <w:tab w:val="right" w:pos="8306"/>
        </w:tabs>
        <w:ind w:firstLine="567"/>
        <w:jc w:val="both"/>
      </w:pPr>
      <w:r w:rsidRPr="003D0A6C">
        <w:lastRenderedPageBreak/>
        <w:t>Общият размер на отчетените разходи за дофинансиране на делегираните от държавата дейности с местни приходи е 306,3 млн. лв., от които 256,5 млн. лв. текущи разходи и 49,8 млн. лв. капиталови разходи.</w:t>
      </w:r>
    </w:p>
    <w:p w:rsidR="004D0FB4" w:rsidRPr="003D0A6C" w:rsidRDefault="004D0FB4" w:rsidP="004D0FB4">
      <w:pPr>
        <w:tabs>
          <w:tab w:val="center" w:pos="4153"/>
          <w:tab w:val="right" w:pos="8306"/>
        </w:tabs>
        <w:jc w:val="both"/>
        <w:rPr>
          <w:rFonts w:eastAsia="Calibri"/>
          <w:sz w:val="8"/>
        </w:rPr>
      </w:pPr>
      <w:r w:rsidRPr="003D0A6C">
        <w:t xml:space="preserve"> </w:t>
      </w:r>
      <w:r w:rsidRPr="003D0A6C">
        <w:rPr>
          <w:lang w:eastAsia="bg-BG"/>
        </w:rPr>
        <w:tab/>
      </w:r>
    </w:p>
    <w:p w:rsidR="004D0FB4" w:rsidRPr="003D0A6C" w:rsidRDefault="004D0FB4" w:rsidP="004D0FB4">
      <w:pPr>
        <w:numPr>
          <w:ilvl w:val="0"/>
          <w:numId w:val="20"/>
        </w:numPr>
        <w:tabs>
          <w:tab w:val="left" w:pos="851"/>
        </w:tabs>
        <w:spacing w:before="120" w:line="276" w:lineRule="auto"/>
        <w:ind w:left="533" w:firstLine="34"/>
        <w:jc w:val="both"/>
        <w:rPr>
          <w:b/>
        </w:rPr>
      </w:pPr>
      <w:r w:rsidRPr="003D0A6C">
        <w:rPr>
          <w:b/>
        </w:rPr>
        <w:t>Финансиране</w:t>
      </w:r>
    </w:p>
    <w:p w:rsidR="004D0FB4" w:rsidRPr="003D0A6C" w:rsidRDefault="004D0FB4" w:rsidP="004D0FB4">
      <w:pPr>
        <w:pStyle w:val="BodyText"/>
        <w:widowControl w:val="0"/>
        <w:ind w:firstLine="567"/>
      </w:pPr>
      <w:r w:rsidRPr="003D0A6C">
        <w:t>Към 31.12.202</w:t>
      </w:r>
      <w:r w:rsidRPr="003D0A6C">
        <w:rPr>
          <w:lang w:val="ru-RU"/>
        </w:rPr>
        <w:t>4</w:t>
      </w:r>
      <w:r w:rsidRPr="003D0A6C">
        <w:t xml:space="preserve"> г. по общинските бюджети са получени заемни средства, в размер на 148,6</w:t>
      </w:r>
      <w:r w:rsidR="00312F98">
        <w:rPr>
          <w:lang w:val="en-US"/>
        </w:rPr>
        <w:t> </w:t>
      </w:r>
      <w:r w:rsidRPr="003D0A6C">
        <w:t>млн. лв., които са по договори с чуждестранни кредитори. Основно средствата са отчетени от Столична община (140,8 млн. лв.) и са за финансиране на проекти за изграждане и реконструкция на основни пътни артерии в град София; за осигуряване на транспортна свързаност и достъпна среда, както и за разширяване на метрото. Средствата, в размер на 7,8 млн. лв., са отчетени от община Бургас и са предназначени за финансиране на проект по изграждане на Многопрофилна болница за активно лечение на детски болести – Бургас.</w:t>
      </w:r>
    </w:p>
    <w:p w:rsidR="004D0FB4" w:rsidRPr="003D0A6C" w:rsidRDefault="004D0FB4" w:rsidP="004D0FB4">
      <w:pPr>
        <w:pStyle w:val="BodyText"/>
        <w:widowControl w:val="0"/>
        <w:ind w:firstLine="567"/>
        <w:rPr>
          <w:lang w:val="ru-RU"/>
        </w:rPr>
      </w:pPr>
      <w:r w:rsidRPr="003D0A6C">
        <w:t>Изплатените главници от общинските бюджети по външните заеми от началото на годината до 31.12.2024 г. са в размер на 44,0 млн. лв. (от Столична община са 34,9 млн. лв., от Варна – 3,7</w:t>
      </w:r>
      <w:r w:rsidR="00917E27">
        <w:rPr>
          <w:lang w:val="en-US"/>
        </w:rPr>
        <w:t> </w:t>
      </w:r>
      <w:r w:rsidRPr="003D0A6C">
        <w:t xml:space="preserve">млн. лв.; от Пловдив – 3,1 млн. лв., от Бургас – 2,0 млн. лв., а от община Ловеч са 0,3 млн. лв.). </w:t>
      </w:r>
    </w:p>
    <w:p w:rsidR="004D0FB4" w:rsidRPr="003D0A6C" w:rsidRDefault="004D0FB4" w:rsidP="004D0FB4">
      <w:pPr>
        <w:pStyle w:val="BodyText"/>
      </w:pPr>
      <w:r w:rsidRPr="003D0A6C">
        <w:t>За 2024 г. получените заемни средства от банки в страната, отчетени по общинските бюджети, са в размер на 103,7 млн. лв., а от други местни лица са 71,1 млн. лв. (в т.ч. 67,2 млн. лв. от „ФЛАГ“ ЕАД) или общо получените заемни средства от лица в страната са 174,8 млн. лв. Отчетените от общините изплатени главници по банкови заеми от страната са 109,7 млн. лв. Погасените главници  по заеми от др. лица от страната са 152,7 млн. лв., в т.ч. 139,4 млн. лв. към „ФЛАГ“ ЕАД, а останалите са по заеми към Фонд „Енергийна ефективност и възобновяеми източници“ и към други кредитори по договори за заеми по финансов инструмент, управляван от „Фонд Мениджър на финансови инструменти в България“ ЕАД. Погашенията за периода по заемите от страната е по-голям от получените заемни средства, поради което нетният размер на операциите по тези заеми е отрицателен ( - 87,6) млн. лв. През 2023 г. получените заемни средства от банки и от др. местни лица в страната (536,0 млн. лв.) са били значително п</w:t>
      </w:r>
      <w:r>
        <w:t>овече в сравнение с 2024 г., к</w:t>
      </w:r>
      <w:r w:rsidR="007A7882">
        <w:t>ое</w:t>
      </w:r>
      <w:r w:rsidRPr="003D0A6C">
        <w:t>то при отчетни 179,4 млн. лв. погашения е довело до отчитане на положителен нетен размер по тези заеми в края на 2023 г. (356,6 млн. лв.)</w:t>
      </w:r>
    </w:p>
    <w:p w:rsidR="004D0FB4" w:rsidRPr="003D0A6C" w:rsidRDefault="004D0FB4" w:rsidP="004D0FB4">
      <w:pPr>
        <w:pStyle w:val="BodyText"/>
        <w:ind w:firstLine="567"/>
      </w:pPr>
      <w:r w:rsidRPr="003D0A6C">
        <w:t xml:space="preserve">Погашенията през 2024 г. по емитирани през предходни периоди общински ценни книжа са отчетени в размер на 6,2 млн. лв. от 6 общини. За отчетния период няма емитиран нов общински дълг. </w:t>
      </w:r>
    </w:p>
    <w:p w:rsidR="004D0FB4" w:rsidRPr="003D0A6C" w:rsidRDefault="004D0FB4" w:rsidP="004D0FB4">
      <w:pPr>
        <w:pStyle w:val="BodyText"/>
        <w:widowControl w:val="0"/>
        <w:ind w:firstLine="567"/>
        <w:rPr>
          <w:lang w:val="en-US"/>
        </w:rPr>
      </w:pPr>
      <w:r w:rsidRPr="003D0A6C">
        <w:t>Другото финансиране /нето/ по общинските бюджети към 31.12.2024 г. е 104,0 млн. лв., като съществена част от него представляват отчетените операции по Закона за управление на отпадъците. Нетният размер за периода на задълженията и погашенията по финансов лизинг и търговски кредити, като форми на дълг, е в размер на 6,8 млн. лв.</w:t>
      </w:r>
      <w:r w:rsidRPr="003D0A6C">
        <w:rPr>
          <w:lang w:val="en-US"/>
        </w:rPr>
        <w:t xml:space="preserve">(9,1 </w:t>
      </w:r>
      <w:r w:rsidRPr="003D0A6C">
        <w:t>млн. лв. задължения и 2,3</w:t>
      </w:r>
      <w:r w:rsidR="00917E27">
        <w:rPr>
          <w:lang w:val="en-US"/>
        </w:rPr>
        <w:t> </w:t>
      </w:r>
      <w:r w:rsidRPr="003D0A6C">
        <w:t>млн. лв. погашения</w:t>
      </w:r>
      <w:r w:rsidRPr="003D0A6C">
        <w:rPr>
          <w:lang w:val="en-US"/>
        </w:rPr>
        <w:t>).</w:t>
      </w:r>
    </w:p>
    <w:p w:rsidR="004D0FB4" w:rsidRPr="003D0A6C" w:rsidRDefault="004D0FB4" w:rsidP="004D0FB4">
      <w:pPr>
        <w:ind w:firstLine="567"/>
        <w:jc w:val="both"/>
      </w:pPr>
      <w:r w:rsidRPr="003D0A6C">
        <w:t>Нетният размер на събраните средства и извършени плащания от общините за сметка на други бюджети, сметки и фондове е отрицателен и е в размер на (-14,9) млн. лева.</w:t>
      </w:r>
    </w:p>
    <w:p w:rsidR="004D0FB4" w:rsidRPr="003D0A6C" w:rsidRDefault="004D0FB4" w:rsidP="004D0FB4">
      <w:pPr>
        <w:ind w:firstLine="567"/>
        <w:jc w:val="both"/>
      </w:pPr>
      <w:r w:rsidRPr="003D0A6C">
        <w:t xml:space="preserve">Към 31.12.2024 г. отчетеният от общините нетен размер на операциите по придобиване на дялове, акции и съучастия е в размер на (-4,6) млн. лв. </w:t>
      </w:r>
    </w:p>
    <w:p w:rsidR="004D0FB4" w:rsidRPr="003D0A6C" w:rsidRDefault="004D0FB4" w:rsidP="004D0FB4">
      <w:pPr>
        <w:ind w:firstLine="567"/>
        <w:jc w:val="both"/>
      </w:pPr>
      <w:r w:rsidRPr="003D0A6C">
        <w:t>Средства по общинските бюджети от приватизация на дялове, акции и участия за периода не са отчетени.</w:t>
      </w:r>
    </w:p>
    <w:p w:rsidR="004D0FB4" w:rsidRPr="003D0A6C" w:rsidRDefault="004D0FB4" w:rsidP="004D0FB4">
      <w:pPr>
        <w:ind w:firstLine="567"/>
        <w:jc w:val="both"/>
      </w:pPr>
      <w:r w:rsidRPr="003D0A6C">
        <w:t xml:space="preserve">Отчетените от общините предоставени средства по възмездна финансова помощ за 2024 г. са (-14,0) млн. лв., а възстановените са 12,6 млн. лв. Нетният размер на предоставените кредити е отрицателен (-20,1 млн. лв.). </w:t>
      </w:r>
    </w:p>
    <w:p w:rsidR="004D0FB4" w:rsidRPr="003D0A6C" w:rsidRDefault="004D0FB4" w:rsidP="004D0FB4">
      <w:pPr>
        <w:ind w:firstLine="567"/>
        <w:jc w:val="both"/>
      </w:pPr>
      <w:r w:rsidRPr="003D0A6C">
        <w:t xml:space="preserve"> Общините отчитат 2 131,5 млн. лв. бюджетен преходен остатък, а наличността към края на 2024 г. (по банкови сметки и каса) е в размер на 1 922,8 млн. лв.</w:t>
      </w:r>
      <w:r>
        <w:rPr>
          <w:lang w:val="en-US"/>
        </w:rPr>
        <w:t xml:space="preserve"> </w:t>
      </w:r>
      <w:r w:rsidRPr="003D0A6C">
        <w:t>Наличността по левови текущи сметки в БНБ е 2</w:t>
      </w:r>
      <w:r>
        <w:t>39,7 млн. лв.</w:t>
      </w:r>
      <w:r w:rsidRPr="003D0A6C">
        <w:t xml:space="preserve">, а останалите средства </w:t>
      </w:r>
      <w:r w:rsidRPr="003D0A6C">
        <w:rPr>
          <w:lang w:val="en-US"/>
        </w:rPr>
        <w:t xml:space="preserve">(1 683,1 </w:t>
      </w:r>
      <w:r w:rsidRPr="003D0A6C">
        <w:t>млн. лв.</w:t>
      </w:r>
      <w:r w:rsidRPr="003D0A6C">
        <w:rPr>
          <w:lang w:val="en-US"/>
        </w:rPr>
        <w:t xml:space="preserve">) </w:t>
      </w:r>
      <w:r w:rsidRPr="003D0A6C">
        <w:t>са отчетени в търговски банки.</w:t>
      </w:r>
    </w:p>
    <w:p w:rsidR="004D0FB4" w:rsidRPr="006E7134" w:rsidRDefault="004D0FB4" w:rsidP="004D0FB4">
      <w:pPr>
        <w:pStyle w:val="BodyText"/>
        <w:widowControl w:val="0"/>
        <w:ind w:firstLine="567"/>
        <w:rPr>
          <w:color w:val="0070C0"/>
        </w:rPr>
      </w:pPr>
      <w:r w:rsidRPr="003D0A6C">
        <w:t xml:space="preserve">Наличността в делегираните от държавата дейности е 940,7 млн. лв. (48,9 % от общата наличност), а в местните дейности е 982,1 млн. лв. (51,1 %). </w:t>
      </w:r>
    </w:p>
    <w:p w:rsidR="004D0FB4" w:rsidRPr="003D0A6C" w:rsidRDefault="004D0FB4" w:rsidP="004D0FB4">
      <w:pPr>
        <w:pStyle w:val="BodyText"/>
        <w:widowControl w:val="0"/>
        <w:ind w:firstLine="567"/>
      </w:pPr>
      <w:r w:rsidRPr="003D0A6C">
        <w:t>В държавните дейности наличността е формирана най-вече от получени от общините през тази година субсидии (</w:t>
      </w:r>
      <w:r w:rsidRPr="003D0A6C">
        <w:rPr>
          <w:lang w:val="ru-RU"/>
        </w:rPr>
        <w:t>775,0</w:t>
      </w:r>
      <w:r w:rsidRPr="003D0A6C">
        <w:t xml:space="preserve"> млн. лв.).</w:t>
      </w:r>
      <w:r w:rsidRPr="003D0A6C">
        <w:rPr>
          <w:lang w:val="ru-RU"/>
        </w:rPr>
        <w:t xml:space="preserve"> </w:t>
      </w:r>
      <w:r w:rsidRPr="003D0A6C">
        <w:t>Следващата по размер наличност (100,4 млн. лв.) в тези дейности е с източник средства, получени от об</w:t>
      </w:r>
      <w:r>
        <w:t>щините</w:t>
      </w:r>
      <w:r w:rsidRPr="003D0A6C">
        <w:t xml:space="preserve"> под формата на субсидии през преходни </w:t>
      </w:r>
      <w:r w:rsidRPr="003D0A6C">
        <w:lastRenderedPageBreak/>
        <w:t>години.</w:t>
      </w:r>
    </w:p>
    <w:p w:rsidR="004D0FB4" w:rsidRPr="003D0A6C" w:rsidRDefault="004D0FB4" w:rsidP="004D0FB4">
      <w:pPr>
        <w:pStyle w:val="BodyText"/>
        <w:widowControl w:val="0"/>
        <w:ind w:firstLine="567"/>
      </w:pPr>
      <w:r w:rsidRPr="003D0A6C">
        <w:t>Най-голяма част от наличността в местните дейности (</w:t>
      </w:r>
      <w:r w:rsidRPr="003D0A6C">
        <w:rPr>
          <w:lang w:val="ru-RU"/>
        </w:rPr>
        <w:t>415</w:t>
      </w:r>
      <w:r w:rsidRPr="003D0A6C">
        <w:t>,5 млн. лв.) е формирана</w:t>
      </w:r>
      <w:r w:rsidRPr="003D0A6C">
        <w:rPr>
          <w:lang w:val="ru-RU"/>
        </w:rPr>
        <w:t xml:space="preserve"> </w:t>
      </w:r>
      <w:r w:rsidRPr="003D0A6C">
        <w:t xml:space="preserve">от средства, получени от общините през тази година под формата на приходи и дарения. Друга голяма наличност, в размер на </w:t>
      </w:r>
      <w:r w:rsidRPr="003D0A6C">
        <w:rPr>
          <w:lang w:val="ru-RU"/>
        </w:rPr>
        <w:t>338</w:t>
      </w:r>
      <w:r w:rsidRPr="003D0A6C">
        <w:t>,0 млн. лв., е от все още неизразходвани средства, получени от общините през предходни години.</w:t>
      </w:r>
    </w:p>
    <w:p w:rsidR="004D0FB4" w:rsidRPr="006E7134" w:rsidRDefault="004D0FB4" w:rsidP="004D0FB4">
      <w:pPr>
        <w:pStyle w:val="BodyText"/>
        <w:spacing w:after="120"/>
        <w:ind w:firstLine="567"/>
        <w:rPr>
          <w:color w:val="0070C0"/>
          <w:sz w:val="18"/>
          <w:szCs w:val="12"/>
        </w:rPr>
      </w:pPr>
    </w:p>
    <w:p w:rsidR="004D0FB4" w:rsidRPr="003D0A6C" w:rsidRDefault="004D0FB4" w:rsidP="004D0FB4">
      <w:pPr>
        <w:pStyle w:val="Heading1"/>
        <w:spacing w:before="120"/>
        <w:ind w:left="284" w:right="-108"/>
        <w:jc w:val="both"/>
        <w:rPr>
          <w:sz w:val="24"/>
        </w:rPr>
      </w:pPr>
      <w:bookmarkStart w:id="87" w:name="_Toc109906108"/>
      <w:r>
        <w:rPr>
          <w:sz w:val="24"/>
        </w:rPr>
        <w:t xml:space="preserve">5.3 </w:t>
      </w:r>
      <w:r w:rsidRPr="003D0A6C">
        <w:rPr>
          <w:sz w:val="24"/>
        </w:rPr>
        <w:t>Бюджети на Българската национална телевизия, Българското национално радио и Българската телеграфна агенция</w:t>
      </w:r>
      <w:bookmarkEnd w:id="87"/>
      <w:r w:rsidRPr="003D0A6C">
        <w:rPr>
          <w:sz w:val="24"/>
        </w:rPr>
        <w:t xml:space="preserve"> </w:t>
      </w:r>
    </w:p>
    <w:p w:rsidR="004D0FB4" w:rsidRPr="003D0A6C" w:rsidRDefault="004D0FB4" w:rsidP="004D0FB4">
      <w:pPr>
        <w:numPr>
          <w:ilvl w:val="1"/>
          <w:numId w:val="5"/>
        </w:numPr>
        <w:spacing w:before="120" w:line="276" w:lineRule="auto"/>
        <w:ind w:left="992" w:hanging="357"/>
        <w:jc w:val="both"/>
        <w:rPr>
          <w:b/>
        </w:rPr>
      </w:pPr>
      <w:r w:rsidRPr="003D0A6C">
        <w:rPr>
          <w:b/>
        </w:rPr>
        <w:t>Българска национална телевизия</w:t>
      </w:r>
    </w:p>
    <w:p w:rsidR="004D0FB4" w:rsidRPr="00BE02D0" w:rsidRDefault="004D0FB4" w:rsidP="004D0FB4">
      <w:pPr>
        <w:pStyle w:val="Title"/>
        <w:ind w:firstLine="709"/>
        <w:jc w:val="both"/>
        <w:rPr>
          <w:b w:val="0"/>
          <w:szCs w:val="24"/>
        </w:rPr>
      </w:pPr>
      <w:r w:rsidRPr="00BE02D0">
        <w:t xml:space="preserve">Приходите на Българската национална телевизия (БНТ) </w:t>
      </w:r>
      <w:r w:rsidRPr="00BE02D0">
        <w:rPr>
          <w:b w:val="0"/>
        </w:rPr>
        <w:t>към 31.12.2024 г. са в размер</w:t>
      </w:r>
      <w:r w:rsidRPr="00BE02D0">
        <w:t xml:space="preserve"> </w:t>
      </w:r>
      <w:r w:rsidRPr="00BE02D0">
        <w:rPr>
          <w:b w:val="0"/>
          <w:szCs w:val="24"/>
        </w:rPr>
        <w:t>на 10,6 млн. лв., което представлява 105,9 % изпълнение на заложените приходи в разчетите към ЗДБРБ за 2024 г. (10,0 млн. лв.)</w:t>
      </w:r>
    </w:p>
    <w:p w:rsidR="004D0FB4" w:rsidRPr="00BE02D0" w:rsidRDefault="004D0FB4" w:rsidP="004D0FB4">
      <w:pPr>
        <w:ind w:firstLine="567"/>
        <w:jc w:val="both"/>
      </w:pPr>
      <w:r w:rsidRPr="006E7134">
        <w:rPr>
          <w:color w:val="0070C0"/>
        </w:rPr>
        <w:t xml:space="preserve">  </w:t>
      </w:r>
      <w:r w:rsidRPr="00BE02D0">
        <w:t>В сравнение с 2023 г. приходите са с 2,0 млн. лв. по-малко. Отчетените приходи са постъпления от продажба на услуги, стоки и продукция (реклама, технически услуги, продажба на програми, приходи от почивно дело, приходи от участия в предизборни форми), наеми на имущество и други неданъчни приходи.</w:t>
      </w:r>
    </w:p>
    <w:p w:rsidR="004D0FB4" w:rsidRPr="00BE02D0" w:rsidRDefault="004D0FB4" w:rsidP="004D0FB4">
      <w:pPr>
        <w:ind w:firstLine="567"/>
        <w:jc w:val="both"/>
        <w:rPr>
          <w:szCs w:val="20"/>
        </w:rPr>
      </w:pPr>
      <w:r w:rsidRPr="00BE02D0">
        <w:rPr>
          <w:szCs w:val="20"/>
        </w:rPr>
        <w:t>Отчетените</w:t>
      </w:r>
      <w:r w:rsidRPr="00BE02D0">
        <w:rPr>
          <w:b/>
          <w:szCs w:val="20"/>
        </w:rPr>
        <w:t xml:space="preserve"> разходи по бюджета на БНТ</w:t>
      </w:r>
      <w:r w:rsidRPr="00BE02D0">
        <w:rPr>
          <w:szCs w:val="20"/>
        </w:rPr>
        <w:t xml:space="preserve"> са в размер на 101,3 млн. лв., което представлява 102,8 % спрямо предвидените 98,5 млн. лева. разходи в разчетите към ЗДБРБ за 2024 г.</w:t>
      </w:r>
    </w:p>
    <w:p w:rsidR="004D0FB4" w:rsidRPr="00BE02D0" w:rsidRDefault="004D0FB4" w:rsidP="004D0FB4">
      <w:pPr>
        <w:ind w:firstLine="567"/>
        <w:jc w:val="both"/>
        <w:rPr>
          <w:szCs w:val="20"/>
        </w:rPr>
      </w:pPr>
      <w:r w:rsidRPr="00BE02D0">
        <w:rPr>
          <w:szCs w:val="20"/>
        </w:rPr>
        <w:t xml:space="preserve">Българската национална телевизия съставя, изпълнява, приключва и отчита бюджет, съгласно чл. 70, ал. 1 от Закона за радиото и телевизията (ЗРТ). </w:t>
      </w:r>
    </w:p>
    <w:p w:rsidR="004D0FB4" w:rsidRPr="00C3043A" w:rsidRDefault="004D0FB4" w:rsidP="004D0FB4">
      <w:pPr>
        <w:ind w:firstLine="567"/>
        <w:jc w:val="both"/>
        <w:rPr>
          <w:szCs w:val="20"/>
        </w:rPr>
      </w:pPr>
      <w:r w:rsidRPr="00711448">
        <w:rPr>
          <w:szCs w:val="20"/>
        </w:rPr>
        <w:t xml:space="preserve">За </w:t>
      </w:r>
      <w:r w:rsidRPr="00C3043A">
        <w:rPr>
          <w:szCs w:val="20"/>
        </w:rPr>
        <w:t>периода са отчетени 88,9 млн. лв. текущи разходи и 12,4 млн. лв. капиталови разходи. Общият размер на отчетените текущи разходи включва: 49,1 млн</w:t>
      </w:r>
      <w:r>
        <w:rPr>
          <w:szCs w:val="20"/>
        </w:rPr>
        <w:t>. лв. разходи за персонал и 39,8</w:t>
      </w:r>
      <w:r w:rsidRPr="00C3043A">
        <w:rPr>
          <w:szCs w:val="20"/>
        </w:rPr>
        <w:t> млн. лв. разходи за издръжка (вкл. разходи за членски внос, платени данъци, такси и административни санкции). Отчетените разход</w:t>
      </w:r>
      <w:r>
        <w:rPr>
          <w:szCs w:val="20"/>
        </w:rPr>
        <w:t>и за персонал представляват 48,5</w:t>
      </w:r>
      <w:r w:rsidRPr="00C3043A">
        <w:rPr>
          <w:szCs w:val="20"/>
        </w:rPr>
        <w:t xml:space="preserve"> % от отчетените за периода разходи.</w:t>
      </w:r>
    </w:p>
    <w:p w:rsidR="004D0FB4" w:rsidRPr="00C3043A" w:rsidRDefault="004D0FB4" w:rsidP="004D0FB4">
      <w:pPr>
        <w:ind w:firstLine="567"/>
        <w:jc w:val="both"/>
        <w:rPr>
          <w:szCs w:val="20"/>
        </w:rPr>
      </w:pPr>
      <w:r w:rsidRPr="00C3043A">
        <w:rPr>
          <w:szCs w:val="20"/>
        </w:rPr>
        <w:t xml:space="preserve">В разпределението  на разходите по бюджета на обществената медия е включен преходния остатък за 2023 г. (съгл. чл. 70, ал. 6 от ЗРТ) в размер на 1,0 млн. лв. </w:t>
      </w:r>
    </w:p>
    <w:p w:rsidR="004D0FB4" w:rsidRPr="00C3043A" w:rsidRDefault="004D0FB4" w:rsidP="004D0FB4">
      <w:pPr>
        <w:ind w:firstLine="567"/>
        <w:jc w:val="both"/>
      </w:pPr>
      <w:r w:rsidRPr="00C3043A">
        <w:rPr>
          <w:szCs w:val="20"/>
        </w:rPr>
        <w:t>За отчетния период средствата са усвоени за реализирането на основните цели и дейности на БНТ по подготовката, създаването и разпространението на телевизионни програми съгласно разпоредбите на Закона за радиото и телевизията.</w:t>
      </w:r>
      <w:r w:rsidRPr="00C3043A">
        <w:t xml:space="preserve"> </w:t>
      </w:r>
    </w:p>
    <w:p w:rsidR="004D0FB4" w:rsidRPr="006E7134" w:rsidRDefault="004D0FB4" w:rsidP="004D0FB4">
      <w:pPr>
        <w:ind w:firstLine="567"/>
        <w:jc w:val="both"/>
        <w:rPr>
          <w:color w:val="0070C0"/>
          <w:szCs w:val="20"/>
        </w:rPr>
      </w:pPr>
      <w:r w:rsidRPr="00C3043A">
        <w:rPr>
          <w:b/>
        </w:rPr>
        <w:t>Бюджетни взаимоотношения на БНТ</w:t>
      </w:r>
      <w:r w:rsidRPr="00C3043A">
        <w:t xml:space="preserve"> с централния бюджет</w:t>
      </w:r>
      <w:r w:rsidRPr="00C3043A">
        <w:rPr>
          <w:lang w:val="ru-RU"/>
        </w:rPr>
        <w:t xml:space="preserve"> </w:t>
      </w:r>
      <w:r w:rsidRPr="00C3043A">
        <w:t>по уточнен план възлизат на 91,0 млн. лв., в т.ч.: 87,0 млн. лв. съгласно чл. 50, т. 2 от ЗДБРБ за 2024 г. и одобрени допълнителни трансфери в размер на 4,0 млн. лв., в т.ч.: 2,0 млн. лв. съгласно ПМС № 100 от 2024 г. и 2,0 млн. лв. съгласно ПМС № 305 от 2024 г. (за разходи по подготовката и произвеждането на изборите за народни представители и за членове на Европейския парламент от Република България на 9 юни 2024 г., и за разходи по подготовката и произвеждането на изборите за народни представители за Народно събрание на 27 октомври 2024 г.).</w:t>
      </w:r>
      <w:r w:rsidRPr="00C3043A">
        <w:rPr>
          <w:szCs w:val="20"/>
        </w:rPr>
        <w:t xml:space="preserve"> За отчетния период е усвоена сума в размер на 91,0</w:t>
      </w:r>
      <w:r w:rsidR="007714C3">
        <w:rPr>
          <w:szCs w:val="20"/>
          <w:lang w:val="en-US"/>
        </w:rPr>
        <w:t> </w:t>
      </w:r>
      <w:r w:rsidRPr="00C3043A">
        <w:rPr>
          <w:szCs w:val="20"/>
        </w:rPr>
        <w:t>млн. лв. или 100,0% от размера на бюджетните взаимоотношения на БНТ с централния бюджет по уточнен план.</w:t>
      </w:r>
    </w:p>
    <w:p w:rsidR="004D0FB4" w:rsidRPr="00C3043A" w:rsidRDefault="004D0FB4" w:rsidP="004D0FB4">
      <w:pPr>
        <w:numPr>
          <w:ilvl w:val="1"/>
          <w:numId w:val="5"/>
        </w:numPr>
        <w:spacing w:before="240" w:line="276" w:lineRule="auto"/>
        <w:ind w:left="992" w:hanging="357"/>
        <w:jc w:val="both"/>
        <w:rPr>
          <w:b/>
          <w:szCs w:val="20"/>
        </w:rPr>
      </w:pPr>
      <w:r w:rsidRPr="00C3043A">
        <w:rPr>
          <w:b/>
        </w:rPr>
        <w:t>Българско национално радио</w:t>
      </w:r>
    </w:p>
    <w:p w:rsidR="004D0FB4" w:rsidRPr="00C3043A" w:rsidRDefault="004D0FB4" w:rsidP="004D0FB4">
      <w:pPr>
        <w:ind w:firstLine="567"/>
        <w:jc w:val="both"/>
        <w:rPr>
          <w:color w:val="0070C0"/>
          <w:szCs w:val="20"/>
          <w:lang w:val="en-US"/>
        </w:rPr>
      </w:pPr>
      <w:r w:rsidRPr="00C3043A">
        <w:rPr>
          <w:b/>
        </w:rPr>
        <w:t>Приходите по бюджета на Българското национално радио (БНР)</w:t>
      </w:r>
      <w:r w:rsidRPr="00C3043A">
        <w:t xml:space="preserve"> към 31.12.2024 г. са в размер на </w:t>
      </w:r>
      <w:r w:rsidRPr="00C3043A">
        <w:rPr>
          <w:szCs w:val="20"/>
        </w:rPr>
        <w:t xml:space="preserve">1,8 млн. лв., </w:t>
      </w:r>
      <w:r>
        <w:rPr>
          <w:szCs w:val="20"/>
        </w:rPr>
        <w:t xml:space="preserve">което представлява </w:t>
      </w:r>
      <w:r w:rsidRPr="00C3043A">
        <w:rPr>
          <w:szCs w:val="20"/>
        </w:rPr>
        <w:t>101,5</w:t>
      </w:r>
      <w:r>
        <w:rPr>
          <w:szCs w:val="20"/>
        </w:rPr>
        <w:t xml:space="preserve"> </w:t>
      </w:r>
      <w:r w:rsidRPr="00C3043A">
        <w:rPr>
          <w:szCs w:val="20"/>
        </w:rPr>
        <w:t>% изпълнение на заложените приходи в разчетите към ЗДБРБ за 2024</w:t>
      </w:r>
      <w:r w:rsidRPr="00C3043A">
        <w:rPr>
          <w:szCs w:val="20"/>
          <w:lang w:val="en-US"/>
        </w:rPr>
        <w:t> </w:t>
      </w:r>
      <w:r w:rsidRPr="00C3043A">
        <w:rPr>
          <w:szCs w:val="20"/>
        </w:rPr>
        <w:t xml:space="preserve">г. </w:t>
      </w:r>
    </w:p>
    <w:p w:rsidR="004D0FB4" w:rsidRPr="00C3043A" w:rsidRDefault="004D0FB4" w:rsidP="004D0FB4">
      <w:pPr>
        <w:ind w:firstLine="567"/>
        <w:jc w:val="both"/>
        <w:rPr>
          <w:szCs w:val="20"/>
        </w:rPr>
      </w:pPr>
      <w:r w:rsidRPr="00C3043A">
        <w:rPr>
          <w:szCs w:val="20"/>
        </w:rPr>
        <w:t>Отчетените приходи са постъпления от продажба на услуги, стоки и продукция (реклама, спонсорство, технически услуги, съвместни продукции, приходи от концертна дейност), наеми на имущество и други неданъчни приходи.</w:t>
      </w:r>
    </w:p>
    <w:p w:rsidR="004D0FB4" w:rsidRPr="00C3043A" w:rsidRDefault="004D0FB4" w:rsidP="004D0FB4">
      <w:pPr>
        <w:ind w:firstLine="567"/>
        <w:jc w:val="both"/>
        <w:rPr>
          <w:szCs w:val="20"/>
        </w:rPr>
      </w:pPr>
      <w:r w:rsidRPr="00C3043A">
        <w:rPr>
          <w:szCs w:val="20"/>
        </w:rPr>
        <w:t xml:space="preserve">Изпълнението на </w:t>
      </w:r>
      <w:r w:rsidRPr="00C3043A">
        <w:rPr>
          <w:b/>
          <w:szCs w:val="20"/>
        </w:rPr>
        <w:t>разходите</w:t>
      </w:r>
      <w:r w:rsidRPr="00C3043A">
        <w:rPr>
          <w:szCs w:val="20"/>
        </w:rPr>
        <w:t xml:space="preserve"> </w:t>
      </w:r>
      <w:r w:rsidRPr="00C3043A">
        <w:rPr>
          <w:b/>
          <w:szCs w:val="20"/>
        </w:rPr>
        <w:t>по бюджета на</w:t>
      </w:r>
      <w:r w:rsidRPr="00C3043A">
        <w:rPr>
          <w:szCs w:val="20"/>
        </w:rPr>
        <w:t xml:space="preserve"> </w:t>
      </w:r>
      <w:r w:rsidRPr="00C3043A">
        <w:rPr>
          <w:b/>
          <w:szCs w:val="20"/>
        </w:rPr>
        <w:t xml:space="preserve">БНР </w:t>
      </w:r>
      <w:r w:rsidRPr="00C3043A">
        <w:rPr>
          <w:szCs w:val="20"/>
        </w:rPr>
        <w:t xml:space="preserve">възлиза на 68,6 млн. лв., което представлява 103,6 % спрямо предвидените разходи от 66,3 млн. лв. в разчетите към ЗДБРБ за 2024 г. </w:t>
      </w:r>
    </w:p>
    <w:p w:rsidR="004D0FB4" w:rsidRPr="00C3043A" w:rsidRDefault="004D0FB4" w:rsidP="004D0FB4">
      <w:pPr>
        <w:pStyle w:val="Title"/>
        <w:ind w:firstLine="708"/>
        <w:jc w:val="both"/>
        <w:rPr>
          <w:b w:val="0"/>
        </w:rPr>
      </w:pPr>
      <w:r w:rsidRPr="00C3043A">
        <w:rPr>
          <w:b w:val="0"/>
        </w:rPr>
        <w:t>Българското национално радио съставя, изпълнява, приключва и отчита бюджет, съгласно чл. 70, ал. 1 от Закона за радиото и телевизията (ЗРТ).</w:t>
      </w:r>
    </w:p>
    <w:p w:rsidR="004D0FB4" w:rsidRPr="00C7059E" w:rsidRDefault="004D0FB4" w:rsidP="004D0FB4">
      <w:pPr>
        <w:pStyle w:val="Title"/>
        <w:ind w:firstLine="708"/>
        <w:jc w:val="both"/>
        <w:rPr>
          <w:b w:val="0"/>
          <w:szCs w:val="24"/>
        </w:rPr>
      </w:pPr>
      <w:r w:rsidRPr="00C3043A">
        <w:rPr>
          <w:b w:val="0"/>
        </w:rPr>
        <w:t xml:space="preserve">За периода са отчетени </w:t>
      </w:r>
      <w:r w:rsidRPr="00C3043A">
        <w:rPr>
          <w:b w:val="0"/>
          <w:szCs w:val="24"/>
        </w:rPr>
        <w:t xml:space="preserve">64,9 млн. лв. текущи разходи и 3,8 млн. лв. капиталови разходи. Общият размер на </w:t>
      </w:r>
      <w:r w:rsidRPr="00C7059E">
        <w:rPr>
          <w:b w:val="0"/>
          <w:szCs w:val="24"/>
        </w:rPr>
        <w:t>отчетените текущи разходи включва: 43,2 млн</w:t>
      </w:r>
      <w:r>
        <w:rPr>
          <w:b w:val="0"/>
          <w:szCs w:val="24"/>
        </w:rPr>
        <w:t xml:space="preserve">. лв. разходи за персонал и </w:t>
      </w:r>
      <w:r>
        <w:rPr>
          <w:b w:val="0"/>
          <w:szCs w:val="24"/>
        </w:rPr>
        <w:lastRenderedPageBreak/>
        <w:t>21,7</w:t>
      </w:r>
      <w:r w:rsidRPr="00C7059E">
        <w:rPr>
          <w:b w:val="0"/>
          <w:szCs w:val="24"/>
        </w:rPr>
        <w:t> млн. лв. разходи за издръжка (вкл. разходи за членски внос, платени данъци, такси и административни санкции). Отчетените разх</w:t>
      </w:r>
      <w:r>
        <w:rPr>
          <w:b w:val="0"/>
          <w:szCs w:val="24"/>
        </w:rPr>
        <w:t>оди за персонал представляват 62,9</w:t>
      </w:r>
      <w:r w:rsidRPr="00C7059E">
        <w:rPr>
          <w:b w:val="0"/>
          <w:szCs w:val="24"/>
        </w:rPr>
        <w:t xml:space="preserve"> % от отчетените за периода разходи.</w:t>
      </w:r>
    </w:p>
    <w:p w:rsidR="004D0FB4" w:rsidRPr="00C7059E" w:rsidRDefault="004D0FB4" w:rsidP="004D0FB4">
      <w:pPr>
        <w:pStyle w:val="Title"/>
        <w:ind w:firstLine="708"/>
        <w:jc w:val="both"/>
        <w:rPr>
          <w:b w:val="0"/>
        </w:rPr>
      </w:pPr>
      <w:r w:rsidRPr="00C7059E">
        <w:rPr>
          <w:b w:val="0"/>
        </w:rPr>
        <w:t>В разпределението  на разходите по бюджета на БНР е включен преходния остатък за 2023 г. (съгл. чл. 70, ал. 6 от ЗРТ) в размер на 3,9 млн. лева.</w:t>
      </w:r>
    </w:p>
    <w:p w:rsidR="004D0FB4" w:rsidRPr="00C7059E" w:rsidRDefault="004D0FB4" w:rsidP="004D0FB4">
      <w:pPr>
        <w:ind w:firstLine="567"/>
        <w:jc w:val="both"/>
        <w:rPr>
          <w:szCs w:val="20"/>
        </w:rPr>
      </w:pPr>
      <w:r w:rsidRPr="00C7059E">
        <w:t>За отчетния период средствата са усвоени за реализирането на основните цели и дейности на БНР по подготовката, създаването и разпространението на национални и регионални програми съгласно разпоредбите на Закона за радиото и телевизията.</w:t>
      </w:r>
    </w:p>
    <w:p w:rsidR="004D0FB4" w:rsidRPr="00C7059E" w:rsidRDefault="004D0FB4" w:rsidP="004D0FB4">
      <w:pPr>
        <w:ind w:firstLine="567"/>
        <w:jc w:val="both"/>
      </w:pPr>
      <w:r w:rsidRPr="00C7059E">
        <w:rPr>
          <w:b/>
          <w:szCs w:val="20"/>
        </w:rPr>
        <w:t>Бюджетни взаимоотношения на БНР</w:t>
      </w:r>
      <w:r w:rsidRPr="00C7059E">
        <w:rPr>
          <w:szCs w:val="20"/>
        </w:rPr>
        <w:t xml:space="preserve"> с централния бюджет по уточнен план възлизат на 64,7 млн. лв., в т.ч.: </w:t>
      </w:r>
      <w:r w:rsidRPr="00C7059E">
        <w:t xml:space="preserve">63,0 млн. лв. съгласно чл. 50, т. 1 от ЗДБРБ за 2024 г. и одобрени допълнителни трансфери в размер на 1,7 млн. лв., в т.ч.: 0,8 млн. лв. съгласно ПМС № 100 от 2024 г. и 0,8 млн. лв. съгласно ПМС № 305 от 2024 г. (за разходи по подготовката и произвеждането на изборите за народни представители и за членове на Европейския парламент от Република България на 9 юни 2024 г., и за разходи по подготовката и произвеждането на изборите за народни представители за Народно събрание на 27 октомври 2024 г.). </w:t>
      </w:r>
    </w:p>
    <w:p w:rsidR="004D0FB4" w:rsidRPr="00C7059E" w:rsidRDefault="004D0FB4" w:rsidP="004D0FB4">
      <w:pPr>
        <w:ind w:firstLine="567"/>
        <w:jc w:val="both"/>
        <w:rPr>
          <w:szCs w:val="20"/>
        </w:rPr>
      </w:pPr>
      <w:r w:rsidRPr="00C7059E">
        <w:rPr>
          <w:szCs w:val="20"/>
        </w:rPr>
        <w:t xml:space="preserve"> Към 31.12.2024 г. е усвоена сума в размер на 64,7 млн. лв. или 100,0</w:t>
      </w:r>
      <w:r w:rsidRPr="00C7059E">
        <w:rPr>
          <w:szCs w:val="20"/>
          <w:lang w:val="en-US"/>
        </w:rPr>
        <w:t xml:space="preserve"> </w:t>
      </w:r>
      <w:r w:rsidRPr="00C7059E">
        <w:rPr>
          <w:szCs w:val="20"/>
        </w:rPr>
        <w:t>% от размера на бюджетните взаимоотношения на БНР с централния бюджет по уточнен план.</w:t>
      </w:r>
    </w:p>
    <w:p w:rsidR="004D0FB4" w:rsidRPr="006E7134" w:rsidRDefault="004D0FB4" w:rsidP="004D0FB4">
      <w:pPr>
        <w:ind w:firstLine="567"/>
        <w:jc w:val="both"/>
        <w:rPr>
          <w:color w:val="0070C0"/>
          <w:szCs w:val="20"/>
        </w:rPr>
      </w:pPr>
    </w:p>
    <w:p w:rsidR="004D0FB4" w:rsidRPr="00711448" w:rsidRDefault="004D0FB4" w:rsidP="004D0FB4">
      <w:pPr>
        <w:numPr>
          <w:ilvl w:val="1"/>
          <w:numId w:val="5"/>
        </w:numPr>
        <w:ind w:left="992" w:hanging="357"/>
        <w:jc w:val="both"/>
        <w:rPr>
          <w:b/>
          <w:szCs w:val="20"/>
        </w:rPr>
      </w:pPr>
      <w:r w:rsidRPr="00711448">
        <w:rPr>
          <w:b/>
        </w:rPr>
        <w:t>Българска телеграфна агенция</w:t>
      </w:r>
    </w:p>
    <w:p w:rsidR="004D0FB4" w:rsidRPr="00381302" w:rsidRDefault="004D0FB4" w:rsidP="004D0FB4">
      <w:pPr>
        <w:ind w:firstLine="567"/>
        <w:jc w:val="both"/>
        <w:rPr>
          <w:b/>
          <w:szCs w:val="20"/>
        </w:rPr>
      </w:pPr>
      <w:r w:rsidRPr="00076A71">
        <w:rPr>
          <w:b/>
          <w:szCs w:val="20"/>
        </w:rPr>
        <w:t xml:space="preserve">Приходите на </w:t>
      </w:r>
      <w:r w:rsidRPr="00076A71">
        <w:rPr>
          <w:b/>
        </w:rPr>
        <w:t>Българската телеграфна агенция (БТА)</w:t>
      </w:r>
      <w:r w:rsidRPr="00076A71">
        <w:t xml:space="preserve"> </w:t>
      </w:r>
      <w:r w:rsidRPr="00076A71">
        <w:rPr>
          <w:szCs w:val="20"/>
        </w:rPr>
        <w:t xml:space="preserve">към 31.12.2024 г. са в размер на </w:t>
      </w:r>
      <w:r>
        <w:rPr>
          <w:szCs w:val="20"/>
        </w:rPr>
        <w:t>0,8</w:t>
      </w:r>
      <w:r w:rsidRPr="00076A71">
        <w:rPr>
          <w:szCs w:val="20"/>
        </w:rPr>
        <w:t xml:space="preserve"> млн. лв</w:t>
      </w:r>
      <w:r w:rsidRPr="00076A71">
        <w:t xml:space="preserve">., което представлява 134,2 %  спрямо заложените приходи от 0,6 млн. лв. в разчетите към ЗДБРБ за 2024 г. Средствата са основно от продажба на услуги, стоки и продукция (реклама, </w:t>
      </w:r>
      <w:r w:rsidRPr="00381302">
        <w:t xml:space="preserve">технически услуги, продажба на продукция), наеми на имущество и други. </w:t>
      </w:r>
    </w:p>
    <w:p w:rsidR="004D0FB4" w:rsidRPr="00381302" w:rsidRDefault="004D0FB4" w:rsidP="004D0FB4">
      <w:pPr>
        <w:pStyle w:val="Title"/>
        <w:ind w:firstLine="567"/>
        <w:jc w:val="both"/>
        <w:rPr>
          <w:b w:val="0"/>
        </w:rPr>
      </w:pPr>
      <w:r w:rsidRPr="00381302">
        <w:rPr>
          <w:b w:val="0"/>
        </w:rPr>
        <w:t xml:space="preserve">Отчетените </w:t>
      </w:r>
      <w:r w:rsidRPr="00381302">
        <w:t>разходи</w:t>
      </w:r>
      <w:r w:rsidRPr="00381302">
        <w:rPr>
          <w:b w:val="0"/>
        </w:rPr>
        <w:t xml:space="preserve"> </w:t>
      </w:r>
      <w:r w:rsidRPr="00381302">
        <w:t>по бюджета на БТА</w:t>
      </w:r>
      <w:r w:rsidRPr="00381302">
        <w:rPr>
          <w:b w:val="0"/>
        </w:rPr>
        <w:t xml:space="preserve"> са в размер на 16</w:t>
      </w:r>
      <w:r>
        <w:rPr>
          <w:b w:val="0"/>
        </w:rPr>
        <w:t>,7</w:t>
      </w:r>
      <w:r w:rsidRPr="00381302">
        <w:rPr>
          <w:b w:val="0"/>
        </w:rPr>
        <w:t xml:space="preserve"> млн. лв., което представлява 133,9 % от предвидените разходи в разчетите към ЗДБРБ за 2024 година.</w:t>
      </w:r>
    </w:p>
    <w:p w:rsidR="004D0FB4" w:rsidRPr="00381302" w:rsidRDefault="004D0FB4" w:rsidP="004D0FB4">
      <w:pPr>
        <w:pStyle w:val="Title"/>
        <w:ind w:firstLine="567"/>
        <w:jc w:val="both"/>
        <w:rPr>
          <w:b w:val="0"/>
        </w:rPr>
      </w:pPr>
      <w:r w:rsidRPr="00381302">
        <w:rPr>
          <w:b w:val="0"/>
        </w:rPr>
        <w:t>Българската телеграфна агенция съставя, изпълнява, приключва и отчита бюджет, съгласно чл. 19, ал. 1 от Закона за Българска телеграфна агенция (ЗБТА).</w:t>
      </w:r>
      <w:r w:rsidRPr="00381302">
        <w:t xml:space="preserve"> </w:t>
      </w:r>
    </w:p>
    <w:p w:rsidR="004D0FB4" w:rsidRPr="006E7134" w:rsidRDefault="004D0FB4" w:rsidP="004D0FB4">
      <w:pPr>
        <w:ind w:firstLine="708"/>
        <w:jc w:val="both"/>
        <w:rPr>
          <w:color w:val="0070C0"/>
        </w:rPr>
      </w:pPr>
      <w:r w:rsidRPr="00381302">
        <w:t>За периода са отчетени 15,3 млн. лв. текущи разходи и 1,</w:t>
      </w:r>
      <w:r w:rsidRPr="00381302">
        <w:rPr>
          <w:lang w:val="en-US"/>
        </w:rPr>
        <w:t>4</w:t>
      </w:r>
      <w:r w:rsidRPr="00381302">
        <w:t xml:space="preserve"> млн. лв. капиталови разходи. Общият размер на отчетените текущи разходи включва: 12,0 млн. лв. разходи за персонал, 3,3</w:t>
      </w:r>
      <w:r w:rsidR="007714C3">
        <w:rPr>
          <w:lang w:val="en-US"/>
        </w:rPr>
        <w:t> </w:t>
      </w:r>
      <w:r w:rsidRPr="00381302">
        <w:t>млн. лв. разходи за издръжка (вкл. разходи за членски внос, платени данъци, такси и административни санкции). Отчетените разходи за персонал представляват 72,1</w:t>
      </w:r>
      <w:r>
        <w:t xml:space="preserve"> % от отчетените за периода</w:t>
      </w:r>
      <w:r w:rsidRPr="00381302">
        <w:t xml:space="preserve"> разходи.</w:t>
      </w:r>
    </w:p>
    <w:p w:rsidR="004D0FB4" w:rsidRPr="00381302" w:rsidRDefault="004D0FB4" w:rsidP="004D0FB4">
      <w:pPr>
        <w:ind w:firstLine="708"/>
        <w:jc w:val="both"/>
      </w:pPr>
      <w:r w:rsidRPr="00381302">
        <w:t>В разпределението на разходите по бюджета на агенцията е включен преходния остатък за 2023 г. (съгл. чл. 20, ал. 3 от ЗБТА) в размер на 1,7 млн. лева.</w:t>
      </w:r>
    </w:p>
    <w:p w:rsidR="004D0FB4" w:rsidRPr="00381302" w:rsidRDefault="004D0FB4" w:rsidP="004D0FB4">
      <w:pPr>
        <w:pStyle w:val="Title"/>
        <w:ind w:firstLine="567"/>
        <w:jc w:val="both"/>
        <w:rPr>
          <w:b w:val="0"/>
        </w:rPr>
      </w:pPr>
      <w:r w:rsidRPr="00381302">
        <w:rPr>
          <w:b w:val="0"/>
          <w:szCs w:val="24"/>
          <w:lang w:eastAsia="bg-BG"/>
        </w:rPr>
        <w:t>За отчетния период средствата са усвоени за реализирането на основните цели и дейности на БТА като национален независим информационен институт на Република България, съгласно разпоредбите на Закона за Българска телеграфна агенция.</w:t>
      </w:r>
    </w:p>
    <w:p w:rsidR="004D0FB4" w:rsidRPr="00DD01FB" w:rsidRDefault="004D0FB4" w:rsidP="004D0FB4">
      <w:pPr>
        <w:pStyle w:val="Title"/>
        <w:ind w:firstLine="567"/>
        <w:jc w:val="both"/>
        <w:rPr>
          <w:b w:val="0"/>
        </w:rPr>
      </w:pPr>
      <w:r w:rsidRPr="00DD01FB">
        <w:t>Бюджетни взаимоотношения на БТА</w:t>
      </w:r>
      <w:r w:rsidRPr="00DD01FB">
        <w:rPr>
          <w:b w:val="0"/>
        </w:rPr>
        <w:t xml:space="preserve"> с централния бюджет възлизат на 11,9 млн. лв. съгласно чл. 50, т. 3 от ЗДБРБ за 2024 г., </w:t>
      </w:r>
      <w:r w:rsidRPr="00DD01FB">
        <w:rPr>
          <w:b w:val="0"/>
          <w:bCs/>
        </w:rPr>
        <w:t>а след извършени промени по бюджета в изпълнение на ПМС № 204 от 2024 г., сумата е увеличена с 2,0 млн. лв. и в изпълнение на ПМС № 100 от 2024 г. са добавени още 0,25 млн. лв. За отчетния период сумите са усвоени в пълен размер.</w:t>
      </w:r>
    </w:p>
    <w:p w:rsidR="0063166A" w:rsidRPr="006E7134" w:rsidRDefault="0063166A" w:rsidP="0063166A">
      <w:pPr>
        <w:pStyle w:val="Title"/>
        <w:ind w:firstLine="567"/>
        <w:jc w:val="both"/>
        <w:rPr>
          <w:b w:val="0"/>
          <w:color w:val="0070C0"/>
        </w:rPr>
      </w:pPr>
    </w:p>
    <w:p w:rsidR="00446778" w:rsidRPr="006E7134" w:rsidRDefault="00446778" w:rsidP="007C1025">
      <w:pPr>
        <w:pStyle w:val="Title"/>
        <w:jc w:val="both"/>
        <w:rPr>
          <w:color w:val="0070C0"/>
        </w:rPr>
      </w:pPr>
    </w:p>
    <w:p w:rsidR="00001ABF" w:rsidRPr="006E7134" w:rsidRDefault="00001ABF" w:rsidP="007C1025">
      <w:pPr>
        <w:pStyle w:val="Title"/>
        <w:jc w:val="both"/>
        <w:rPr>
          <w:color w:val="0070C0"/>
        </w:rPr>
      </w:pPr>
    </w:p>
    <w:p w:rsidR="002D6877" w:rsidRDefault="002D6877" w:rsidP="007C1025">
      <w:pPr>
        <w:pStyle w:val="Title"/>
        <w:jc w:val="both"/>
      </w:pPr>
    </w:p>
    <w:p w:rsidR="002D6877" w:rsidRPr="00802315" w:rsidRDefault="002D6877" w:rsidP="007C1025">
      <w:pPr>
        <w:pStyle w:val="Title"/>
        <w:jc w:val="both"/>
      </w:pPr>
    </w:p>
    <w:p w:rsidR="00EE4129" w:rsidRPr="006E7134" w:rsidRDefault="00EE4129" w:rsidP="007C1025">
      <w:pPr>
        <w:pStyle w:val="Title"/>
        <w:jc w:val="both"/>
        <w:rPr>
          <w:color w:val="0070C0"/>
        </w:rPr>
      </w:pPr>
    </w:p>
    <w:p w:rsidR="00EE4129" w:rsidRPr="006E7134" w:rsidRDefault="00EE4129" w:rsidP="007C1025">
      <w:pPr>
        <w:pStyle w:val="Title"/>
        <w:jc w:val="both"/>
        <w:rPr>
          <w:color w:val="0070C0"/>
          <w:lang w:val="en-US"/>
        </w:rPr>
      </w:pPr>
    </w:p>
    <w:sectPr w:rsidR="00EE4129" w:rsidRPr="006E7134" w:rsidSect="00033525">
      <w:footerReference w:type="even" r:id="rId13"/>
      <w:footerReference w:type="default" r:id="rId14"/>
      <w:endnotePr>
        <w:numFmt w:val="decimal"/>
      </w:endnotePr>
      <w:type w:val="continuous"/>
      <w:pgSz w:w="11906" w:h="16838"/>
      <w:pgMar w:top="709" w:right="849" w:bottom="426"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2FD6" w:rsidRDefault="00202FD6">
      <w:r>
        <w:separator/>
      </w:r>
    </w:p>
  </w:endnote>
  <w:endnote w:type="continuationSeparator" w:id="0">
    <w:p w:rsidR="00202FD6" w:rsidRDefault="00202FD6">
      <w:r>
        <w:continuationSeparator/>
      </w:r>
    </w:p>
  </w:endnote>
  <w:endnote w:type="continuationNotice" w:id="1">
    <w:p w:rsidR="00202FD6" w:rsidRDefault="00202F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Futura Bk">
    <w:altName w:val="Century Gothic"/>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S Minngs">
    <w:altName w:val="Yu Gothic UI"/>
    <w:charset w:val="80"/>
    <w:family w:val="roman"/>
    <w:pitch w:val="default"/>
    <w:sig w:usb0="00000000" w:usb1="0000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C28" w:rsidRDefault="00667C28" w:rsidP="00EA0F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67C28" w:rsidRDefault="00667C28" w:rsidP="00A74112">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C28" w:rsidRDefault="00667C28" w:rsidP="00EA0F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92E5E">
      <w:rPr>
        <w:rStyle w:val="PageNumber"/>
        <w:noProof/>
      </w:rPr>
      <w:t>10</w:t>
    </w:r>
    <w:r>
      <w:rPr>
        <w:rStyle w:val="PageNumber"/>
      </w:rPr>
      <w:fldChar w:fldCharType="end"/>
    </w:r>
  </w:p>
  <w:p w:rsidR="00667C28" w:rsidRDefault="00667C28" w:rsidP="00A74112">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2FD6" w:rsidRDefault="00202FD6">
      <w:r>
        <w:separator/>
      </w:r>
    </w:p>
  </w:footnote>
  <w:footnote w:type="continuationSeparator" w:id="0">
    <w:p w:rsidR="00202FD6" w:rsidRDefault="00202FD6">
      <w:r>
        <w:continuationSeparator/>
      </w:r>
    </w:p>
  </w:footnote>
  <w:footnote w:type="continuationNotice" w:id="1">
    <w:p w:rsidR="00202FD6" w:rsidRDefault="00202FD6"/>
  </w:footnote>
  <w:footnote w:id="2">
    <w:p w:rsidR="00667C28" w:rsidRPr="007D18FE" w:rsidRDefault="00667C28" w:rsidP="00E74802">
      <w:pPr>
        <w:pStyle w:val="FootnoteText"/>
        <w:jc w:val="both"/>
        <w:rPr>
          <w:sz w:val="18"/>
          <w:szCs w:val="18"/>
          <w:lang w:val="bg-BG"/>
        </w:rPr>
      </w:pPr>
      <w:r w:rsidRPr="007D18FE">
        <w:rPr>
          <w:rStyle w:val="FootnoteReference"/>
          <w:sz w:val="18"/>
          <w:szCs w:val="18"/>
        </w:rPr>
        <w:footnoteRef/>
      </w:r>
      <w:r w:rsidRPr="001953AC">
        <w:rPr>
          <w:sz w:val="18"/>
          <w:szCs w:val="18"/>
          <w:lang w:val="ru-RU"/>
        </w:rPr>
        <w:t xml:space="preserve"> </w:t>
      </w:r>
      <w:r w:rsidRPr="007D18FE">
        <w:rPr>
          <w:sz w:val="18"/>
          <w:szCs w:val="18"/>
          <w:lang w:val="bg-BG"/>
        </w:rPr>
        <w:t>Обхваща държавния бюджет и бюджетите на общините, социалноосигурителните фондове, ДВУ, БАН, БНР, БНТ, БТА, бюджетите по чл.1</w:t>
      </w:r>
      <w:r>
        <w:rPr>
          <w:sz w:val="18"/>
          <w:szCs w:val="18"/>
          <w:lang w:val="bg-BG"/>
        </w:rPr>
        <w:t>3</w:t>
      </w:r>
      <w:r w:rsidRPr="007D18FE">
        <w:rPr>
          <w:sz w:val="18"/>
          <w:szCs w:val="18"/>
          <w:lang w:val="bg-BG"/>
        </w:rPr>
        <w:t>, ал.4 от ЗПФ, както и сметките за средствата от ЕС и сметките за чужди средства на бюджетните организации. Данните за текущата година са на база месечни отчети, а тези за предходната година - на база тримесечни отчети на ПРБ.</w:t>
      </w:r>
    </w:p>
  </w:footnote>
  <w:footnote w:id="3">
    <w:p w:rsidR="00667C28" w:rsidRPr="007D18FE" w:rsidRDefault="00667C28" w:rsidP="001F66D5">
      <w:pPr>
        <w:pStyle w:val="FootnoteText"/>
        <w:jc w:val="both"/>
        <w:rPr>
          <w:sz w:val="18"/>
          <w:szCs w:val="18"/>
          <w:lang w:val="bg-BG"/>
        </w:rPr>
      </w:pPr>
      <w:r w:rsidRPr="007D18FE">
        <w:rPr>
          <w:rStyle w:val="FootnoteReference"/>
          <w:sz w:val="18"/>
          <w:szCs w:val="18"/>
        </w:rPr>
        <w:footnoteRef/>
      </w:r>
      <w:r w:rsidRPr="007D18FE">
        <w:rPr>
          <w:sz w:val="18"/>
          <w:szCs w:val="18"/>
          <w:lang w:val="bg-BG"/>
        </w:rPr>
        <w:t xml:space="preserve"> </w:t>
      </w:r>
      <w:r w:rsidRPr="00012BE6">
        <w:rPr>
          <w:sz w:val="18"/>
          <w:szCs w:val="18"/>
          <w:lang w:val="bg-BG"/>
        </w:rPr>
        <w:t>Поради извършено закръгление в млн. лв., някои сумарни позиции в таблицата  и в текста не се изчерпват от съставните им числа</w:t>
      </w:r>
      <w:r w:rsidRPr="007D18FE">
        <w:rPr>
          <w:sz w:val="18"/>
          <w:szCs w:val="18"/>
          <w:lang w:val="bg-BG"/>
        </w:rPr>
        <w:t>.</w:t>
      </w:r>
    </w:p>
  </w:footnote>
  <w:footnote w:id="4">
    <w:p w:rsidR="00667C28" w:rsidRPr="00D13ABE" w:rsidRDefault="00667C28" w:rsidP="001F66D5">
      <w:pPr>
        <w:pStyle w:val="FootnoteText"/>
        <w:rPr>
          <w:lang w:val="bg-BG"/>
        </w:rPr>
      </w:pPr>
      <w:r w:rsidRPr="004304BD">
        <w:rPr>
          <w:rStyle w:val="FootnoteReference"/>
        </w:rPr>
        <w:footnoteRef/>
      </w:r>
      <w:r w:rsidRPr="004304BD">
        <w:rPr>
          <w:lang w:val="bg-BG"/>
        </w:rPr>
        <w:t xml:space="preserve"> </w:t>
      </w:r>
      <w:r w:rsidRPr="00AF223B">
        <w:rPr>
          <w:sz w:val="18"/>
          <w:szCs w:val="18"/>
          <w:lang w:val="bg-BG"/>
        </w:rPr>
        <w:t>Разчети към ЗДБРБ за 2024 г. (oбн., ДВ., бр. 108 от 30.12.2023 г.)</w:t>
      </w:r>
    </w:p>
  </w:footnote>
  <w:footnote w:id="5">
    <w:p w:rsidR="00667C28" w:rsidRPr="00E74802" w:rsidRDefault="00667C28" w:rsidP="001F66D5">
      <w:pPr>
        <w:pStyle w:val="FootnoteText"/>
        <w:jc w:val="both"/>
        <w:rPr>
          <w:sz w:val="18"/>
          <w:szCs w:val="18"/>
          <w:lang w:val="bg-BG"/>
        </w:rPr>
      </w:pPr>
      <w:r w:rsidRPr="00E74802">
        <w:rPr>
          <w:rStyle w:val="FootnoteReference"/>
          <w:sz w:val="18"/>
          <w:szCs w:val="18"/>
          <w:lang w:val="bg-BG"/>
        </w:rPr>
        <w:footnoteRef/>
      </w:r>
      <w:r w:rsidRPr="00E74802">
        <w:rPr>
          <w:sz w:val="18"/>
          <w:szCs w:val="18"/>
          <w:lang w:val="bg-BG"/>
        </w:rPr>
        <w:t xml:space="preserve"> </w:t>
      </w:r>
      <w:r w:rsidRPr="004D0661">
        <w:rPr>
          <w:sz w:val="18"/>
          <w:szCs w:val="18"/>
          <w:lang w:val="bg-BG"/>
        </w:rPr>
        <w:t>Обхватът на показателя фискален резерв е в съответствие с §1, т. 41 от Допълнителните разпоредби на Закона за публичните финанси.</w:t>
      </w:r>
    </w:p>
  </w:footnote>
  <w:footnote w:id="6">
    <w:p w:rsidR="00667C28" w:rsidRPr="001F3E1D" w:rsidRDefault="00667C28" w:rsidP="001F66D5">
      <w:pPr>
        <w:pStyle w:val="FootnoteText"/>
        <w:rPr>
          <w:lang w:val="bg-BG"/>
        </w:rPr>
      </w:pPr>
      <w:r w:rsidRPr="001F3E1D">
        <w:rPr>
          <w:rStyle w:val="FootnoteReference"/>
          <w:lang w:val="bg-BG"/>
        </w:rPr>
        <w:footnoteRef/>
      </w:r>
      <w:r w:rsidRPr="001F3E1D">
        <w:rPr>
          <w:lang w:val="bg-BG"/>
        </w:rPr>
        <w:t xml:space="preserve"> </w:t>
      </w:r>
      <w:r w:rsidRPr="001F3E1D">
        <w:rPr>
          <w:sz w:val="18"/>
          <w:szCs w:val="16"/>
          <w:lang w:val="bg-BG"/>
        </w:rPr>
        <w:t>Държавният бюджет включва централен бюджет, бюджетите на НС, съдебната власт, министерствата и ведомствата.</w:t>
      </w:r>
    </w:p>
  </w:footnote>
  <w:footnote w:id="7">
    <w:p w:rsidR="00667C28" w:rsidRPr="001F3E1D" w:rsidRDefault="00667C28" w:rsidP="00A0410B">
      <w:pPr>
        <w:pStyle w:val="FootnoteText"/>
        <w:jc w:val="both"/>
        <w:rPr>
          <w:sz w:val="18"/>
          <w:szCs w:val="18"/>
          <w:lang w:val="bg-BG" w:eastAsia="bg-BG"/>
        </w:rPr>
      </w:pPr>
      <w:r w:rsidRPr="001F3E1D">
        <w:rPr>
          <w:rStyle w:val="FootnoteReference"/>
          <w:lang w:val="bg-BG"/>
        </w:rPr>
        <w:footnoteRef/>
      </w:r>
      <w:r w:rsidRPr="001F3E1D">
        <w:rPr>
          <w:sz w:val="18"/>
          <w:szCs w:val="18"/>
          <w:lang w:val="bg-BG"/>
        </w:rPr>
        <w:t xml:space="preserve"> Поради извършено закръгление в млн. лв., някои сумарни позиции в таблицата  и в текста не се изчерпват от съставните им числа.</w:t>
      </w:r>
    </w:p>
  </w:footnote>
  <w:footnote w:id="8">
    <w:p w:rsidR="00667C28" w:rsidRPr="001F3E1D" w:rsidRDefault="00667C28" w:rsidP="00A0410B">
      <w:pPr>
        <w:pStyle w:val="FootnoteText"/>
        <w:jc w:val="both"/>
        <w:rPr>
          <w:sz w:val="18"/>
          <w:szCs w:val="18"/>
          <w:lang w:val="bg-BG"/>
        </w:rPr>
      </w:pPr>
      <w:r w:rsidRPr="001F3E1D">
        <w:rPr>
          <w:rStyle w:val="FootnoteReference"/>
          <w:sz w:val="18"/>
          <w:szCs w:val="18"/>
          <w:lang w:val="bg-BG"/>
        </w:rPr>
        <w:footnoteRef/>
      </w:r>
      <w:r w:rsidRPr="001F3E1D">
        <w:rPr>
          <w:sz w:val="18"/>
          <w:szCs w:val="18"/>
          <w:lang w:val="bg-BG"/>
        </w:rPr>
        <w:t xml:space="preserve"> В позицията "Резерв за непредвидени и неотложни разходи" се посочват само данните по разчет. Разходите по отчет се отразяват по съответните разходни позиции, към които се отнасят извършените разходи.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27CD0"/>
    <w:multiLevelType w:val="hybridMultilevel"/>
    <w:tmpl w:val="472E0FDA"/>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09F7759B"/>
    <w:multiLevelType w:val="hybridMultilevel"/>
    <w:tmpl w:val="0B040A02"/>
    <w:lvl w:ilvl="0" w:tplc="0402000B">
      <w:start w:val="1"/>
      <w:numFmt w:val="bullet"/>
      <w:lvlText w:val=""/>
      <w:lvlJc w:val="left"/>
      <w:pPr>
        <w:ind w:left="1428" w:hanging="360"/>
      </w:pPr>
      <w:rPr>
        <w:rFonts w:ascii="Wingdings" w:hAnsi="Wingdings"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2" w15:restartNumberingAfterBreak="0">
    <w:nsid w:val="125740BA"/>
    <w:multiLevelType w:val="hybridMultilevel"/>
    <w:tmpl w:val="B9160DF6"/>
    <w:lvl w:ilvl="0" w:tplc="0402000B">
      <w:start w:val="1"/>
      <w:numFmt w:val="bullet"/>
      <w:lvlText w:val=""/>
      <w:lvlJc w:val="left"/>
      <w:pPr>
        <w:tabs>
          <w:tab w:val="num" w:pos="700"/>
        </w:tabs>
        <w:ind w:left="700" w:hanging="360"/>
      </w:pPr>
      <w:rPr>
        <w:rFonts w:ascii="Wingdings" w:hAnsi="Wingdings" w:hint="default"/>
      </w:rPr>
    </w:lvl>
    <w:lvl w:ilvl="1" w:tplc="C7466056">
      <w:start w:val="1"/>
      <w:numFmt w:val="bullet"/>
      <w:lvlText w:val=""/>
      <w:lvlJc w:val="left"/>
      <w:pPr>
        <w:tabs>
          <w:tab w:val="num" w:pos="1440"/>
        </w:tabs>
        <w:ind w:left="740" w:firstLine="34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105CA9"/>
    <w:multiLevelType w:val="hybridMultilevel"/>
    <w:tmpl w:val="2D5A56EE"/>
    <w:lvl w:ilvl="0" w:tplc="88C42E5E">
      <w:start w:val="1"/>
      <w:numFmt w:val="decimal"/>
      <w:pStyle w:val="ParagraphNumbering"/>
      <w:lvlText w:val="%1.     "/>
      <w:lvlJc w:val="left"/>
      <w:pPr>
        <w:tabs>
          <w:tab w:val="num" w:pos="1260"/>
        </w:tabs>
        <w:ind w:left="540" w:firstLine="0"/>
      </w:pPr>
      <w:rPr>
        <w:rFonts w:hint="default"/>
        <w:b/>
      </w:rPr>
    </w:lvl>
    <w:lvl w:ilvl="1" w:tplc="F6E687FE">
      <w:start w:val="1"/>
      <w:numFmt w:val="upperRoman"/>
      <w:lvlText w:val="%2."/>
      <w:lvlJc w:val="right"/>
      <w:pPr>
        <w:tabs>
          <w:tab w:val="num" w:pos="1260"/>
        </w:tabs>
        <w:ind w:left="1260" w:hanging="18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rPr>
        <w:b/>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7426959"/>
    <w:multiLevelType w:val="hybridMultilevel"/>
    <w:tmpl w:val="A8A8AC20"/>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1A933CFF"/>
    <w:multiLevelType w:val="multilevel"/>
    <w:tmpl w:val="7B7485D6"/>
    <w:lvl w:ilvl="0">
      <w:start w:val="5"/>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1C372835"/>
    <w:multiLevelType w:val="multilevel"/>
    <w:tmpl w:val="7B586E5A"/>
    <w:lvl w:ilvl="0">
      <w:start w:val="1"/>
      <w:numFmt w:val="bullet"/>
      <w:lvlText w:val=""/>
      <w:lvlJc w:val="left"/>
      <w:pPr>
        <w:tabs>
          <w:tab w:val="num" w:pos="532"/>
        </w:tabs>
        <w:ind w:left="532" w:hanging="390"/>
      </w:pPr>
      <w:rPr>
        <w:rFonts w:ascii="Wingdings" w:hAnsi="Wingding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222" w:hanging="720"/>
      </w:pPr>
      <w:rPr>
        <w:rFonts w:hint="default"/>
      </w:rPr>
    </w:lvl>
    <w:lvl w:ilvl="3">
      <w:start w:val="1"/>
      <w:numFmt w:val="decimal"/>
      <w:isLgl/>
      <w:lvlText w:val="%1.%2.%3.%4"/>
      <w:lvlJc w:val="left"/>
      <w:pPr>
        <w:ind w:left="1222" w:hanging="720"/>
      </w:pPr>
      <w:rPr>
        <w:rFonts w:hint="default"/>
      </w:rPr>
    </w:lvl>
    <w:lvl w:ilvl="4">
      <w:start w:val="1"/>
      <w:numFmt w:val="decimal"/>
      <w:isLgl/>
      <w:lvlText w:val="%1.%2.%3.%4.%5"/>
      <w:lvlJc w:val="left"/>
      <w:pPr>
        <w:ind w:left="1582" w:hanging="1080"/>
      </w:pPr>
      <w:rPr>
        <w:rFonts w:hint="default"/>
      </w:rPr>
    </w:lvl>
    <w:lvl w:ilvl="5">
      <w:start w:val="1"/>
      <w:numFmt w:val="decimal"/>
      <w:isLgl/>
      <w:lvlText w:val="%1.%2.%3.%4.%5.%6"/>
      <w:lvlJc w:val="left"/>
      <w:pPr>
        <w:ind w:left="1582"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1942" w:hanging="1440"/>
      </w:pPr>
      <w:rPr>
        <w:rFonts w:hint="default"/>
      </w:rPr>
    </w:lvl>
    <w:lvl w:ilvl="8">
      <w:start w:val="1"/>
      <w:numFmt w:val="decimal"/>
      <w:isLgl/>
      <w:lvlText w:val="%1.%2.%3.%4.%5.%6.%7.%8.%9"/>
      <w:lvlJc w:val="left"/>
      <w:pPr>
        <w:ind w:left="2302" w:hanging="1800"/>
      </w:pPr>
      <w:rPr>
        <w:rFonts w:hint="default"/>
      </w:rPr>
    </w:lvl>
  </w:abstractNum>
  <w:abstractNum w:abstractNumId="7" w15:restartNumberingAfterBreak="0">
    <w:nsid w:val="20EE040C"/>
    <w:multiLevelType w:val="hybridMultilevel"/>
    <w:tmpl w:val="DF5C7CEA"/>
    <w:lvl w:ilvl="0" w:tplc="04020005">
      <w:start w:val="1"/>
      <w:numFmt w:val="bullet"/>
      <w:lvlText w:val=""/>
      <w:lvlJc w:val="left"/>
      <w:pPr>
        <w:tabs>
          <w:tab w:val="num" w:pos="360"/>
        </w:tabs>
        <w:ind w:left="360" w:hanging="360"/>
      </w:pPr>
      <w:rPr>
        <w:rFonts w:ascii="Wingdings" w:hAnsi="Wingdings" w:hint="default"/>
        <w:color w:val="auto"/>
        <w:sz w:val="28"/>
        <w:u w:color="FFFFFF"/>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8D6CFF"/>
    <w:multiLevelType w:val="hybridMultilevel"/>
    <w:tmpl w:val="8E9EC7B0"/>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C6531B"/>
    <w:multiLevelType w:val="hybridMultilevel"/>
    <w:tmpl w:val="FB0CC328"/>
    <w:lvl w:ilvl="0" w:tplc="0409000D">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0" w15:restartNumberingAfterBreak="0">
    <w:nsid w:val="2A71765A"/>
    <w:multiLevelType w:val="hybridMultilevel"/>
    <w:tmpl w:val="E5B26848"/>
    <w:lvl w:ilvl="0" w:tplc="86DE8046">
      <w:numFmt w:val="bullet"/>
      <w:lvlText w:val="-"/>
      <w:lvlJc w:val="left"/>
      <w:pPr>
        <w:ind w:left="1068" w:hanging="360"/>
      </w:pPr>
      <w:rPr>
        <w:rFonts w:ascii="Times New Roman" w:eastAsia="Calibri"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1" w15:restartNumberingAfterBreak="0">
    <w:nsid w:val="2AC05351"/>
    <w:multiLevelType w:val="hybridMultilevel"/>
    <w:tmpl w:val="20A608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8B1941"/>
    <w:multiLevelType w:val="hybridMultilevel"/>
    <w:tmpl w:val="269A2F3C"/>
    <w:lvl w:ilvl="0" w:tplc="1AC8DDA4">
      <w:start w:val="1"/>
      <w:numFmt w:val="bullet"/>
      <w:lvlText w:val=""/>
      <w:lvlJc w:val="left"/>
      <w:pPr>
        <w:tabs>
          <w:tab w:val="num" w:pos="1440"/>
        </w:tabs>
        <w:ind w:left="740" w:firstLine="340"/>
      </w:pPr>
      <w:rPr>
        <w:rFonts w:ascii="Wingdings" w:hAnsi="Wingdings" w:hint="default"/>
        <w:sz w:val="24"/>
        <w:szCs w:val="24"/>
      </w:rPr>
    </w:lvl>
    <w:lvl w:ilvl="1" w:tplc="B8089F6A">
      <w:start w:val="1"/>
      <w:numFmt w:val="bullet"/>
      <w:lvlText w:val=""/>
      <w:lvlJc w:val="left"/>
      <w:pPr>
        <w:tabs>
          <w:tab w:val="num" w:pos="1437"/>
        </w:tabs>
        <w:ind w:left="1437" w:hanging="357"/>
      </w:pPr>
      <w:rPr>
        <w:rFonts w:ascii="Wingdings" w:hAnsi="Wingdings" w:hint="default"/>
        <w:color w:val="auto"/>
        <w:sz w:val="28"/>
        <w:szCs w:val="24"/>
        <w:u w:color="FFFFFF"/>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CB4556"/>
    <w:multiLevelType w:val="hybridMultilevel"/>
    <w:tmpl w:val="4CFCC9E0"/>
    <w:lvl w:ilvl="0" w:tplc="04020003">
      <w:start w:val="1"/>
      <w:numFmt w:val="bullet"/>
      <w:lvlText w:val="o"/>
      <w:lvlJc w:val="left"/>
      <w:pPr>
        <w:tabs>
          <w:tab w:val="num" w:pos="1346"/>
        </w:tabs>
        <w:ind w:left="984" w:firstLine="96"/>
      </w:pPr>
      <w:rPr>
        <w:rFonts w:ascii="Courier New" w:hAnsi="Courier New" w:cs="Courier New" w:hint="default"/>
        <w:color w:val="auto"/>
      </w:rPr>
    </w:lvl>
    <w:lvl w:ilvl="1" w:tplc="04020003" w:tentative="1">
      <w:start w:val="1"/>
      <w:numFmt w:val="bullet"/>
      <w:lvlText w:val="o"/>
      <w:lvlJc w:val="left"/>
      <w:pPr>
        <w:tabs>
          <w:tab w:val="num" w:pos="1383"/>
        </w:tabs>
        <w:ind w:left="1383" w:hanging="360"/>
      </w:pPr>
      <w:rPr>
        <w:rFonts w:ascii="Courier New" w:hAnsi="Courier New" w:cs="Courier New" w:hint="default"/>
      </w:rPr>
    </w:lvl>
    <w:lvl w:ilvl="2" w:tplc="04020005" w:tentative="1">
      <w:start w:val="1"/>
      <w:numFmt w:val="bullet"/>
      <w:lvlText w:val=""/>
      <w:lvlJc w:val="left"/>
      <w:pPr>
        <w:tabs>
          <w:tab w:val="num" w:pos="2103"/>
        </w:tabs>
        <w:ind w:left="2103" w:hanging="360"/>
      </w:pPr>
      <w:rPr>
        <w:rFonts w:ascii="Wingdings" w:hAnsi="Wingdings" w:hint="default"/>
      </w:rPr>
    </w:lvl>
    <w:lvl w:ilvl="3" w:tplc="04020001" w:tentative="1">
      <w:start w:val="1"/>
      <w:numFmt w:val="bullet"/>
      <w:lvlText w:val=""/>
      <w:lvlJc w:val="left"/>
      <w:pPr>
        <w:tabs>
          <w:tab w:val="num" w:pos="2823"/>
        </w:tabs>
        <w:ind w:left="2823" w:hanging="360"/>
      </w:pPr>
      <w:rPr>
        <w:rFonts w:ascii="Symbol" w:hAnsi="Symbol" w:hint="default"/>
      </w:rPr>
    </w:lvl>
    <w:lvl w:ilvl="4" w:tplc="04020003" w:tentative="1">
      <w:start w:val="1"/>
      <w:numFmt w:val="bullet"/>
      <w:lvlText w:val="o"/>
      <w:lvlJc w:val="left"/>
      <w:pPr>
        <w:tabs>
          <w:tab w:val="num" w:pos="3543"/>
        </w:tabs>
        <w:ind w:left="3543" w:hanging="360"/>
      </w:pPr>
      <w:rPr>
        <w:rFonts w:ascii="Courier New" w:hAnsi="Courier New" w:cs="Courier New" w:hint="default"/>
      </w:rPr>
    </w:lvl>
    <w:lvl w:ilvl="5" w:tplc="04020005" w:tentative="1">
      <w:start w:val="1"/>
      <w:numFmt w:val="bullet"/>
      <w:lvlText w:val=""/>
      <w:lvlJc w:val="left"/>
      <w:pPr>
        <w:tabs>
          <w:tab w:val="num" w:pos="4263"/>
        </w:tabs>
        <w:ind w:left="4263" w:hanging="360"/>
      </w:pPr>
      <w:rPr>
        <w:rFonts w:ascii="Wingdings" w:hAnsi="Wingdings" w:hint="default"/>
      </w:rPr>
    </w:lvl>
    <w:lvl w:ilvl="6" w:tplc="04020001" w:tentative="1">
      <w:start w:val="1"/>
      <w:numFmt w:val="bullet"/>
      <w:lvlText w:val=""/>
      <w:lvlJc w:val="left"/>
      <w:pPr>
        <w:tabs>
          <w:tab w:val="num" w:pos="4983"/>
        </w:tabs>
        <w:ind w:left="4983" w:hanging="360"/>
      </w:pPr>
      <w:rPr>
        <w:rFonts w:ascii="Symbol" w:hAnsi="Symbol" w:hint="default"/>
      </w:rPr>
    </w:lvl>
    <w:lvl w:ilvl="7" w:tplc="04020003" w:tentative="1">
      <w:start w:val="1"/>
      <w:numFmt w:val="bullet"/>
      <w:lvlText w:val="o"/>
      <w:lvlJc w:val="left"/>
      <w:pPr>
        <w:tabs>
          <w:tab w:val="num" w:pos="5703"/>
        </w:tabs>
        <w:ind w:left="5703" w:hanging="360"/>
      </w:pPr>
      <w:rPr>
        <w:rFonts w:ascii="Courier New" w:hAnsi="Courier New" w:cs="Courier New" w:hint="default"/>
      </w:rPr>
    </w:lvl>
    <w:lvl w:ilvl="8" w:tplc="04020005" w:tentative="1">
      <w:start w:val="1"/>
      <w:numFmt w:val="bullet"/>
      <w:lvlText w:val=""/>
      <w:lvlJc w:val="left"/>
      <w:pPr>
        <w:tabs>
          <w:tab w:val="num" w:pos="6423"/>
        </w:tabs>
        <w:ind w:left="6423" w:hanging="360"/>
      </w:pPr>
      <w:rPr>
        <w:rFonts w:ascii="Wingdings" w:hAnsi="Wingdings" w:hint="default"/>
      </w:rPr>
    </w:lvl>
  </w:abstractNum>
  <w:abstractNum w:abstractNumId="14" w15:restartNumberingAfterBreak="0">
    <w:nsid w:val="489254F4"/>
    <w:multiLevelType w:val="hybridMultilevel"/>
    <w:tmpl w:val="A78E9870"/>
    <w:lvl w:ilvl="0" w:tplc="0409000B">
      <w:start w:val="1"/>
      <w:numFmt w:val="bullet"/>
      <w:lvlText w:val=""/>
      <w:lvlJc w:val="left"/>
      <w:pPr>
        <w:tabs>
          <w:tab w:val="num" w:pos="360"/>
        </w:tabs>
        <w:ind w:left="360" w:hanging="360"/>
      </w:pPr>
      <w:rPr>
        <w:rFonts w:ascii="Wingdings" w:hAnsi="Wingdings" w:hint="default"/>
      </w:rPr>
    </w:lvl>
    <w:lvl w:ilvl="1" w:tplc="8DDE1D3E">
      <w:start w:val="1"/>
      <w:numFmt w:val="bullet"/>
      <w:lvlText w:val=""/>
      <w:lvlJc w:val="left"/>
      <w:pPr>
        <w:tabs>
          <w:tab w:val="num" w:pos="1383"/>
        </w:tabs>
        <w:ind w:left="683" w:firstLine="340"/>
      </w:pPr>
      <w:rPr>
        <w:rFonts w:ascii="Wingdings" w:hAnsi="Wingdings" w:hint="default"/>
      </w:rPr>
    </w:lvl>
    <w:lvl w:ilvl="2" w:tplc="04090005" w:tentative="1">
      <w:start w:val="1"/>
      <w:numFmt w:val="bullet"/>
      <w:lvlText w:val=""/>
      <w:lvlJc w:val="left"/>
      <w:pPr>
        <w:tabs>
          <w:tab w:val="num" w:pos="2103"/>
        </w:tabs>
        <w:ind w:left="2103" w:hanging="360"/>
      </w:pPr>
      <w:rPr>
        <w:rFonts w:ascii="Wingdings" w:hAnsi="Wingdings" w:hint="default"/>
      </w:rPr>
    </w:lvl>
    <w:lvl w:ilvl="3" w:tplc="04090001" w:tentative="1">
      <w:start w:val="1"/>
      <w:numFmt w:val="bullet"/>
      <w:lvlText w:val=""/>
      <w:lvlJc w:val="left"/>
      <w:pPr>
        <w:tabs>
          <w:tab w:val="num" w:pos="2823"/>
        </w:tabs>
        <w:ind w:left="2823" w:hanging="360"/>
      </w:pPr>
      <w:rPr>
        <w:rFonts w:ascii="Symbol" w:hAnsi="Symbol" w:hint="default"/>
      </w:rPr>
    </w:lvl>
    <w:lvl w:ilvl="4" w:tplc="04090003" w:tentative="1">
      <w:start w:val="1"/>
      <w:numFmt w:val="bullet"/>
      <w:lvlText w:val="o"/>
      <w:lvlJc w:val="left"/>
      <w:pPr>
        <w:tabs>
          <w:tab w:val="num" w:pos="3543"/>
        </w:tabs>
        <w:ind w:left="3543" w:hanging="360"/>
      </w:pPr>
      <w:rPr>
        <w:rFonts w:ascii="Courier New" w:hAnsi="Courier New" w:hint="default"/>
      </w:rPr>
    </w:lvl>
    <w:lvl w:ilvl="5" w:tplc="04090005" w:tentative="1">
      <w:start w:val="1"/>
      <w:numFmt w:val="bullet"/>
      <w:lvlText w:val=""/>
      <w:lvlJc w:val="left"/>
      <w:pPr>
        <w:tabs>
          <w:tab w:val="num" w:pos="4263"/>
        </w:tabs>
        <w:ind w:left="4263" w:hanging="360"/>
      </w:pPr>
      <w:rPr>
        <w:rFonts w:ascii="Wingdings" w:hAnsi="Wingdings" w:hint="default"/>
      </w:rPr>
    </w:lvl>
    <w:lvl w:ilvl="6" w:tplc="04090001" w:tentative="1">
      <w:start w:val="1"/>
      <w:numFmt w:val="bullet"/>
      <w:lvlText w:val=""/>
      <w:lvlJc w:val="left"/>
      <w:pPr>
        <w:tabs>
          <w:tab w:val="num" w:pos="4983"/>
        </w:tabs>
        <w:ind w:left="4983" w:hanging="360"/>
      </w:pPr>
      <w:rPr>
        <w:rFonts w:ascii="Symbol" w:hAnsi="Symbol" w:hint="default"/>
      </w:rPr>
    </w:lvl>
    <w:lvl w:ilvl="7" w:tplc="04090003" w:tentative="1">
      <w:start w:val="1"/>
      <w:numFmt w:val="bullet"/>
      <w:lvlText w:val="o"/>
      <w:lvlJc w:val="left"/>
      <w:pPr>
        <w:tabs>
          <w:tab w:val="num" w:pos="5703"/>
        </w:tabs>
        <w:ind w:left="5703" w:hanging="360"/>
      </w:pPr>
      <w:rPr>
        <w:rFonts w:ascii="Courier New" w:hAnsi="Courier New" w:hint="default"/>
      </w:rPr>
    </w:lvl>
    <w:lvl w:ilvl="8" w:tplc="04090005" w:tentative="1">
      <w:start w:val="1"/>
      <w:numFmt w:val="bullet"/>
      <w:lvlText w:val=""/>
      <w:lvlJc w:val="left"/>
      <w:pPr>
        <w:tabs>
          <w:tab w:val="num" w:pos="6423"/>
        </w:tabs>
        <w:ind w:left="6423" w:hanging="360"/>
      </w:pPr>
      <w:rPr>
        <w:rFonts w:ascii="Wingdings" w:hAnsi="Wingdings" w:hint="default"/>
      </w:rPr>
    </w:lvl>
  </w:abstractNum>
  <w:abstractNum w:abstractNumId="15" w15:restartNumberingAfterBreak="0">
    <w:nsid w:val="4A5F564A"/>
    <w:multiLevelType w:val="hybridMultilevel"/>
    <w:tmpl w:val="19C03E34"/>
    <w:lvl w:ilvl="0" w:tplc="B8089F6A">
      <w:start w:val="1"/>
      <w:numFmt w:val="bullet"/>
      <w:lvlText w:val=""/>
      <w:lvlJc w:val="left"/>
      <w:pPr>
        <w:tabs>
          <w:tab w:val="num" w:pos="6878"/>
        </w:tabs>
        <w:ind w:left="6878" w:hanging="357"/>
      </w:pPr>
      <w:rPr>
        <w:rFonts w:ascii="Wingdings" w:hAnsi="Wingdings" w:hint="default"/>
        <w:color w:val="auto"/>
        <w:sz w:val="28"/>
        <w:u w:color="FFFFFF"/>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B1C3D5E"/>
    <w:multiLevelType w:val="hybridMultilevel"/>
    <w:tmpl w:val="05085AC2"/>
    <w:lvl w:ilvl="0" w:tplc="EDA44120">
      <w:start w:val="1"/>
      <w:numFmt w:val="bullet"/>
      <w:lvlText w:val="-"/>
      <w:lvlJc w:val="left"/>
      <w:pPr>
        <w:tabs>
          <w:tab w:val="num" w:pos="700"/>
        </w:tabs>
        <w:ind w:left="700" w:hanging="360"/>
      </w:pPr>
      <w:rPr>
        <w:rFonts w:ascii="Mangal" w:hAnsi="Mangal" w:hint="default"/>
      </w:rPr>
    </w:lvl>
    <w:lvl w:ilvl="1" w:tplc="C7466056">
      <w:start w:val="1"/>
      <w:numFmt w:val="bullet"/>
      <w:lvlText w:val=""/>
      <w:lvlJc w:val="left"/>
      <w:pPr>
        <w:tabs>
          <w:tab w:val="num" w:pos="1440"/>
        </w:tabs>
        <w:ind w:left="740" w:firstLine="34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EB1EBB"/>
    <w:multiLevelType w:val="hybridMultilevel"/>
    <w:tmpl w:val="A7840AB6"/>
    <w:lvl w:ilvl="0" w:tplc="531CAAA0">
      <w:start w:val="1"/>
      <w:numFmt w:val="bullet"/>
      <w:lvlText w:val=""/>
      <w:lvlJc w:val="left"/>
      <w:pPr>
        <w:tabs>
          <w:tab w:val="num" w:pos="540"/>
        </w:tabs>
        <w:ind w:left="540" w:hanging="360"/>
      </w:pPr>
      <w:rPr>
        <w:rFonts w:ascii="Wingdings" w:hAnsi="Wingdings" w:hint="default"/>
        <w:color w:val="auto"/>
      </w:rPr>
    </w:lvl>
    <w:lvl w:ilvl="1" w:tplc="60389F10">
      <w:start w:val="1"/>
      <w:numFmt w:val="bullet"/>
      <w:lvlText w:val=""/>
      <w:lvlJc w:val="left"/>
      <w:pPr>
        <w:tabs>
          <w:tab w:val="num" w:pos="1440"/>
        </w:tabs>
        <w:ind w:left="1440" w:hanging="360"/>
      </w:pPr>
      <w:rPr>
        <w:rFonts w:ascii="Wingdings" w:hAnsi="Wingding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A41434"/>
    <w:multiLevelType w:val="hybridMultilevel"/>
    <w:tmpl w:val="D4069CA2"/>
    <w:lvl w:ilvl="0" w:tplc="AB6E2D68">
      <w:start w:val="1"/>
      <w:numFmt w:val="bullet"/>
      <w:lvlText w:val=""/>
      <w:lvlJc w:val="left"/>
      <w:pPr>
        <w:tabs>
          <w:tab w:val="num" w:pos="7650"/>
        </w:tabs>
        <w:ind w:left="7650" w:hanging="360"/>
      </w:pPr>
      <w:rPr>
        <w:rFonts w:ascii="Wingdings" w:hAnsi="Wingdings" w:hint="default"/>
        <w:color w:val="auto"/>
        <w:sz w:val="24"/>
        <w:szCs w:val="24"/>
      </w:rPr>
    </w:lvl>
    <w:lvl w:ilvl="1" w:tplc="7DDCFFB6">
      <w:start w:val="1"/>
      <w:numFmt w:val="bullet"/>
      <w:lvlText w:val=""/>
      <w:lvlJc w:val="left"/>
      <w:pPr>
        <w:tabs>
          <w:tab w:val="num" w:pos="1440"/>
        </w:tabs>
        <w:ind w:left="1440" w:hanging="360"/>
      </w:pPr>
      <w:rPr>
        <w:rFonts w:ascii="Wingdings" w:hAnsi="Wingdings" w:hint="default"/>
        <w:color w:val="auto"/>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D92F24"/>
    <w:multiLevelType w:val="hybridMultilevel"/>
    <w:tmpl w:val="C3E23384"/>
    <w:lvl w:ilvl="0" w:tplc="0402000D">
      <w:start w:val="1"/>
      <w:numFmt w:val="bullet"/>
      <w:lvlText w:val=""/>
      <w:lvlJc w:val="left"/>
      <w:pPr>
        <w:ind w:left="2250" w:hanging="360"/>
      </w:pPr>
      <w:rPr>
        <w:rFonts w:ascii="Wingdings" w:hAnsi="Wingdings" w:hint="default"/>
      </w:rPr>
    </w:lvl>
    <w:lvl w:ilvl="1" w:tplc="04020003" w:tentative="1">
      <w:start w:val="1"/>
      <w:numFmt w:val="bullet"/>
      <w:lvlText w:val="o"/>
      <w:lvlJc w:val="left"/>
      <w:pPr>
        <w:ind w:left="2040" w:hanging="360"/>
      </w:pPr>
      <w:rPr>
        <w:rFonts w:ascii="Courier New" w:hAnsi="Courier New" w:cs="Courier New" w:hint="default"/>
      </w:rPr>
    </w:lvl>
    <w:lvl w:ilvl="2" w:tplc="04020005" w:tentative="1">
      <w:start w:val="1"/>
      <w:numFmt w:val="bullet"/>
      <w:lvlText w:val=""/>
      <w:lvlJc w:val="left"/>
      <w:pPr>
        <w:ind w:left="2760" w:hanging="360"/>
      </w:pPr>
      <w:rPr>
        <w:rFonts w:ascii="Wingdings" w:hAnsi="Wingdings" w:hint="default"/>
      </w:rPr>
    </w:lvl>
    <w:lvl w:ilvl="3" w:tplc="04020001" w:tentative="1">
      <w:start w:val="1"/>
      <w:numFmt w:val="bullet"/>
      <w:lvlText w:val=""/>
      <w:lvlJc w:val="left"/>
      <w:pPr>
        <w:ind w:left="3480" w:hanging="360"/>
      </w:pPr>
      <w:rPr>
        <w:rFonts w:ascii="Symbol" w:hAnsi="Symbol" w:hint="default"/>
      </w:rPr>
    </w:lvl>
    <w:lvl w:ilvl="4" w:tplc="04020003" w:tentative="1">
      <w:start w:val="1"/>
      <w:numFmt w:val="bullet"/>
      <w:lvlText w:val="o"/>
      <w:lvlJc w:val="left"/>
      <w:pPr>
        <w:ind w:left="4200" w:hanging="360"/>
      </w:pPr>
      <w:rPr>
        <w:rFonts w:ascii="Courier New" w:hAnsi="Courier New" w:cs="Courier New" w:hint="default"/>
      </w:rPr>
    </w:lvl>
    <w:lvl w:ilvl="5" w:tplc="04020005" w:tentative="1">
      <w:start w:val="1"/>
      <w:numFmt w:val="bullet"/>
      <w:lvlText w:val=""/>
      <w:lvlJc w:val="left"/>
      <w:pPr>
        <w:ind w:left="4920" w:hanging="360"/>
      </w:pPr>
      <w:rPr>
        <w:rFonts w:ascii="Wingdings" w:hAnsi="Wingdings" w:hint="default"/>
      </w:rPr>
    </w:lvl>
    <w:lvl w:ilvl="6" w:tplc="04020001" w:tentative="1">
      <w:start w:val="1"/>
      <w:numFmt w:val="bullet"/>
      <w:lvlText w:val=""/>
      <w:lvlJc w:val="left"/>
      <w:pPr>
        <w:ind w:left="5640" w:hanging="360"/>
      </w:pPr>
      <w:rPr>
        <w:rFonts w:ascii="Symbol" w:hAnsi="Symbol" w:hint="default"/>
      </w:rPr>
    </w:lvl>
    <w:lvl w:ilvl="7" w:tplc="04020003" w:tentative="1">
      <w:start w:val="1"/>
      <w:numFmt w:val="bullet"/>
      <w:lvlText w:val="o"/>
      <w:lvlJc w:val="left"/>
      <w:pPr>
        <w:ind w:left="6360" w:hanging="360"/>
      </w:pPr>
      <w:rPr>
        <w:rFonts w:ascii="Courier New" w:hAnsi="Courier New" w:cs="Courier New" w:hint="default"/>
      </w:rPr>
    </w:lvl>
    <w:lvl w:ilvl="8" w:tplc="04020005" w:tentative="1">
      <w:start w:val="1"/>
      <w:numFmt w:val="bullet"/>
      <w:lvlText w:val=""/>
      <w:lvlJc w:val="left"/>
      <w:pPr>
        <w:ind w:left="7080" w:hanging="360"/>
      </w:pPr>
      <w:rPr>
        <w:rFonts w:ascii="Wingdings" w:hAnsi="Wingdings" w:hint="default"/>
      </w:rPr>
    </w:lvl>
  </w:abstractNum>
  <w:abstractNum w:abstractNumId="20" w15:restartNumberingAfterBreak="0">
    <w:nsid w:val="568744DC"/>
    <w:multiLevelType w:val="hybridMultilevel"/>
    <w:tmpl w:val="DB1EB16A"/>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15:restartNumberingAfterBreak="0">
    <w:nsid w:val="582E15B7"/>
    <w:multiLevelType w:val="hybridMultilevel"/>
    <w:tmpl w:val="B862F89C"/>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22" w15:restartNumberingAfterBreak="0">
    <w:nsid w:val="5D281E97"/>
    <w:multiLevelType w:val="hybridMultilevel"/>
    <w:tmpl w:val="8F2C1B6C"/>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15:restartNumberingAfterBreak="0">
    <w:nsid w:val="626330E2"/>
    <w:multiLevelType w:val="hybridMultilevel"/>
    <w:tmpl w:val="E5B0526C"/>
    <w:lvl w:ilvl="0" w:tplc="D2D4853C">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15:restartNumberingAfterBreak="0">
    <w:nsid w:val="637F5E06"/>
    <w:multiLevelType w:val="hybridMultilevel"/>
    <w:tmpl w:val="18803A0C"/>
    <w:lvl w:ilvl="0" w:tplc="F934C166">
      <w:numFmt w:val="bullet"/>
      <w:lvlText w:val="-"/>
      <w:lvlJc w:val="left"/>
      <w:pPr>
        <w:ind w:left="898" w:hanging="360"/>
      </w:pPr>
      <w:rPr>
        <w:rFonts w:ascii="Times New Roman" w:eastAsia="Times New Roman" w:hAnsi="Times New Roman" w:cs="Times New Roman" w:hint="default"/>
      </w:rPr>
    </w:lvl>
    <w:lvl w:ilvl="1" w:tplc="04020003" w:tentative="1">
      <w:start w:val="1"/>
      <w:numFmt w:val="bullet"/>
      <w:lvlText w:val="o"/>
      <w:lvlJc w:val="left"/>
      <w:pPr>
        <w:ind w:left="1618" w:hanging="360"/>
      </w:pPr>
      <w:rPr>
        <w:rFonts w:ascii="Courier New" w:hAnsi="Courier New" w:cs="Courier New" w:hint="default"/>
      </w:rPr>
    </w:lvl>
    <w:lvl w:ilvl="2" w:tplc="04020005" w:tentative="1">
      <w:start w:val="1"/>
      <w:numFmt w:val="bullet"/>
      <w:lvlText w:val=""/>
      <w:lvlJc w:val="left"/>
      <w:pPr>
        <w:ind w:left="2338" w:hanging="360"/>
      </w:pPr>
      <w:rPr>
        <w:rFonts w:ascii="Wingdings" w:hAnsi="Wingdings" w:hint="default"/>
      </w:rPr>
    </w:lvl>
    <w:lvl w:ilvl="3" w:tplc="04020001" w:tentative="1">
      <w:start w:val="1"/>
      <w:numFmt w:val="bullet"/>
      <w:lvlText w:val=""/>
      <w:lvlJc w:val="left"/>
      <w:pPr>
        <w:ind w:left="3058" w:hanging="360"/>
      </w:pPr>
      <w:rPr>
        <w:rFonts w:ascii="Symbol" w:hAnsi="Symbol" w:hint="default"/>
      </w:rPr>
    </w:lvl>
    <w:lvl w:ilvl="4" w:tplc="04020003" w:tentative="1">
      <w:start w:val="1"/>
      <w:numFmt w:val="bullet"/>
      <w:lvlText w:val="o"/>
      <w:lvlJc w:val="left"/>
      <w:pPr>
        <w:ind w:left="3778" w:hanging="360"/>
      </w:pPr>
      <w:rPr>
        <w:rFonts w:ascii="Courier New" w:hAnsi="Courier New" w:cs="Courier New" w:hint="default"/>
      </w:rPr>
    </w:lvl>
    <w:lvl w:ilvl="5" w:tplc="04020005" w:tentative="1">
      <w:start w:val="1"/>
      <w:numFmt w:val="bullet"/>
      <w:lvlText w:val=""/>
      <w:lvlJc w:val="left"/>
      <w:pPr>
        <w:ind w:left="4498" w:hanging="360"/>
      </w:pPr>
      <w:rPr>
        <w:rFonts w:ascii="Wingdings" w:hAnsi="Wingdings" w:hint="default"/>
      </w:rPr>
    </w:lvl>
    <w:lvl w:ilvl="6" w:tplc="04020001" w:tentative="1">
      <w:start w:val="1"/>
      <w:numFmt w:val="bullet"/>
      <w:lvlText w:val=""/>
      <w:lvlJc w:val="left"/>
      <w:pPr>
        <w:ind w:left="5218" w:hanging="360"/>
      </w:pPr>
      <w:rPr>
        <w:rFonts w:ascii="Symbol" w:hAnsi="Symbol" w:hint="default"/>
      </w:rPr>
    </w:lvl>
    <w:lvl w:ilvl="7" w:tplc="04020003" w:tentative="1">
      <w:start w:val="1"/>
      <w:numFmt w:val="bullet"/>
      <w:lvlText w:val="o"/>
      <w:lvlJc w:val="left"/>
      <w:pPr>
        <w:ind w:left="5938" w:hanging="360"/>
      </w:pPr>
      <w:rPr>
        <w:rFonts w:ascii="Courier New" w:hAnsi="Courier New" w:cs="Courier New" w:hint="default"/>
      </w:rPr>
    </w:lvl>
    <w:lvl w:ilvl="8" w:tplc="04020005" w:tentative="1">
      <w:start w:val="1"/>
      <w:numFmt w:val="bullet"/>
      <w:lvlText w:val=""/>
      <w:lvlJc w:val="left"/>
      <w:pPr>
        <w:ind w:left="6658" w:hanging="360"/>
      </w:pPr>
      <w:rPr>
        <w:rFonts w:ascii="Wingdings" w:hAnsi="Wingdings" w:hint="default"/>
      </w:rPr>
    </w:lvl>
  </w:abstractNum>
  <w:abstractNum w:abstractNumId="25" w15:restartNumberingAfterBreak="0">
    <w:nsid w:val="643A5E75"/>
    <w:multiLevelType w:val="hybridMultilevel"/>
    <w:tmpl w:val="B314ADC8"/>
    <w:lvl w:ilvl="0" w:tplc="04020001">
      <w:start w:val="1"/>
      <w:numFmt w:val="bullet"/>
      <w:lvlText w:val=""/>
      <w:lvlJc w:val="left"/>
      <w:pPr>
        <w:tabs>
          <w:tab w:val="num" w:pos="1101"/>
        </w:tabs>
        <w:ind w:left="1101" w:hanging="360"/>
      </w:pPr>
      <w:rPr>
        <w:rFonts w:ascii="Symbol" w:hAnsi="Symbol" w:hint="default"/>
      </w:rPr>
    </w:lvl>
    <w:lvl w:ilvl="1" w:tplc="04020003">
      <w:start w:val="1"/>
      <w:numFmt w:val="bullet"/>
      <w:lvlText w:val="o"/>
      <w:lvlJc w:val="left"/>
      <w:pPr>
        <w:tabs>
          <w:tab w:val="num" w:pos="1821"/>
        </w:tabs>
        <w:ind w:left="1821" w:hanging="360"/>
      </w:pPr>
      <w:rPr>
        <w:rFonts w:ascii="Courier New" w:hAnsi="Courier New" w:cs="Courier New" w:hint="default"/>
      </w:rPr>
    </w:lvl>
    <w:lvl w:ilvl="2" w:tplc="04020005" w:tentative="1">
      <w:start w:val="1"/>
      <w:numFmt w:val="bullet"/>
      <w:lvlText w:val=""/>
      <w:lvlJc w:val="left"/>
      <w:pPr>
        <w:tabs>
          <w:tab w:val="num" w:pos="2541"/>
        </w:tabs>
        <w:ind w:left="2541" w:hanging="360"/>
      </w:pPr>
      <w:rPr>
        <w:rFonts w:ascii="Wingdings" w:hAnsi="Wingdings" w:hint="default"/>
      </w:rPr>
    </w:lvl>
    <w:lvl w:ilvl="3" w:tplc="04020001" w:tentative="1">
      <w:start w:val="1"/>
      <w:numFmt w:val="bullet"/>
      <w:lvlText w:val=""/>
      <w:lvlJc w:val="left"/>
      <w:pPr>
        <w:tabs>
          <w:tab w:val="num" w:pos="3261"/>
        </w:tabs>
        <w:ind w:left="3261" w:hanging="360"/>
      </w:pPr>
      <w:rPr>
        <w:rFonts w:ascii="Symbol" w:hAnsi="Symbol" w:hint="default"/>
      </w:rPr>
    </w:lvl>
    <w:lvl w:ilvl="4" w:tplc="04020003" w:tentative="1">
      <w:start w:val="1"/>
      <w:numFmt w:val="bullet"/>
      <w:lvlText w:val="o"/>
      <w:lvlJc w:val="left"/>
      <w:pPr>
        <w:tabs>
          <w:tab w:val="num" w:pos="3981"/>
        </w:tabs>
        <w:ind w:left="3981" w:hanging="360"/>
      </w:pPr>
      <w:rPr>
        <w:rFonts w:ascii="Courier New" w:hAnsi="Courier New" w:cs="Courier New" w:hint="default"/>
      </w:rPr>
    </w:lvl>
    <w:lvl w:ilvl="5" w:tplc="04020005" w:tentative="1">
      <w:start w:val="1"/>
      <w:numFmt w:val="bullet"/>
      <w:lvlText w:val=""/>
      <w:lvlJc w:val="left"/>
      <w:pPr>
        <w:tabs>
          <w:tab w:val="num" w:pos="4701"/>
        </w:tabs>
        <w:ind w:left="4701" w:hanging="360"/>
      </w:pPr>
      <w:rPr>
        <w:rFonts w:ascii="Wingdings" w:hAnsi="Wingdings" w:hint="default"/>
      </w:rPr>
    </w:lvl>
    <w:lvl w:ilvl="6" w:tplc="04020001" w:tentative="1">
      <w:start w:val="1"/>
      <w:numFmt w:val="bullet"/>
      <w:lvlText w:val=""/>
      <w:lvlJc w:val="left"/>
      <w:pPr>
        <w:tabs>
          <w:tab w:val="num" w:pos="5421"/>
        </w:tabs>
        <w:ind w:left="5421" w:hanging="360"/>
      </w:pPr>
      <w:rPr>
        <w:rFonts w:ascii="Symbol" w:hAnsi="Symbol" w:hint="default"/>
      </w:rPr>
    </w:lvl>
    <w:lvl w:ilvl="7" w:tplc="04020003" w:tentative="1">
      <w:start w:val="1"/>
      <w:numFmt w:val="bullet"/>
      <w:lvlText w:val="o"/>
      <w:lvlJc w:val="left"/>
      <w:pPr>
        <w:tabs>
          <w:tab w:val="num" w:pos="6141"/>
        </w:tabs>
        <w:ind w:left="6141" w:hanging="360"/>
      </w:pPr>
      <w:rPr>
        <w:rFonts w:ascii="Courier New" w:hAnsi="Courier New" w:cs="Courier New" w:hint="default"/>
      </w:rPr>
    </w:lvl>
    <w:lvl w:ilvl="8" w:tplc="04020005" w:tentative="1">
      <w:start w:val="1"/>
      <w:numFmt w:val="bullet"/>
      <w:lvlText w:val=""/>
      <w:lvlJc w:val="left"/>
      <w:pPr>
        <w:tabs>
          <w:tab w:val="num" w:pos="6861"/>
        </w:tabs>
        <w:ind w:left="6861" w:hanging="360"/>
      </w:pPr>
      <w:rPr>
        <w:rFonts w:ascii="Wingdings" w:hAnsi="Wingdings" w:hint="default"/>
      </w:rPr>
    </w:lvl>
  </w:abstractNum>
  <w:abstractNum w:abstractNumId="26" w15:restartNumberingAfterBreak="0">
    <w:nsid w:val="65CD370F"/>
    <w:multiLevelType w:val="hybridMultilevel"/>
    <w:tmpl w:val="F0D23F02"/>
    <w:lvl w:ilvl="0" w:tplc="708AF0F2">
      <w:start w:val="1"/>
      <w:numFmt w:val="bullet"/>
      <w:lvlText w:val=""/>
      <w:lvlJc w:val="left"/>
      <w:pPr>
        <w:tabs>
          <w:tab w:val="num" w:pos="700"/>
        </w:tabs>
        <w:ind w:left="700" w:hanging="360"/>
      </w:pPr>
      <w:rPr>
        <w:rFonts w:ascii="Symbol" w:hAnsi="Symbol" w:hint="default"/>
      </w:rPr>
    </w:lvl>
    <w:lvl w:ilvl="1" w:tplc="C7466056">
      <w:start w:val="1"/>
      <w:numFmt w:val="bullet"/>
      <w:lvlText w:val=""/>
      <w:lvlJc w:val="left"/>
      <w:pPr>
        <w:tabs>
          <w:tab w:val="num" w:pos="1440"/>
        </w:tabs>
        <w:ind w:left="740" w:firstLine="34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79E6BBC"/>
    <w:multiLevelType w:val="hybridMultilevel"/>
    <w:tmpl w:val="A3186A2C"/>
    <w:lvl w:ilvl="0" w:tplc="3B28C328">
      <w:start w:val="1"/>
      <w:numFmt w:val="bullet"/>
      <w:lvlText w:val="♦"/>
      <w:lvlJc w:val="left"/>
      <w:pPr>
        <w:tabs>
          <w:tab w:val="num" w:pos="2880"/>
        </w:tabs>
        <w:ind w:left="2880" w:hanging="360"/>
      </w:pPr>
      <w:rPr>
        <w:rFonts w:ascii="Courier New" w:hAnsi="Courier New" w:hint="default"/>
        <w:sz w:val="24"/>
        <w:szCs w:val="24"/>
      </w:rPr>
    </w:lvl>
    <w:lvl w:ilvl="1" w:tplc="8D0EC7F8">
      <w:start w:val="1"/>
      <w:numFmt w:val="bullet"/>
      <w:lvlText w:val=""/>
      <w:lvlJc w:val="left"/>
      <w:pPr>
        <w:tabs>
          <w:tab w:val="num" w:pos="2160"/>
        </w:tabs>
        <w:ind w:left="2160" w:hanging="360"/>
      </w:pPr>
      <w:rPr>
        <w:rFonts w:ascii="Wingdings" w:hAnsi="Wingdings" w:hint="default"/>
        <w:color w:val="auto"/>
        <w:sz w:val="24"/>
        <w:szCs w:val="24"/>
      </w:rPr>
    </w:lvl>
    <w:lvl w:ilvl="2" w:tplc="04020005" w:tentative="1">
      <w:start w:val="1"/>
      <w:numFmt w:val="bullet"/>
      <w:lvlText w:val=""/>
      <w:lvlJc w:val="left"/>
      <w:pPr>
        <w:tabs>
          <w:tab w:val="num" w:pos="2880"/>
        </w:tabs>
        <w:ind w:left="2880" w:hanging="360"/>
      </w:pPr>
      <w:rPr>
        <w:rFonts w:ascii="Wingdings" w:hAnsi="Wingdings" w:hint="default"/>
      </w:rPr>
    </w:lvl>
    <w:lvl w:ilvl="3" w:tplc="04020001" w:tentative="1">
      <w:start w:val="1"/>
      <w:numFmt w:val="bullet"/>
      <w:lvlText w:val=""/>
      <w:lvlJc w:val="left"/>
      <w:pPr>
        <w:tabs>
          <w:tab w:val="num" w:pos="3600"/>
        </w:tabs>
        <w:ind w:left="3600" w:hanging="360"/>
      </w:pPr>
      <w:rPr>
        <w:rFonts w:ascii="Symbol" w:hAnsi="Symbol" w:hint="default"/>
      </w:rPr>
    </w:lvl>
    <w:lvl w:ilvl="4" w:tplc="04020003" w:tentative="1">
      <w:start w:val="1"/>
      <w:numFmt w:val="bullet"/>
      <w:lvlText w:val="o"/>
      <w:lvlJc w:val="left"/>
      <w:pPr>
        <w:tabs>
          <w:tab w:val="num" w:pos="4320"/>
        </w:tabs>
        <w:ind w:left="4320" w:hanging="360"/>
      </w:pPr>
      <w:rPr>
        <w:rFonts w:ascii="Courier New" w:hAnsi="Courier New" w:cs="Courier New" w:hint="default"/>
      </w:rPr>
    </w:lvl>
    <w:lvl w:ilvl="5" w:tplc="04020005" w:tentative="1">
      <w:start w:val="1"/>
      <w:numFmt w:val="bullet"/>
      <w:lvlText w:val=""/>
      <w:lvlJc w:val="left"/>
      <w:pPr>
        <w:tabs>
          <w:tab w:val="num" w:pos="5040"/>
        </w:tabs>
        <w:ind w:left="5040" w:hanging="360"/>
      </w:pPr>
      <w:rPr>
        <w:rFonts w:ascii="Wingdings" w:hAnsi="Wingdings" w:hint="default"/>
      </w:rPr>
    </w:lvl>
    <w:lvl w:ilvl="6" w:tplc="04020001" w:tentative="1">
      <w:start w:val="1"/>
      <w:numFmt w:val="bullet"/>
      <w:lvlText w:val=""/>
      <w:lvlJc w:val="left"/>
      <w:pPr>
        <w:tabs>
          <w:tab w:val="num" w:pos="5760"/>
        </w:tabs>
        <w:ind w:left="5760" w:hanging="360"/>
      </w:pPr>
      <w:rPr>
        <w:rFonts w:ascii="Symbol" w:hAnsi="Symbol" w:hint="default"/>
      </w:rPr>
    </w:lvl>
    <w:lvl w:ilvl="7" w:tplc="04020003" w:tentative="1">
      <w:start w:val="1"/>
      <w:numFmt w:val="bullet"/>
      <w:lvlText w:val="o"/>
      <w:lvlJc w:val="left"/>
      <w:pPr>
        <w:tabs>
          <w:tab w:val="num" w:pos="6480"/>
        </w:tabs>
        <w:ind w:left="6480" w:hanging="360"/>
      </w:pPr>
      <w:rPr>
        <w:rFonts w:ascii="Courier New" w:hAnsi="Courier New" w:cs="Courier New" w:hint="default"/>
      </w:rPr>
    </w:lvl>
    <w:lvl w:ilvl="8" w:tplc="0402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8B65AC9"/>
    <w:multiLevelType w:val="hybridMultilevel"/>
    <w:tmpl w:val="313EA526"/>
    <w:lvl w:ilvl="0" w:tplc="257A31AA">
      <w:start w:val="1"/>
      <w:numFmt w:val="bullet"/>
      <w:lvlText w:val=""/>
      <w:lvlJc w:val="left"/>
      <w:pPr>
        <w:tabs>
          <w:tab w:val="num" w:pos="540"/>
        </w:tabs>
        <w:ind w:left="30" w:firstLine="15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9204032"/>
    <w:multiLevelType w:val="hybridMultilevel"/>
    <w:tmpl w:val="5A7CE09A"/>
    <w:lvl w:ilvl="0" w:tplc="3B28C328">
      <w:start w:val="1"/>
      <w:numFmt w:val="bullet"/>
      <w:lvlText w:val="♦"/>
      <w:lvlJc w:val="left"/>
      <w:pPr>
        <w:tabs>
          <w:tab w:val="num" w:pos="2880"/>
        </w:tabs>
        <w:ind w:left="2880" w:hanging="360"/>
      </w:pPr>
      <w:rPr>
        <w:rFonts w:ascii="Courier New" w:hAnsi="Courier New" w:hint="default"/>
        <w:sz w:val="24"/>
        <w:szCs w:val="24"/>
      </w:rPr>
    </w:lvl>
    <w:lvl w:ilvl="1" w:tplc="7DDCFFB6">
      <w:start w:val="1"/>
      <w:numFmt w:val="bullet"/>
      <w:lvlText w:val=""/>
      <w:lvlJc w:val="left"/>
      <w:pPr>
        <w:tabs>
          <w:tab w:val="num" w:pos="2160"/>
        </w:tabs>
        <w:ind w:left="2160" w:hanging="360"/>
      </w:pPr>
      <w:rPr>
        <w:rFonts w:ascii="Wingdings" w:hAnsi="Wingdings" w:hint="default"/>
        <w:sz w:val="24"/>
        <w:szCs w:val="24"/>
      </w:rPr>
    </w:lvl>
    <w:lvl w:ilvl="2" w:tplc="F3BE7F08">
      <w:start w:val="1"/>
      <w:numFmt w:val="bullet"/>
      <w:lvlText w:val=""/>
      <w:lvlJc w:val="left"/>
      <w:pPr>
        <w:tabs>
          <w:tab w:val="num" w:pos="2880"/>
        </w:tabs>
        <w:ind w:left="2880" w:hanging="360"/>
      </w:pPr>
      <w:rPr>
        <w:rFonts w:ascii="Wingdings" w:hAnsi="Wingdings" w:hint="default"/>
        <w:color w:val="000000"/>
        <w:sz w:val="24"/>
        <w:szCs w:val="24"/>
      </w:rPr>
    </w:lvl>
    <w:lvl w:ilvl="3" w:tplc="04020001" w:tentative="1">
      <w:start w:val="1"/>
      <w:numFmt w:val="bullet"/>
      <w:lvlText w:val=""/>
      <w:lvlJc w:val="left"/>
      <w:pPr>
        <w:tabs>
          <w:tab w:val="num" w:pos="3600"/>
        </w:tabs>
        <w:ind w:left="3600" w:hanging="360"/>
      </w:pPr>
      <w:rPr>
        <w:rFonts w:ascii="Symbol" w:hAnsi="Symbol" w:hint="default"/>
      </w:rPr>
    </w:lvl>
    <w:lvl w:ilvl="4" w:tplc="04020003" w:tentative="1">
      <w:start w:val="1"/>
      <w:numFmt w:val="bullet"/>
      <w:lvlText w:val="o"/>
      <w:lvlJc w:val="left"/>
      <w:pPr>
        <w:tabs>
          <w:tab w:val="num" w:pos="4320"/>
        </w:tabs>
        <w:ind w:left="4320" w:hanging="360"/>
      </w:pPr>
      <w:rPr>
        <w:rFonts w:ascii="Courier New" w:hAnsi="Courier New" w:cs="Courier New" w:hint="default"/>
      </w:rPr>
    </w:lvl>
    <w:lvl w:ilvl="5" w:tplc="04020005" w:tentative="1">
      <w:start w:val="1"/>
      <w:numFmt w:val="bullet"/>
      <w:lvlText w:val=""/>
      <w:lvlJc w:val="left"/>
      <w:pPr>
        <w:tabs>
          <w:tab w:val="num" w:pos="5040"/>
        </w:tabs>
        <w:ind w:left="5040" w:hanging="360"/>
      </w:pPr>
      <w:rPr>
        <w:rFonts w:ascii="Wingdings" w:hAnsi="Wingdings" w:hint="default"/>
      </w:rPr>
    </w:lvl>
    <w:lvl w:ilvl="6" w:tplc="04020001" w:tentative="1">
      <w:start w:val="1"/>
      <w:numFmt w:val="bullet"/>
      <w:lvlText w:val=""/>
      <w:lvlJc w:val="left"/>
      <w:pPr>
        <w:tabs>
          <w:tab w:val="num" w:pos="5760"/>
        </w:tabs>
        <w:ind w:left="5760" w:hanging="360"/>
      </w:pPr>
      <w:rPr>
        <w:rFonts w:ascii="Symbol" w:hAnsi="Symbol" w:hint="default"/>
      </w:rPr>
    </w:lvl>
    <w:lvl w:ilvl="7" w:tplc="04020003" w:tentative="1">
      <w:start w:val="1"/>
      <w:numFmt w:val="bullet"/>
      <w:lvlText w:val="o"/>
      <w:lvlJc w:val="left"/>
      <w:pPr>
        <w:tabs>
          <w:tab w:val="num" w:pos="6480"/>
        </w:tabs>
        <w:ind w:left="6480" w:hanging="360"/>
      </w:pPr>
      <w:rPr>
        <w:rFonts w:ascii="Courier New" w:hAnsi="Courier New" w:cs="Courier New" w:hint="default"/>
      </w:rPr>
    </w:lvl>
    <w:lvl w:ilvl="8" w:tplc="0402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6A5B61CF"/>
    <w:multiLevelType w:val="hybridMultilevel"/>
    <w:tmpl w:val="8F0C2DD6"/>
    <w:lvl w:ilvl="0" w:tplc="0402000D">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31" w15:restartNumberingAfterBreak="0">
    <w:nsid w:val="6D2B5869"/>
    <w:multiLevelType w:val="multilevel"/>
    <w:tmpl w:val="4418BF74"/>
    <w:lvl w:ilvl="0">
      <w:start w:val="1"/>
      <w:numFmt w:val="decimal"/>
      <w:lvlText w:val="%1."/>
      <w:lvlJc w:val="left"/>
      <w:pPr>
        <w:ind w:left="502" w:hanging="360"/>
      </w:pPr>
      <w:rPr>
        <w:rFonts w:hint="default"/>
      </w:rPr>
    </w:lvl>
    <w:lvl w:ilvl="1">
      <w:start w:val="1"/>
      <w:numFmt w:val="decimal"/>
      <w:isLgl/>
      <w:lvlText w:val="%1.%2"/>
      <w:lvlJc w:val="left"/>
      <w:pPr>
        <w:ind w:left="1095" w:hanging="375"/>
      </w:pPr>
      <w:rPr>
        <w:rFonts w:hint="default"/>
        <w:b/>
        <w:i/>
      </w:rPr>
    </w:lvl>
    <w:lvl w:ilvl="2">
      <w:start w:val="1"/>
      <w:numFmt w:val="decimal"/>
      <w:isLgl/>
      <w:lvlText w:val="%1.%2.%3"/>
      <w:lvlJc w:val="left"/>
      <w:pPr>
        <w:ind w:left="1440" w:hanging="720"/>
      </w:pPr>
      <w:rPr>
        <w:rFonts w:hint="default"/>
        <w:b/>
        <w:i/>
      </w:rPr>
    </w:lvl>
    <w:lvl w:ilvl="3">
      <w:start w:val="1"/>
      <w:numFmt w:val="decimal"/>
      <w:isLgl/>
      <w:lvlText w:val="%1.%2.%3.%4"/>
      <w:lvlJc w:val="left"/>
      <w:pPr>
        <w:ind w:left="1440" w:hanging="720"/>
      </w:pPr>
      <w:rPr>
        <w:rFonts w:hint="default"/>
        <w:b/>
        <w:i/>
      </w:rPr>
    </w:lvl>
    <w:lvl w:ilvl="4">
      <w:start w:val="1"/>
      <w:numFmt w:val="decimal"/>
      <w:isLgl/>
      <w:lvlText w:val="%1.%2.%3.%4.%5"/>
      <w:lvlJc w:val="left"/>
      <w:pPr>
        <w:ind w:left="1800" w:hanging="1080"/>
      </w:pPr>
      <w:rPr>
        <w:rFonts w:hint="default"/>
        <w:b/>
        <w:i/>
      </w:rPr>
    </w:lvl>
    <w:lvl w:ilvl="5">
      <w:start w:val="1"/>
      <w:numFmt w:val="decimal"/>
      <w:isLgl/>
      <w:lvlText w:val="%1.%2.%3.%4.%5.%6"/>
      <w:lvlJc w:val="left"/>
      <w:pPr>
        <w:ind w:left="1800" w:hanging="1080"/>
      </w:pPr>
      <w:rPr>
        <w:rFonts w:hint="default"/>
        <w:b/>
        <w:i/>
      </w:rPr>
    </w:lvl>
    <w:lvl w:ilvl="6">
      <w:start w:val="1"/>
      <w:numFmt w:val="decimal"/>
      <w:isLgl/>
      <w:lvlText w:val="%1.%2.%3.%4.%5.%6.%7"/>
      <w:lvlJc w:val="left"/>
      <w:pPr>
        <w:ind w:left="2160" w:hanging="1440"/>
      </w:pPr>
      <w:rPr>
        <w:rFonts w:hint="default"/>
        <w:b/>
        <w:i/>
      </w:rPr>
    </w:lvl>
    <w:lvl w:ilvl="7">
      <w:start w:val="1"/>
      <w:numFmt w:val="decimal"/>
      <w:isLgl/>
      <w:lvlText w:val="%1.%2.%3.%4.%5.%6.%7.%8"/>
      <w:lvlJc w:val="left"/>
      <w:pPr>
        <w:ind w:left="2160" w:hanging="1440"/>
      </w:pPr>
      <w:rPr>
        <w:rFonts w:hint="default"/>
        <w:b/>
        <w:i/>
      </w:rPr>
    </w:lvl>
    <w:lvl w:ilvl="8">
      <w:start w:val="1"/>
      <w:numFmt w:val="decimal"/>
      <w:isLgl/>
      <w:lvlText w:val="%1.%2.%3.%4.%5.%6.%7.%8.%9"/>
      <w:lvlJc w:val="left"/>
      <w:pPr>
        <w:ind w:left="2520" w:hanging="1800"/>
      </w:pPr>
      <w:rPr>
        <w:rFonts w:hint="default"/>
        <w:b/>
        <w:i/>
      </w:rPr>
    </w:lvl>
  </w:abstractNum>
  <w:abstractNum w:abstractNumId="32" w15:restartNumberingAfterBreak="0">
    <w:nsid w:val="6E544B1C"/>
    <w:multiLevelType w:val="hybridMultilevel"/>
    <w:tmpl w:val="F19A58DE"/>
    <w:lvl w:ilvl="0" w:tplc="0402000B">
      <w:start w:val="1"/>
      <w:numFmt w:val="bullet"/>
      <w:lvlText w:val=""/>
      <w:lvlJc w:val="left"/>
      <w:pPr>
        <w:ind w:left="928" w:hanging="360"/>
      </w:pPr>
      <w:rPr>
        <w:rFonts w:ascii="Wingdings" w:hAnsi="Wingdings" w:hint="default"/>
      </w:rPr>
    </w:lvl>
    <w:lvl w:ilvl="1" w:tplc="04020003" w:tentative="1">
      <w:start w:val="1"/>
      <w:numFmt w:val="bullet"/>
      <w:lvlText w:val="o"/>
      <w:lvlJc w:val="left"/>
      <w:pPr>
        <w:ind w:left="1500" w:hanging="360"/>
      </w:pPr>
      <w:rPr>
        <w:rFonts w:ascii="Courier New" w:hAnsi="Courier New" w:cs="Courier New" w:hint="default"/>
      </w:rPr>
    </w:lvl>
    <w:lvl w:ilvl="2" w:tplc="04020005" w:tentative="1">
      <w:start w:val="1"/>
      <w:numFmt w:val="bullet"/>
      <w:lvlText w:val=""/>
      <w:lvlJc w:val="left"/>
      <w:pPr>
        <w:ind w:left="2220" w:hanging="360"/>
      </w:pPr>
      <w:rPr>
        <w:rFonts w:ascii="Wingdings" w:hAnsi="Wingdings" w:hint="default"/>
      </w:rPr>
    </w:lvl>
    <w:lvl w:ilvl="3" w:tplc="04020001" w:tentative="1">
      <w:start w:val="1"/>
      <w:numFmt w:val="bullet"/>
      <w:lvlText w:val=""/>
      <w:lvlJc w:val="left"/>
      <w:pPr>
        <w:ind w:left="2940" w:hanging="360"/>
      </w:pPr>
      <w:rPr>
        <w:rFonts w:ascii="Symbol" w:hAnsi="Symbol" w:hint="default"/>
      </w:rPr>
    </w:lvl>
    <w:lvl w:ilvl="4" w:tplc="04020003" w:tentative="1">
      <w:start w:val="1"/>
      <w:numFmt w:val="bullet"/>
      <w:lvlText w:val="o"/>
      <w:lvlJc w:val="left"/>
      <w:pPr>
        <w:ind w:left="3660" w:hanging="360"/>
      </w:pPr>
      <w:rPr>
        <w:rFonts w:ascii="Courier New" w:hAnsi="Courier New" w:cs="Courier New" w:hint="default"/>
      </w:rPr>
    </w:lvl>
    <w:lvl w:ilvl="5" w:tplc="04020005" w:tentative="1">
      <w:start w:val="1"/>
      <w:numFmt w:val="bullet"/>
      <w:lvlText w:val=""/>
      <w:lvlJc w:val="left"/>
      <w:pPr>
        <w:ind w:left="4380" w:hanging="360"/>
      </w:pPr>
      <w:rPr>
        <w:rFonts w:ascii="Wingdings" w:hAnsi="Wingdings" w:hint="default"/>
      </w:rPr>
    </w:lvl>
    <w:lvl w:ilvl="6" w:tplc="04020001" w:tentative="1">
      <w:start w:val="1"/>
      <w:numFmt w:val="bullet"/>
      <w:lvlText w:val=""/>
      <w:lvlJc w:val="left"/>
      <w:pPr>
        <w:ind w:left="5100" w:hanging="360"/>
      </w:pPr>
      <w:rPr>
        <w:rFonts w:ascii="Symbol" w:hAnsi="Symbol" w:hint="default"/>
      </w:rPr>
    </w:lvl>
    <w:lvl w:ilvl="7" w:tplc="04020003" w:tentative="1">
      <w:start w:val="1"/>
      <w:numFmt w:val="bullet"/>
      <w:lvlText w:val="o"/>
      <w:lvlJc w:val="left"/>
      <w:pPr>
        <w:ind w:left="5820" w:hanging="360"/>
      </w:pPr>
      <w:rPr>
        <w:rFonts w:ascii="Courier New" w:hAnsi="Courier New" w:cs="Courier New" w:hint="default"/>
      </w:rPr>
    </w:lvl>
    <w:lvl w:ilvl="8" w:tplc="04020005" w:tentative="1">
      <w:start w:val="1"/>
      <w:numFmt w:val="bullet"/>
      <w:lvlText w:val=""/>
      <w:lvlJc w:val="left"/>
      <w:pPr>
        <w:ind w:left="6540" w:hanging="360"/>
      </w:pPr>
      <w:rPr>
        <w:rFonts w:ascii="Wingdings" w:hAnsi="Wingdings" w:hint="default"/>
      </w:rPr>
    </w:lvl>
  </w:abstractNum>
  <w:abstractNum w:abstractNumId="33" w15:restartNumberingAfterBreak="0">
    <w:nsid w:val="71812127"/>
    <w:multiLevelType w:val="multilevel"/>
    <w:tmpl w:val="FDE86A66"/>
    <w:lvl w:ilvl="0">
      <w:start w:val="1"/>
      <w:numFmt w:val="decimal"/>
      <w:lvlText w:val="%1."/>
      <w:lvlJc w:val="left"/>
      <w:pPr>
        <w:tabs>
          <w:tab w:val="num" w:pos="532"/>
        </w:tabs>
        <w:ind w:left="532" w:hanging="39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222" w:hanging="720"/>
      </w:pPr>
      <w:rPr>
        <w:rFonts w:hint="default"/>
      </w:rPr>
    </w:lvl>
    <w:lvl w:ilvl="3">
      <w:start w:val="1"/>
      <w:numFmt w:val="decimal"/>
      <w:isLgl/>
      <w:lvlText w:val="%1.%2.%3.%4"/>
      <w:lvlJc w:val="left"/>
      <w:pPr>
        <w:ind w:left="1222" w:hanging="720"/>
      </w:pPr>
      <w:rPr>
        <w:rFonts w:hint="default"/>
      </w:rPr>
    </w:lvl>
    <w:lvl w:ilvl="4">
      <w:start w:val="1"/>
      <w:numFmt w:val="decimal"/>
      <w:isLgl/>
      <w:lvlText w:val="%1.%2.%3.%4.%5"/>
      <w:lvlJc w:val="left"/>
      <w:pPr>
        <w:ind w:left="1582" w:hanging="1080"/>
      </w:pPr>
      <w:rPr>
        <w:rFonts w:hint="default"/>
      </w:rPr>
    </w:lvl>
    <w:lvl w:ilvl="5">
      <w:start w:val="1"/>
      <w:numFmt w:val="decimal"/>
      <w:isLgl/>
      <w:lvlText w:val="%1.%2.%3.%4.%5.%6"/>
      <w:lvlJc w:val="left"/>
      <w:pPr>
        <w:ind w:left="1582"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1942" w:hanging="1440"/>
      </w:pPr>
      <w:rPr>
        <w:rFonts w:hint="default"/>
      </w:rPr>
    </w:lvl>
    <w:lvl w:ilvl="8">
      <w:start w:val="1"/>
      <w:numFmt w:val="decimal"/>
      <w:isLgl/>
      <w:lvlText w:val="%1.%2.%3.%4.%5.%6.%7.%8.%9"/>
      <w:lvlJc w:val="left"/>
      <w:pPr>
        <w:ind w:left="2302" w:hanging="1800"/>
      </w:pPr>
      <w:rPr>
        <w:rFonts w:hint="default"/>
      </w:rPr>
    </w:lvl>
  </w:abstractNum>
  <w:num w:numId="1">
    <w:abstractNumId w:val="3"/>
  </w:num>
  <w:num w:numId="2">
    <w:abstractNumId w:val="14"/>
  </w:num>
  <w:num w:numId="3">
    <w:abstractNumId w:val="28"/>
  </w:num>
  <w:num w:numId="4">
    <w:abstractNumId w:val="12"/>
  </w:num>
  <w:num w:numId="5">
    <w:abstractNumId w:val="18"/>
  </w:num>
  <w:num w:numId="6">
    <w:abstractNumId w:val="26"/>
  </w:num>
  <w:num w:numId="7">
    <w:abstractNumId w:val="17"/>
  </w:num>
  <w:num w:numId="8">
    <w:abstractNumId w:val="33"/>
  </w:num>
  <w:num w:numId="9">
    <w:abstractNumId w:val="27"/>
  </w:num>
  <w:num w:numId="10">
    <w:abstractNumId w:val="25"/>
  </w:num>
  <w:num w:numId="11">
    <w:abstractNumId w:val="29"/>
  </w:num>
  <w:num w:numId="12">
    <w:abstractNumId w:val="15"/>
  </w:num>
  <w:num w:numId="13">
    <w:abstractNumId w:val="7"/>
  </w:num>
  <w:num w:numId="14">
    <w:abstractNumId w:val="8"/>
  </w:num>
  <w:num w:numId="15">
    <w:abstractNumId w:val="16"/>
  </w:num>
  <w:num w:numId="16">
    <w:abstractNumId w:val="19"/>
  </w:num>
  <w:num w:numId="17">
    <w:abstractNumId w:val="32"/>
  </w:num>
  <w:num w:numId="18">
    <w:abstractNumId w:val="21"/>
  </w:num>
  <w:num w:numId="19">
    <w:abstractNumId w:val="0"/>
  </w:num>
  <w:num w:numId="20">
    <w:abstractNumId w:val="6"/>
  </w:num>
  <w:num w:numId="21">
    <w:abstractNumId w:val="13"/>
  </w:num>
  <w:num w:numId="22">
    <w:abstractNumId w:val="24"/>
  </w:num>
  <w:num w:numId="23">
    <w:abstractNumId w:val="2"/>
  </w:num>
  <w:num w:numId="24">
    <w:abstractNumId w:val="20"/>
  </w:num>
  <w:num w:numId="25">
    <w:abstractNumId w:val="1"/>
  </w:num>
  <w:num w:numId="26">
    <w:abstractNumId w:val="10"/>
  </w:num>
  <w:num w:numId="27">
    <w:abstractNumId w:val="9"/>
  </w:num>
  <w:num w:numId="28">
    <w:abstractNumId w:val="30"/>
  </w:num>
  <w:num w:numId="29">
    <w:abstractNumId w:val="4"/>
  </w:num>
  <w:num w:numId="30">
    <w:abstractNumId w:val="31"/>
  </w:num>
  <w:num w:numId="31">
    <w:abstractNumId w:val="14"/>
  </w:num>
  <w:num w:numId="32">
    <w:abstractNumId w:val="28"/>
  </w:num>
  <w:num w:numId="33">
    <w:abstractNumId w:val="12"/>
  </w:num>
  <w:num w:numId="34">
    <w:abstractNumId w:val="7"/>
  </w:num>
  <w:num w:numId="35">
    <w:abstractNumId w:val="18"/>
  </w:num>
  <w:num w:numId="36">
    <w:abstractNumId w:val="8"/>
  </w:num>
  <w:num w:numId="37">
    <w:abstractNumId w:val="26"/>
  </w:num>
  <w:num w:numId="38">
    <w:abstractNumId w:val="2"/>
  </w:num>
  <w:num w:numId="39">
    <w:abstractNumId w:val="16"/>
  </w:num>
  <w:num w:numId="40">
    <w:abstractNumId w:val="20"/>
  </w:num>
  <w:num w:numId="41">
    <w:abstractNumId w:val="9"/>
  </w:num>
  <w:num w:numId="42">
    <w:abstractNumId w:val="30"/>
  </w:num>
  <w:num w:numId="43">
    <w:abstractNumId w:val="15"/>
  </w:num>
  <w:num w:numId="44">
    <w:abstractNumId w:val="5"/>
  </w:num>
  <w:num w:numId="45">
    <w:abstractNumId w:val="11"/>
  </w:num>
  <w:num w:numId="46">
    <w:abstractNumId w:val="22"/>
  </w:num>
  <w:num w:numId="47">
    <w:abstractNumId w:val="2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E15"/>
    <w:rsid w:val="000000B5"/>
    <w:rsid w:val="0000083C"/>
    <w:rsid w:val="00000BB0"/>
    <w:rsid w:val="00000EF0"/>
    <w:rsid w:val="00000FE1"/>
    <w:rsid w:val="000010D2"/>
    <w:rsid w:val="00001580"/>
    <w:rsid w:val="000016BE"/>
    <w:rsid w:val="00001ABF"/>
    <w:rsid w:val="00001CF0"/>
    <w:rsid w:val="00002BD7"/>
    <w:rsid w:val="00002D9C"/>
    <w:rsid w:val="00003489"/>
    <w:rsid w:val="00003B52"/>
    <w:rsid w:val="00004264"/>
    <w:rsid w:val="00005544"/>
    <w:rsid w:val="000057BA"/>
    <w:rsid w:val="00005A85"/>
    <w:rsid w:val="0000626B"/>
    <w:rsid w:val="000063FC"/>
    <w:rsid w:val="000065C6"/>
    <w:rsid w:val="0000691E"/>
    <w:rsid w:val="00006956"/>
    <w:rsid w:val="00006A56"/>
    <w:rsid w:val="00006EBC"/>
    <w:rsid w:val="00007A00"/>
    <w:rsid w:val="00007F94"/>
    <w:rsid w:val="000111D3"/>
    <w:rsid w:val="00011383"/>
    <w:rsid w:val="0001183E"/>
    <w:rsid w:val="000119C6"/>
    <w:rsid w:val="000122E0"/>
    <w:rsid w:val="00012431"/>
    <w:rsid w:val="00012533"/>
    <w:rsid w:val="000126AC"/>
    <w:rsid w:val="0001276F"/>
    <w:rsid w:val="00012AE6"/>
    <w:rsid w:val="00012BE6"/>
    <w:rsid w:val="00012C07"/>
    <w:rsid w:val="0001332F"/>
    <w:rsid w:val="00013357"/>
    <w:rsid w:val="0001356B"/>
    <w:rsid w:val="00013677"/>
    <w:rsid w:val="00013B93"/>
    <w:rsid w:val="00013C59"/>
    <w:rsid w:val="00014057"/>
    <w:rsid w:val="000146EA"/>
    <w:rsid w:val="000148E4"/>
    <w:rsid w:val="000158A2"/>
    <w:rsid w:val="00015C0F"/>
    <w:rsid w:val="00015D5B"/>
    <w:rsid w:val="0001664B"/>
    <w:rsid w:val="00017412"/>
    <w:rsid w:val="000175C7"/>
    <w:rsid w:val="000178CA"/>
    <w:rsid w:val="00017EA1"/>
    <w:rsid w:val="0002029B"/>
    <w:rsid w:val="0002050E"/>
    <w:rsid w:val="000215BD"/>
    <w:rsid w:val="00021A5F"/>
    <w:rsid w:val="000221B7"/>
    <w:rsid w:val="00022856"/>
    <w:rsid w:val="000229E1"/>
    <w:rsid w:val="00022CAC"/>
    <w:rsid w:val="00022D9E"/>
    <w:rsid w:val="00023089"/>
    <w:rsid w:val="00023244"/>
    <w:rsid w:val="0002351F"/>
    <w:rsid w:val="00023BF6"/>
    <w:rsid w:val="00023D31"/>
    <w:rsid w:val="00024065"/>
    <w:rsid w:val="0002444B"/>
    <w:rsid w:val="0002477E"/>
    <w:rsid w:val="0002478B"/>
    <w:rsid w:val="000249B9"/>
    <w:rsid w:val="000252F3"/>
    <w:rsid w:val="000256B4"/>
    <w:rsid w:val="0002578D"/>
    <w:rsid w:val="00025953"/>
    <w:rsid w:val="000259F6"/>
    <w:rsid w:val="00025F45"/>
    <w:rsid w:val="000262DF"/>
    <w:rsid w:val="00026903"/>
    <w:rsid w:val="0002693A"/>
    <w:rsid w:val="00026AD5"/>
    <w:rsid w:val="00026F9B"/>
    <w:rsid w:val="000273C6"/>
    <w:rsid w:val="00027951"/>
    <w:rsid w:val="00027B74"/>
    <w:rsid w:val="00030353"/>
    <w:rsid w:val="00030658"/>
    <w:rsid w:val="000307D3"/>
    <w:rsid w:val="000311EA"/>
    <w:rsid w:val="00031377"/>
    <w:rsid w:val="00031593"/>
    <w:rsid w:val="00031710"/>
    <w:rsid w:val="000319CB"/>
    <w:rsid w:val="000320C8"/>
    <w:rsid w:val="00032966"/>
    <w:rsid w:val="00032B7F"/>
    <w:rsid w:val="00033525"/>
    <w:rsid w:val="00033590"/>
    <w:rsid w:val="00033685"/>
    <w:rsid w:val="00033ACB"/>
    <w:rsid w:val="000340AD"/>
    <w:rsid w:val="000340ED"/>
    <w:rsid w:val="00034135"/>
    <w:rsid w:val="00034396"/>
    <w:rsid w:val="00034FE3"/>
    <w:rsid w:val="0003586B"/>
    <w:rsid w:val="000359FA"/>
    <w:rsid w:val="0003621F"/>
    <w:rsid w:val="000363A8"/>
    <w:rsid w:val="0003685F"/>
    <w:rsid w:val="000369D6"/>
    <w:rsid w:val="00036A1B"/>
    <w:rsid w:val="00037141"/>
    <w:rsid w:val="000377BC"/>
    <w:rsid w:val="000378DC"/>
    <w:rsid w:val="0003798B"/>
    <w:rsid w:val="00040164"/>
    <w:rsid w:val="0004068C"/>
    <w:rsid w:val="000406B2"/>
    <w:rsid w:val="0004080C"/>
    <w:rsid w:val="0004098D"/>
    <w:rsid w:val="00040C20"/>
    <w:rsid w:val="000411D9"/>
    <w:rsid w:val="00041338"/>
    <w:rsid w:val="0004146E"/>
    <w:rsid w:val="00042634"/>
    <w:rsid w:val="00042853"/>
    <w:rsid w:val="00042A30"/>
    <w:rsid w:val="00042C9E"/>
    <w:rsid w:val="00042E57"/>
    <w:rsid w:val="00043041"/>
    <w:rsid w:val="0004338F"/>
    <w:rsid w:val="000436DD"/>
    <w:rsid w:val="000439F5"/>
    <w:rsid w:val="00043AA0"/>
    <w:rsid w:val="00043AB2"/>
    <w:rsid w:val="00043E35"/>
    <w:rsid w:val="00043E3A"/>
    <w:rsid w:val="00044147"/>
    <w:rsid w:val="00044187"/>
    <w:rsid w:val="0004426E"/>
    <w:rsid w:val="00044273"/>
    <w:rsid w:val="0004481C"/>
    <w:rsid w:val="0004492B"/>
    <w:rsid w:val="00045116"/>
    <w:rsid w:val="0004559E"/>
    <w:rsid w:val="00045688"/>
    <w:rsid w:val="000458F0"/>
    <w:rsid w:val="00045B4C"/>
    <w:rsid w:val="000465FC"/>
    <w:rsid w:val="0004753C"/>
    <w:rsid w:val="000500CE"/>
    <w:rsid w:val="000504F4"/>
    <w:rsid w:val="00050557"/>
    <w:rsid w:val="0005066A"/>
    <w:rsid w:val="00050762"/>
    <w:rsid w:val="00050A1B"/>
    <w:rsid w:val="00051A6A"/>
    <w:rsid w:val="00051E5E"/>
    <w:rsid w:val="00052449"/>
    <w:rsid w:val="00052485"/>
    <w:rsid w:val="000524B0"/>
    <w:rsid w:val="0005284D"/>
    <w:rsid w:val="00052B23"/>
    <w:rsid w:val="00052C5C"/>
    <w:rsid w:val="00053B0F"/>
    <w:rsid w:val="00053C71"/>
    <w:rsid w:val="00053D51"/>
    <w:rsid w:val="00054555"/>
    <w:rsid w:val="000546BF"/>
    <w:rsid w:val="000548B8"/>
    <w:rsid w:val="00054CE2"/>
    <w:rsid w:val="00054E02"/>
    <w:rsid w:val="00055007"/>
    <w:rsid w:val="000551E4"/>
    <w:rsid w:val="00055769"/>
    <w:rsid w:val="00055A61"/>
    <w:rsid w:val="00055DD1"/>
    <w:rsid w:val="000561EA"/>
    <w:rsid w:val="00056221"/>
    <w:rsid w:val="00056489"/>
    <w:rsid w:val="00056B58"/>
    <w:rsid w:val="00056D9D"/>
    <w:rsid w:val="0005737D"/>
    <w:rsid w:val="0005756A"/>
    <w:rsid w:val="00057886"/>
    <w:rsid w:val="00060A02"/>
    <w:rsid w:val="00060B42"/>
    <w:rsid w:val="000613BA"/>
    <w:rsid w:val="0006166E"/>
    <w:rsid w:val="00061758"/>
    <w:rsid w:val="00062107"/>
    <w:rsid w:val="000621DE"/>
    <w:rsid w:val="00062315"/>
    <w:rsid w:val="00062A61"/>
    <w:rsid w:val="00062A78"/>
    <w:rsid w:val="00063093"/>
    <w:rsid w:val="00063235"/>
    <w:rsid w:val="00063248"/>
    <w:rsid w:val="00063553"/>
    <w:rsid w:val="00063C56"/>
    <w:rsid w:val="00063CF1"/>
    <w:rsid w:val="00063E15"/>
    <w:rsid w:val="000642B9"/>
    <w:rsid w:val="0006432D"/>
    <w:rsid w:val="00064472"/>
    <w:rsid w:val="0006477A"/>
    <w:rsid w:val="00064AF3"/>
    <w:rsid w:val="00064C29"/>
    <w:rsid w:val="00064C44"/>
    <w:rsid w:val="00064DF4"/>
    <w:rsid w:val="00064E39"/>
    <w:rsid w:val="00064F71"/>
    <w:rsid w:val="00065154"/>
    <w:rsid w:val="0006584F"/>
    <w:rsid w:val="00065A46"/>
    <w:rsid w:val="00065BB5"/>
    <w:rsid w:val="00065DF8"/>
    <w:rsid w:val="000663D1"/>
    <w:rsid w:val="000664F8"/>
    <w:rsid w:val="000666C0"/>
    <w:rsid w:val="000668E6"/>
    <w:rsid w:val="000669D8"/>
    <w:rsid w:val="00066EED"/>
    <w:rsid w:val="00067283"/>
    <w:rsid w:val="00067469"/>
    <w:rsid w:val="0006785C"/>
    <w:rsid w:val="0007007C"/>
    <w:rsid w:val="0007047E"/>
    <w:rsid w:val="000709C1"/>
    <w:rsid w:val="00070A97"/>
    <w:rsid w:val="00071259"/>
    <w:rsid w:val="00071C3B"/>
    <w:rsid w:val="00071F12"/>
    <w:rsid w:val="0007251B"/>
    <w:rsid w:val="00072C4F"/>
    <w:rsid w:val="00072D22"/>
    <w:rsid w:val="00073108"/>
    <w:rsid w:val="00073B7F"/>
    <w:rsid w:val="00073DF5"/>
    <w:rsid w:val="00074744"/>
    <w:rsid w:val="00074B7D"/>
    <w:rsid w:val="000751C1"/>
    <w:rsid w:val="00075256"/>
    <w:rsid w:val="0007526B"/>
    <w:rsid w:val="000756FB"/>
    <w:rsid w:val="000768B3"/>
    <w:rsid w:val="00076B59"/>
    <w:rsid w:val="00077157"/>
    <w:rsid w:val="000779A6"/>
    <w:rsid w:val="000801C8"/>
    <w:rsid w:val="00080AB2"/>
    <w:rsid w:val="00080EF5"/>
    <w:rsid w:val="0008155D"/>
    <w:rsid w:val="0008165A"/>
    <w:rsid w:val="000819F9"/>
    <w:rsid w:val="00081AFD"/>
    <w:rsid w:val="00082392"/>
    <w:rsid w:val="00082679"/>
    <w:rsid w:val="000827A4"/>
    <w:rsid w:val="000829EB"/>
    <w:rsid w:val="00082A1E"/>
    <w:rsid w:val="00082BD9"/>
    <w:rsid w:val="00082F40"/>
    <w:rsid w:val="0008327E"/>
    <w:rsid w:val="000832E5"/>
    <w:rsid w:val="000833A2"/>
    <w:rsid w:val="0008357F"/>
    <w:rsid w:val="00083E2F"/>
    <w:rsid w:val="00084132"/>
    <w:rsid w:val="000853B1"/>
    <w:rsid w:val="00085704"/>
    <w:rsid w:val="00085734"/>
    <w:rsid w:val="00085B96"/>
    <w:rsid w:val="00085E01"/>
    <w:rsid w:val="00085E1A"/>
    <w:rsid w:val="00086A8E"/>
    <w:rsid w:val="00086FA7"/>
    <w:rsid w:val="00087295"/>
    <w:rsid w:val="0008732B"/>
    <w:rsid w:val="0008745A"/>
    <w:rsid w:val="000878C4"/>
    <w:rsid w:val="00087924"/>
    <w:rsid w:val="00087ED6"/>
    <w:rsid w:val="00087F10"/>
    <w:rsid w:val="0009002F"/>
    <w:rsid w:val="000900E3"/>
    <w:rsid w:val="000901EA"/>
    <w:rsid w:val="000902B5"/>
    <w:rsid w:val="00090D1D"/>
    <w:rsid w:val="00091196"/>
    <w:rsid w:val="00091BCE"/>
    <w:rsid w:val="000931C8"/>
    <w:rsid w:val="000937AB"/>
    <w:rsid w:val="000937E0"/>
    <w:rsid w:val="00093C24"/>
    <w:rsid w:val="00093CFC"/>
    <w:rsid w:val="00093F6F"/>
    <w:rsid w:val="000943E4"/>
    <w:rsid w:val="000949D3"/>
    <w:rsid w:val="00094A6C"/>
    <w:rsid w:val="00094A78"/>
    <w:rsid w:val="00095164"/>
    <w:rsid w:val="0009519B"/>
    <w:rsid w:val="0009594D"/>
    <w:rsid w:val="000959DC"/>
    <w:rsid w:val="00095B68"/>
    <w:rsid w:val="00095CA2"/>
    <w:rsid w:val="00095EF0"/>
    <w:rsid w:val="0009649D"/>
    <w:rsid w:val="0009743A"/>
    <w:rsid w:val="00097C52"/>
    <w:rsid w:val="000A052A"/>
    <w:rsid w:val="000A09BA"/>
    <w:rsid w:val="000A10E1"/>
    <w:rsid w:val="000A141F"/>
    <w:rsid w:val="000A301B"/>
    <w:rsid w:val="000A3426"/>
    <w:rsid w:val="000A3F57"/>
    <w:rsid w:val="000A4432"/>
    <w:rsid w:val="000A49C8"/>
    <w:rsid w:val="000A5397"/>
    <w:rsid w:val="000A5B32"/>
    <w:rsid w:val="000A6E4D"/>
    <w:rsid w:val="000A7446"/>
    <w:rsid w:val="000A7841"/>
    <w:rsid w:val="000B0616"/>
    <w:rsid w:val="000B0815"/>
    <w:rsid w:val="000B08DB"/>
    <w:rsid w:val="000B09E5"/>
    <w:rsid w:val="000B0BED"/>
    <w:rsid w:val="000B0CE6"/>
    <w:rsid w:val="000B11FB"/>
    <w:rsid w:val="000B16DF"/>
    <w:rsid w:val="000B175F"/>
    <w:rsid w:val="000B1A24"/>
    <w:rsid w:val="000B1E59"/>
    <w:rsid w:val="000B23A6"/>
    <w:rsid w:val="000B25CC"/>
    <w:rsid w:val="000B2CBE"/>
    <w:rsid w:val="000B330C"/>
    <w:rsid w:val="000B460F"/>
    <w:rsid w:val="000B474D"/>
    <w:rsid w:val="000B49EE"/>
    <w:rsid w:val="000B511E"/>
    <w:rsid w:val="000B5123"/>
    <w:rsid w:val="000B52FA"/>
    <w:rsid w:val="000B5F1E"/>
    <w:rsid w:val="000B62C7"/>
    <w:rsid w:val="000B64BA"/>
    <w:rsid w:val="000B67EA"/>
    <w:rsid w:val="000B6D3A"/>
    <w:rsid w:val="000B7234"/>
    <w:rsid w:val="000B7447"/>
    <w:rsid w:val="000B75C1"/>
    <w:rsid w:val="000B793D"/>
    <w:rsid w:val="000B7C4F"/>
    <w:rsid w:val="000B7E66"/>
    <w:rsid w:val="000C019B"/>
    <w:rsid w:val="000C06FE"/>
    <w:rsid w:val="000C0A44"/>
    <w:rsid w:val="000C0FA1"/>
    <w:rsid w:val="000C13A5"/>
    <w:rsid w:val="000C1D08"/>
    <w:rsid w:val="000C244E"/>
    <w:rsid w:val="000C2FAC"/>
    <w:rsid w:val="000C3451"/>
    <w:rsid w:val="000C3D73"/>
    <w:rsid w:val="000C4760"/>
    <w:rsid w:val="000C4CBB"/>
    <w:rsid w:val="000C56B9"/>
    <w:rsid w:val="000C5ACF"/>
    <w:rsid w:val="000C5C6D"/>
    <w:rsid w:val="000C5F1B"/>
    <w:rsid w:val="000C6079"/>
    <w:rsid w:val="000C6742"/>
    <w:rsid w:val="000C69AE"/>
    <w:rsid w:val="000C6CB5"/>
    <w:rsid w:val="000C6CF3"/>
    <w:rsid w:val="000C6EFE"/>
    <w:rsid w:val="000C72DC"/>
    <w:rsid w:val="000C7303"/>
    <w:rsid w:val="000C736E"/>
    <w:rsid w:val="000C75A5"/>
    <w:rsid w:val="000C75DD"/>
    <w:rsid w:val="000C773E"/>
    <w:rsid w:val="000C7BB6"/>
    <w:rsid w:val="000D01A6"/>
    <w:rsid w:val="000D0538"/>
    <w:rsid w:val="000D06A6"/>
    <w:rsid w:val="000D0AB1"/>
    <w:rsid w:val="000D0EA5"/>
    <w:rsid w:val="000D13E1"/>
    <w:rsid w:val="000D23F8"/>
    <w:rsid w:val="000D2516"/>
    <w:rsid w:val="000D26D5"/>
    <w:rsid w:val="000D2A7B"/>
    <w:rsid w:val="000D2B33"/>
    <w:rsid w:val="000D2BE7"/>
    <w:rsid w:val="000D3134"/>
    <w:rsid w:val="000D3407"/>
    <w:rsid w:val="000D3942"/>
    <w:rsid w:val="000D3FA7"/>
    <w:rsid w:val="000D4203"/>
    <w:rsid w:val="000D46FD"/>
    <w:rsid w:val="000D46FF"/>
    <w:rsid w:val="000D49F5"/>
    <w:rsid w:val="000D4BEB"/>
    <w:rsid w:val="000D4CF8"/>
    <w:rsid w:val="000D5449"/>
    <w:rsid w:val="000D5722"/>
    <w:rsid w:val="000D5EE2"/>
    <w:rsid w:val="000D6D92"/>
    <w:rsid w:val="000D6FB5"/>
    <w:rsid w:val="000D725A"/>
    <w:rsid w:val="000D740D"/>
    <w:rsid w:val="000D78E4"/>
    <w:rsid w:val="000D7B46"/>
    <w:rsid w:val="000E0B42"/>
    <w:rsid w:val="000E0EBA"/>
    <w:rsid w:val="000E0EE9"/>
    <w:rsid w:val="000E1529"/>
    <w:rsid w:val="000E1EAF"/>
    <w:rsid w:val="000E1FB5"/>
    <w:rsid w:val="000E2207"/>
    <w:rsid w:val="000E234B"/>
    <w:rsid w:val="000E2869"/>
    <w:rsid w:val="000E2894"/>
    <w:rsid w:val="000E2B21"/>
    <w:rsid w:val="000E2BF2"/>
    <w:rsid w:val="000E32DC"/>
    <w:rsid w:val="000E39DF"/>
    <w:rsid w:val="000E3BA7"/>
    <w:rsid w:val="000E3CDC"/>
    <w:rsid w:val="000E3DA0"/>
    <w:rsid w:val="000E4599"/>
    <w:rsid w:val="000E4CFE"/>
    <w:rsid w:val="000E4E4A"/>
    <w:rsid w:val="000E4EB4"/>
    <w:rsid w:val="000E5205"/>
    <w:rsid w:val="000E5295"/>
    <w:rsid w:val="000E5483"/>
    <w:rsid w:val="000E577C"/>
    <w:rsid w:val="000E5EE9"/>
    <w:rsid w:val="000E632B"/>
    <w:rsid w:val="000E6968"/>
    <w:rsid w:val="000E69D1"/>
    <w:rsid w:val="000E76B3"/>
    <w:rsid w:val="000E773D"/>
    <w:rsid w:val="000F04F4"/>
    <w:rsid w:val="000F0BD7"/>
    <w:rsid w:val="000F11BC"/>
    <w:rsid w:val="000F1488"/>
    <w:rsid w:val="000F1EB1"/>
    <w:rsid w:val="000F21FC"/>
    <w:rsid w:val="000F26DE"/>
    <w:rsid w:val="000F32E9"/>
    <w:rsid w:val="000F3534"/>
    <w:rsid w:val="000F3A6E"/>
    <w:rsid w:val="000F3EA1"/>
    <w:rsid w:val="000F4571"/>
    <w:rsid w:val="000F47A8"/>
    <w:rsid w:val="000F4AE4"/>
    <w:rsid w:val="000F4DCA"/>
    <w:rsid w:val="000F5080"/>
    <w:rsid w:val="000F57CC"/>
    <w:rsid w:val="000F5EC6"/>
    <w:rsid w:val="000F5EF4"/>
    <w:rsid w:val="000F5F76"/>
    <w:rsid w:val="000F68AF"/>
    <w:rsid w:val="000F6975"/>
    <w:rsid w:val="000F69E1"/>
    <w:rsid w:val="000F6B35"/>
    <w:rsid w:val="0010026D"/>
    <w:rsid w:val="0010055E"/>
    <w:rsid w:val="001006E1"/>
    <w:rsid w:val="00100931"/>
    <w:rsid w:val="00100CE5"/>
    <w:rsid w:val="00100D97"/>
    <w:rsid w:val="001011A4"/>
    <w:rsid w:val="00101301"/>
    <w:rsid w:val="001017B7"/>
    <w:rsid w:val="00101B1C"/>
    <w:rsid w:val="00101D61"/>
    <w:rsid w:val="0010212B"/>
    <w:rsid w:val="00102523"/>
    <w:rsid w:val="0010261A"/>
    <w:rsid w:val="00102869"/>
    <w:rsid w:val="001028F7"/>
    <w:rsid w:val="00102BA6"/>
    <w:rsid w:val="001030F0"/>
    <w:rsid w:val="0010358B"/>
    <w:rsid w:val="00103BC3"/>
    <w:rsid w:val="00103C07"/>
    <w:rsid w:val="0010424C"/>
    <w:rsid w:val="00104331"/>
    <w:rsid w:val="001046B0"/>
    <w:rsid w:val="00104BB5"/>
    <w:rsid w:val="00104ED0"/>
    <w:rsid w:val="0010539A"/>
    <w:rsid w:val="001053A6"/>
    <w:rsid w:val="00105B38"/>
    <w:rsid w:val="00106009"/>
    <w:rsid w:val="00106081"/>
    <w:rsid w:val="001060C0"/>
    <w:rsid w:val="0010649F"/>
    <w:rsid w:val="0010683E"/>
    <w:rsid w:val="00106E64"/>
    <w:rsid w:val="00107065"/>
    <w:rsid w:val="00107258"/>
    <w:rsid w:val="0010743D"/>
    <w:rsid w:val="00107498"/>
    <w:rsid w:val="001077FA"/>
    <w:rsid w:val="00107C9F"/>
    <w:rsid w:val="00107F93"/>
    <w:rsid w:val="00110E74"/>
    <w:rsid w:val="0011137B"/>
    <w:rsid w:val="00111BCE"/>
    <w:rsid w:val="0011244D"/>
    <w:rsid w:val="00112882"/>
    <w:rsid w:val="00112CAC"/>
    <w:rsid w:val="00112E96"/>
    <w:rsid w:val="00113FD8"/>
    <w:rsid w:val="00114D25"/>
    <w:rsid w:val="00114D27"/>
    <w:rsid w:val="00114DE5"/>
    <w:rsid w:val="00116AF1"/>
    <w:rsid w:val="00116D77"/>
    <w:rsid w:val="00117280"/>
    <w:rsid w:val="001173BA"/>
    <w:rsid w:val="001175F4"/>
    <w:rsid w:val="001179C1"/>
    <w:rsid w:val="00117A49"/>
    <w:rsid w:val="00117C68"/>
    <w:rsid w:val="00117CA6"/>
    <w:rsid w:val="001202E6"/>
    <w:rsid w:val="0012034E"/>
    <w:rsid w:val="00120BC1"/>
    <w:rsid w:val="00120CC7"/>
    <w:rsid w:val="00120DB2"/>
    <w:rsid w:val="00121946"/>
    <w:rsid w:val="00122BBB"/>
    <w:rsid w:val="00122F3A"/>
    <w:rsid w:val="00122FCA"/>
    <w:rsid w:val="00123862"/>
    <w:rsid w:val="00123B59"/>
    <w:rsid w:val="00123CED"/>
    <w:rsid w:val="00123E2A"/>
    <w:rsid w:val="00124548"/>
    <w:rsid w:val="00124777"/>
    <w:rsid w:val="00124FAC"/>
    <w:rsid w:val="00124FB9"/>
    <w:rsid w:val="00125B7A"/>
    <w:rsid w:val="001260AA"/>
    <w:rsid w:val="001264C3"/>
    <w:rsid w:val="00126707"/>
    <w:rsid w:val="00126805"/>
    <w:rsid w:val="001269AE"/>
    <w:rsid w:val="00127D25"/>
    <w:rsid w:val="001301B6"/>
    <w:rsid w:val="001305A6"/>
    <w:rsid w:val="00130CB0"/>
    <w:rsid w:val="00131B05"/>
    <w:rsid w:val="00132423"/>
    <w:rsid w:val="00132AD1"/>
    <w:rsid w:val="00132CE0"/>
    <w:rsid w:val="00133013"/>
    <w:rsid w:val="00133033"/>
    <w:rsid w:val="0013308F"/>
    <w:rsid w:val="00133183"/>
    <w:rsid w:val="00133478"/>
    <w:rsid w:val="0013348A"/>
    <w:rsid w:val="00133644"/>
    <w:rsid w:val="00133682"/>
    <w:rsid w:val="001342F2"/>
    <w:rsid w:val="0013522E"/>
    <w:rsid w:val="0013588C"/>
    <w:rsid w:val="00135A23"/>
    <w:rsid w:val="00135E92"/>
    <w:rsid w:val="001366E5"/>
    <w:rsid w:val="00136893"/>
    <w:rsid w:val="00136C08"/>
    <w:rsid w:val="00136DA4"/>
    <w:rsid w:val="00136E89"/>
    <w:rsid w:val="001371FA"/>
    <w:rsid w:val="0013776C"/>
    <w:rsid w:val="001400F3"/>
    <w:rsid w:val="00140533"/>
    <w:rsid w:val="00140A9D"/>
    <w:rsid w:val="00140F18"/>
    <w:rsid w:val="00140F61"/>
    <w:rsid w:val="0014108F"/>
    <w:rsid w:val="00141196"/>
    <w:rsid w:val="00141B03"/>
    <w:rsid w:val="0014202C"/>
    <w:rsid w:val="00142030"/>
    <w:rsid w:val="001423F5"/>
    <w:rsid w:val="00142979"/>
    <w:rsid w:val="00142ABD"/>
    <w:rsid w:val="00142EDB"/>
    <w:rsid w:val="00142FD3"/>
    <w:rsid w:val="00143002"/>
    <w:rsid w:val="001434EA"/>
    <w:rsid w:val="00143814"/>
    <w:rsid w:val="001445AC"/>
    <w:rsid w:val="00144B67"/>
    <w:rsid w:val="00144BF2"/>
    <w:rsid w:val="0014585D"/>
    <w:rsid w:val="00145944"/>
    <w:rsid w:val="00145AD1"/>
    <w:rsid w:val="001462A0"/>
    <w:rsid w:val="00146314"/>
    <w:rsid w:val="001466F3"/>
    <w:rsid w:val="00146C11"/>
    <w:rsid w:val="00147195"/>
    <w:rsid w:val="00150706"/>
    <w:rsid w:val="00150793"/>
    <w:rsid w:val="00150D38"/>
    <w:rsid w:val="00151260"/>
    <w:rsid w:val="001514CB"/>
    <w:rsid w:val="00151757"/>
    <w:rsid w:val="001517A3"/>
    <w:rsid w:val="00152672"/>
    <w:rsid w:val="001528EE"/>
    <w:rsid w:val="00152B9C"/>
    <w:rsid w:val="00152CC7"/>
    <w:rsid w:val="00153077"/>
    <w:rsid w:val="001535F3"/>
    <w:rsid w:val="00153C68"/>
    <w:rsid w:val="00153CA6"/>
    <w:rsid w:val="00153DF3"/>
    <w:rsid w:val="00154247"/>
    <w:rsid w:val="001543D7"/>
    <w:rsid w:val="00154B29"/>
    <w:rsid w:val="00154C95"/>
    <w:rsid w:val="00154DE5"/>
    <w:rsid w:val="00154FA1"/>
    <w:rsid w:val="00155948"/>
    <w:rsid w:val="00155B06"/>
    <w:rsid w:val="00156356"/>
    <w:rsid w:val="00156A3B"/>
    <w:rsid w:val="00156B18"/>
    <w:rsid w:val="00156F40"/>
    <w:rsid w:val="0015761C"/>
    <w:rsid w:val="00157673"/>
    <w:rsid w:val="00157743"/>
    <w:rsid w:val="00157B70"/>
    <w:rsid w:val="00157EC4"/>
    <w:rsid w:val="00157EF5"/>
    <w:rsid w:val="0016023C"/>
    <w:rsid w:val="001606A4"/>
    <w:rsid w:val="00160A10"/>
    <w:rsid w:val="00160C5B"/>
    <w:rsid w:val="00160EC6"/>
    <w:rsid w:val="0016116C"/>
    <w:rsid w:val="0016122A"/>
    <w:rsid w:val="0016140B"/>
    <w:rsid w:val="001619A1"/>
    <w:rsid w:val="00161F90"/>
    <w:rsid w:val="001623A2"/>
    <w:rsid w:val="00162F31"/>
    <w:rsid w:val="00162F68"/>
    <w:rsid w:val="00163645"/>
    <w:rsid w:val="00164220"/>
    <w:rsid w:val="001643F8"/>
    <w:rsid w:val="0016452C"/>
    <w:rsid w:val="001647E9"/>
    <w:rsid w:val="00164961"/>
    <w:rsid w:val="00164FAD"/>
    <w:rsid w:val="0016560A"/>
    <w:rsid w:val="001658F3"/>
    <w:rsid w:val="00165DB5"/>
    <w:rsid w:val="00165FF0"/>
    <w:rsid w:val="00166023"/>
    <w:rsid w:val="001663F9"/>
    <w:rsid w:val="001668BD"/>
    <w:rsid w:val="001671E2"/>
    <w:rsid w:val="0017086C"/>
    <w:rsid w:val="00170EFE"/>
    <w:rsid w:val="00171333"/>
    <w:rsid w:val="00171F8E"/>
    <w:rsid w:val="0017216E"/>
    <w:rsid w:val="001721EA"/>
    <w:rsid w:val="0017261A"/>
    <w:rsid w:val="0017293F"/>
    <w:rsid w:val="00172AEE"/>
    <w:rsid w:val="00173987"/>
    <w:rsid w:val="00173C2D"/>
    <w:rsid w:val="00173D90"/>
    <w:rsid w:val="00174441"/>
    <w:rsid w:val="0017483F"/>
    <w:rsid w:val="00174C24"/>
    <w:rsid w:val="0017545F"/>
    <w:rsid w:val="00175494"/>
    <w:rsid w:val="00175539"/>
    <w:rsid w:val="00175890"/>
    <w:rsid w:val="00175A63"/>
    <w:rsid w:val="00175A73"/>
    <w:rsid w:val="00175E50"/>
    <w:rsid w:val="00176340"/>
    <w:rsid w:val="00176403"/>
    <w:rsid w:val="00176AE7"/>
    <w:rsid w:val="00176CB6"/>
    <w:rsid w:val="00176E98"/>
    <w:rsid w:val="00176ED4"/>
    <w:rsid w:val="00177307"/>
    <w:rsid w:val="0018058D"/>
    <w:rsid w:val="00180811"/>
    <w:rsid w:val="001808E6"/>
    <w:rsid w:val="00180AEF"/>
    <w:rsid w:val="0018154E"/>
    <w:rsid w:val="00181857"/>
    <w:rsid w:val="00181E4B"/>
    <w:rsid w:val="00181FCA"/>
    <w:rsid w:val="001820C4"/>
    <w:rsid w:val="001824F0"/>
    <w:rsid w:val="001827BB"/>
    <w:rsid w:val="00182A2B"/>
    <w:rsid w:val="00182A94"/>
    <w:rsid w:val="00182C1A"/>
    <w:rsid w:val="00182D63"/>
    <w:rsid w:val="00182F27"/>
    <w:rsid w:val="00183392"/>
    <w:rsid w:val="0018398A"/>
    <w:rsid w:val="00183A4E"/>
    <w:rsid w:val="00183C72"/>
    <w:rsid w:val="00183D5F"/>
    <w:rsid w:val="00183EA5"/>
    <w:rsid w:val="00183FAF"/>
    <w:rsid w:val="00184091"/>
    <w:rsid w:val="00184502"/>
    <w:rsid w:val="0018452B"/>
    <w:rsid w:val="001845D5"/>
    <w:rsid w:val="001846BA"/>
    <w:rsid w:val="001846D1"/>
    <w:rsid w:val="00184DF2"/>
    <w:rsid w:val="00184E93"/>
    <w:rsid w:val="001850C5"/>
    <w:rsid w:val="0018526D"/>
    <w:rsid w:val="001858CD"/>
    <w:rsid w:val="00185A12"/>
    <w:rsid w:val="00185BF6"/>
    <w:rsid w:val="00185D08"/>
    <w:rsid w:val="00186536"/>
    <w:rsid w:val="001869BB"/>
    <w:rsid w:val="00186C81"/>
    <w:rsid w:val="00186DF9"/>
    <w:rsid w:val="00187AC9"/>
    <w:rsid w:val="00187C31"/>
    <w:rsid w:val="00190983"/>
    <w:rsid w:val="0019151C"/>
    <w:rsid w:val="00191AA6"/>
    <w:rsid w:val="00191AB6"/>
    <w:rsid w:val="00191B55"/>
    <w:rsid w:val="00191EC8"/>
    <w:rsid w:val="00191F79"/>
    <w:rsid w:val="0019204E"/>
    <w:rsid w:val="0019213B"/>
    <w:rsid w:val="0019232E"/>
    <w:rsid w:val="0019239F"/>
    <w:rsid w:val="001924F6"/>
    <w:rsid w:val="00192CDB"/>
    <w:rsid w:val="00192F6E"/>
    <w:rsid w:val="00193A82"/>
    <w:rsid w:val="00193D9B"/>
    <w:rsid w:val="00193F20"/>
    <w:rsid w:val="0019413C"/>
    <w:rsid w:val="001941E4"/>
    <w:rsid w:val="001948CF"/>
    <w:rsid w:val="00194AF7"/>
    <w:rsid w:val="00194B83"/>
    <w:rsid w:val="00194C1F"/>
    <w:rsid w:val="001953AC"/>
    <w:rsid w:val="00195517"/>
    <w:rsid w:val="00195B15"/>
    <w:rsid w:val="00195BE8"/>
    <w:rsid w:val="00195CF2"/>
    <w:rsid w:val="00195E11"/>
    <w:rsid w:val="00195F70"/>
    <w:rsid w:val="00195F99"/>
    <w:rsid w:val="00195FB3"/>
    <w:rsid w:val="001965AA"/>
    <w:rsid w:val="0019667B"/>
    <w:rsid w:val="001968E4"/>
    <w:rsid w:val="00196F0C"/>
    <w:rsid w:val="001971AE"/>
    <w:rsid w:val="00197278"/>
    <w:rsid w:val="00197306"/>
    <w:rsid w:val="00197392"/>
    <w:rsid w:val="00197764"/>
    <w:rsid w:val="00197EC3"/>
    <w:rsid w:val="00197FB1"/>
    <w:rsid w:val="001A0601"/>
    <w:rsid w:val="001A0BB0"/>
    <w:rsid w:val="001A1837"/>
    <w:rsid w:val="001A1C51"/>
    <w:rsid w:val="001A236F"/>
    <w:rsid w:val="001A2571"/>
    <w:rsid w:val="001A28BA"/>
    <w:rsid w:val="001A3051"/>
    <w:rsid w:val="001A314B"/>
    <w:rsid w:val="001A3387"/>
    <w:rsid w:val="001A4493"/>
    <w:rsid w:val="001A4589"/>
    <w:rsid w:val="001A5350"/>
    <w:rsid w:val="001A5398"/>
    <w:rsid w:val="001A5553"/>
    <w:rsid w:val="001A59AF"/>
    <w:rsid w:val="001A6777"/>
    <w:rsid w:val="001A6D21"/>
    <w:rsid w:val="001A718A"/>
    <w:rsid w:val="001A718F"/>
    <w:rsid w:val="001A75B9"/>
    <w:rsid w:val="001A7DC2"/>
    <w:rsid w:val="001B09A8"/>
    <w:rsid w:val="001B0A90"/>
    <w:rsid w:val="001B18C3"/>
    <w:rsid w:val="001B1C70"/>
    <w:rsid w:val="001B20E4"/>
    <w:rsid w:val="001B2D1F"/>
    <w:rsid w:val="001B2FCD"/>
    <w:rsid w:val="001B3285"/>
    <w:rsid w:val="001B370A"/>
    <w:rsid w:val="001B39DD"/>
    <w:rsid w:val="001B3BA9"/>
    <w:rsid w:val="001B3E1C"/>
    <w:rsid w:val="001B4165"/>
    <w:rsid w:val="001B427B"/>
    <w:rsid w:val="001B4280"/>
    <w:rsid w:val="001B44DB"/>
    <w:rsid w:val="001B4640"/>
    <w:rsid w:val="001B5EA6"/>
    <w:rsid w:val="001B6203"/>
    <w:rsid w:val="001B6785"/>
    <w:rsid w:val="001B7112"/>
    <w:rsid w:val="001B72FB"/>
    <w:rsid w:val="001B7928"/>
    <w:rsid w:val="001B7DE8"/>
    <w:rsid w:val="001C0277"/>
    <w:rsid w:val="001C0F05"/>
    <w:rsid w:val="001C110F"/>
    <w:rsid w:val="001C129D"/>
    <w:rsid w:val="001C15B0"/>
    <w:rsid w:val="001C1A52"/>
    <w:rsid w:val="001C239A"/>
    <w:rsid w:val="001C2EE5"/>
    <w:rsid w:val="001C395A"/>
    <w:rsid w:val="001C3A25"/>
    <w:rsid w:val="001C486C"/>
    <w:rsid w:val="001C4B35"/>
    <w:rsid w:val="001C4CCF"/>
    <w:rsid w:val="001C501A"/>
    <w:rsid w:val="001C54B8"/>
    <w:rsid w:val="001C5CC2"/>
    <w:rsid w:val="001C61DB"/>
    <w:rsid w:val="001C6343"/>
    <w:rsid w:val="001C655B"/>
    <w:rsid w:val="001C6573"/>
    <w:rsid w:val="001C6BA6"/>
    <w:rsid w:val="001C726D"/>
    <w:rsid w:val="001C78CA"/>
    <w:rsid w:val="001D0098"/>
    <w:rsid w:val="001D01FB"/>
    <w:rsid w:val="001D0221"/>
    <w:rsid w:val="001D03BA"/>
    <w:rsid w:val="001D13AD"/>
    <w:rsid w:val="001D15E5"/>
    <w:rsid w:val="001D2381"/>
    <w:rsid w:val="001D29EA"/>
    <w:rsid w:val="001D2AFB"/>
    <w:rsid w:val="001D2CE9"/>
    <w:rsid w:val="001D34AF"/>
    <w:rsid w:val="001D3E63"/>
    <w:rsid w:val="001D40DA"/>
    <w:rsid w:val="001D419F"/>
    <w:rsid w:val="001D43D0"/>
    <w:rsid w:val="001D516B"/>
    <w:rsid w:val="001D5526"/>
    <w:rsid w:val="001D5A4E"/>
    <w:rsid w:val="001D5C57"/>
    <w:rsid w:val="001D5D9A"/>
    <w:rsid w:val="001D6081"/>
    <w:rsid w:val="001D61D1"/>
    <w:rsid w:val="001D6B29"/>
    <w:rsid w:val="001D6F2E"/>
    <w:rsid w:val="001D7141"/>
    <w:rsid w:val="001D71BC"/>
    <w:rsid w:val="001D7346"/>
    <w:rsid w:val="001D755A"/>
    <w:rsid w:val="001E0367"/>
    <w:rsid w:val="001E094C"/>
    <w:rsid w:val="001E0FF6"/>
    <w:rsid w:val="001E11E2"/>
    <w:rsid w:val="001E11F6"/>
    <w:rsid w:val="001E1857"/>
    <w:rsid w:val="001E2231"/>
    <w:rsid w:val="001E27FB"/>
    <w:rsid w:val="001E2B1A"/>
    <w:rsid w:val="001E2FB8"/>
    <w:rsid w:val="001E3485"/>
    <w:rsid w:val="001E373E"/>
    <w:rsid w:val="001E3753"/>
    <w:rsid w:val="001E383E"/>
    <w:rsid w:val="001E4011"/>
    <w:rsid w:val="001E4060"/>
    <w:rsid w:val="001E4456"/>
    <w:rsid w:val="001E44C8"/>
    <w:rsid w:val="001E4518"/>
    <w:rsid w:val="001E467A"/>
    <w:rsid w:val="001E4E88"/>
    <w:rsid w:val="001E4FFF"/>
    <w:rsid w:val="001E5281"/>
    <w:rsid w:val="001E5747"/>
    <w:rsid w:val="001E5BEE"/>
    <w:rsid w:val="001E619D"/>
    <w:rsid w:val="001E6889"/>
    <w:rsid w:val="001E68EE"/>
    <w:rsid w:val="001E6F9F"/>
    <w:rsid w:val="001E751C"/>
    <w:rsid w:val="001E77C4"/>
    <w:rsid w:val="001E7EA4"/>
    <w:rsid w:val="001F00B7"/>
    <w:rsid w:val="001F0187"/>
    <w:rsid w:val="001F1092"/>
    <w:rsid w:val="001F18AA"/>
    <w:rsid w:val="001F1E88"/>
    <w:rsid w:val="001F200A"/>
    <w:rsid w:val="001F2337"/>
    <w:rsid w:val="001F2FB5"/>
    <w:rsid w:val="001F367C"/>
    <w:rsid w:val="001F3E1D"/>
    <w:rsid w:val="001F4EB9"/>
    <w:rsid w:val="001F4FD4"/>
    <w:rsid w:val="001F4FDB"/>
    <w:rsid w:val="001F540A"/>
    <w:rsid w:val="001F58AB"/>
    <w:rsid w:val="001F5D2F"/>
    <w:rsid w:val="001F5E20"/>
    <w:rsid w:val="001F5FA3"/>
    <w:rsid w:val="001F60AC"/>
    <w:rsid w:val="001F66D5"/>
    <w:rsid w:val="001F6E1E"/>
    <w:rsid w:val="001F6F0C"/>
    <w:rsid w:val="001F73E9"/>
    <w:rsid w:val="001F74B9"/>
    <w:rsid w:val="001F7F82"/>
    <w:rsid w:val="002002AA"/>
    <w:rsid w:val="002003C3"/>
    <w:rsid w:val="00200D50"/>
    <w:rsid w:val="002019D1"/>
    <w:rsid w:val="00201E8F"/>
    <w:rsid w:val="00201ED1"/>
    <w:rsid w:val="00201FFF"/>
    <w:rsid w:val="002023B3"/>
    <w:rsid w:val="00202A8B"/>
    <w:rsid w:val="00202CDB"/>
    <w:rsid w:val="00202FD6"/>
    <w:rsid w:val="00203052"/>
    <w:rsid w:val="0020342F"/>
    <w:rsid w:val="002034CC"/>
    <w:rsid w:val="0020360B"/>
    <w:rsid w:val="00203782"/>
    <w:rsid w:val="00203D9B"/>
    <w:rsid w:val="00204381"/>
    <w:rsid w:val="002045FE"/>
    <w:rsid w:val="0020469B"/>
    <w:rsid w:val="00204779"/>
    <w:rsid w:val="00204799"/>
    <w:rsid w:val="00204B8D"/>
    <w:rsid w:val="00204E70"/>
    <w:rsid w:val="00204EBE"/>
    <w:rsid w:val="00205131"/>
    <w:rsid w:val="002051EA"/>
    <w:rsid w:val="00205B05"/>
    <w:rsid w:val="002060C2"/>
    <w:rsid w:val="00206D91"/>
    <w:rsid w:val="0020765F"/>
    <w:rsid w:val="00207674"/>
    <w:rsid w:val="002076D5"/>
    <w:rsid w:val="00207C9E"/>
    <w:rsid w:val="00210B8A"/>
    <w:rsid w:val="002111F3"/>
    <w:rsid w:val="002117F4"/>
    <w:rsid w:val="002118E8"/>
    <w:rsid w:val="00212024"/>
    <w:rsid w:val="00212116"/>
    <w:rsid w:val="00212798"/>
    <w:rsid w:val="00213180"/>
    <w:rsid w:val="002136EF"/>
    <w:rsid w:val="00213A5A"/>
    <w:rsid w:val="00213D58"/>
    <w:rsid w:val="00213EB4"/>
    <w:rsid w:val="002142CA"/>
    <w:rsid w:val="0021481A"/>
    <w:rsid w:val="00214D1A"/>
    <w:rsid w:val="00214EEA"/>
    <w:rsid w:val="00214FBE"/>
    <w:rsid w:val="00215254"/>
    <w:rsid w:val="00215ADA"/>
    <w:rsid w:val="00216326"/>
    <w:rsid w:val="00216648"/>
    <w:rsid w:val="00216651"/>
    <w:rsid w:val="0021671E"/>
    <w:rsid w:val="00216AAD"/>
    <w:rsid w:val="00216C0B"/>
    <w:rsid w:val="00216C9A"/>
    <w:rsid w:val="00216D51"/>
    <w:rsid w:val="00217096"/>
    <w:rsid w:val="00217C7A"/>
    <w:rsid w:val="00217E93"/>
    <w:rsid w:val="00217FC2"/>
    <w:rsid w:val="00220265"/>
    <w:rsid w:val="0022027B"/>
    <w:rsid w:val="00220699"/>
    <w:rsid w:val="00220CF8"/>
    <w:rsid w:val="00220D8D"/>
    <w:rsid w:val="0022151A"/>
    <w:rsid w:val="002215FD"/>
    <w:rsid w:val="002216C7"/>
    <w:rsid w:val="00221E48"/>
    <w:rsid w:val="00222173"/>
    <w:rsid w:val="00222228"/>
    <w:rsid w:val="00222370"/>
    <w:rsid w:val="00222CBD"/>
    <w:rsid w:val="00223892"/>
    <w:rsid w:val="00223940"/>
    <w:rsid w:val="00223C1B"/>
    <w:rsid w:val="00223F09"/>
    <w:rsid w:val="002245C8"/>
    <w:rsid w:val="0022465E"/>
    <w:rsid w:val="00224A58"/>
    <w:rsid w:val="00225164"/>
    <w:rsid w:val="00225168"/>
    <w:rsid w:val="0023041D"/>
    <w:rsid w:val="00231057"/>
    <w:rsid w:val="00231363"/>
    <w:rsid w:val="00231385"/>
    <w:rsid w:val="002316E9"/>
    <w:rsid w:val="0023269D"/>
    <w:rsid w:val="002326C1"/>
    <w:rsid w:val="00232A8A"/>
    <w:rsid w:val="00233032"/>
    <w:rsid w:val="0023305D"/>
    <w:rsid w:val="002332F7"/>
    <w:rsid w:val="00233986"/>
    <w:rsid w:val="00233D50"/>
    <w:rsid w:val="00234372"/>
    <w:rsid w:val="002346A5"/>
    <w:rsid w:val="002346FD"/>
    <w:rsid w:val="00234798"/>
    <w:rsid w:val="00236146"/>
    <w:rsid w:val="00240C3D"/>
    <w:rsid w:val="00240D9B"/>
    <w:rsid w:val="002413A5"/>
    <w:rsid w:val="00241466"/>
    <w:rsid w:val="00241F56"/>
    <w:rsid w:val="002421FC"/>
    <w:rsid w:val="00242676"/>
    <w:rsid w:val="002433B0"/>
    <w:rsid w:val="00243641"/>
    <w:rsid w:val="002438DE"/>
    <w:rsid w:val="00243BE3"/>
    <w:rsid w:val="0024415B"/>
    <w:rsid w:val="00244642"/>
    <w:rsid w:val="00244D15"/>
    <w:rsid w:val="00244E1B"/>
    <w:rsid w:val="00245445"/>
    <w:rsid w:val="00245474"/>
    <w:rsid w:val="0024562D"/>
    <w:rsid w:val="002456AE"/>
    <w:rsid w:val="002462FC"/>
    <w:rsid w:val="00246417"/>
    <w:rsid w:val="00246916"/>
    <w:rsid w:val="00247270"/>
    <w:rsid w:val="0024752F"/>
    <w:rsid w:val="00247533"/>
    <w:rsid w:val="00247C3E"/>
    <w:rsid w:val="002500E6"/>
    <w:rsid w:val="00250178"/>
    <w:rsid w:val="00250302"/>
    <w:rsid w:val="002503BA"/>
    <w:rsid w:val="002509DA"/>
    <w:rsid w:val="00251005"/>
    <w:rsid w:val="0025173F"/>
    <w:rsid w:val="00251963"/>
    <w:rsid w:val="00251F57"/>
    <w:rsid w:val="0025220D"/>
    <w:rsid w:val="002529E3"/>
    <w:rsid w:val="00252E78"/>
    <w:rsid w:val="00252F17"/>
    <w:rsid w:val="00253194"/>
    <w:rsid w:val="0025359A"/>
    <w:rsid w:val="002539F9"/>
    <w:rsid w:val="00253D47"/>
    <w:rsid w:val="002542F0"/>
    <w:rsid w:val="002545AB"/>
    <w:rsid w:val="00254667"/>
    <w:rsid w:val="0025469B"/>
    <w:rsid w:val="00254BBE"/>
    <w:rsid w:val="00254DAC"/>
    <w:rsid w:val="00254F00"/>
    <w:rsid w:val="00255101"/>
    <w:rsid w:val="002553EF"/>
    <w:rsid w:val="0025556C"/>
    <w:rsid w:val="002555A1"/>
    <w:rsid w:val="002557F9"/>
    <w:rsid w:val="002559EF"/>
    <w:rsid w:val="0025637F"/>
    <w:rsid w:val="002567D3"/>
    <w:rsid w:val="00256C8E"/>
    <w:rsid w:val="00256E58"/>
    <w:rsid w:val="002572C6"/>
    <w:rsid w:val="00257669"/>
    <w:rsid w:val="00257837"/>
    <w:rsid w:val="00257A26"/>
    <w:rsid w:val="00257C58"/>
    <w:rsid w:val="002605A7"/>
    <w:rsid w:val="00260847"/>
    <w:rsid w:val="00261653"/>
    <w:rsid w:val="0026189C"/>
    <w:rsid w:val="002622CC"/>
    <w:rsid w:val="00262391"/>
    <w:rsid w:val="00262699"/>
    <w:rsid w:val="0026368D"/>
    <w:rsid w:val="00263A27"/>
    <w:rsid w:val="0026424C"/>
    <w:rsid w:val="002642FC"/>
    <w:rsid w:val="0026495C"/>
    <w:rsid w:val="0026544D"/>
    <w:rsid w:val="00265FB5"/>
    <w:rsid w:val="00266AF5"/>
    <w:rsid w:val="00266D04"/>
    <w:rsid w:val="002672C4"/>
    <w:rsid w:val="002674FC"/>
    <w:rsid w:val="00267867"/>
    <w:rsid w:val="002701ED"/>
    <w:rsid w:val="0027076E"/>
    <w:rsid w:val="0027080C"/>
    <w:rsid w:val="00270FD8"/>
    <w:rsid w:val="002715E5"/>
    <w:rsid w:val="00271642"/>
    <w:rsid w:val="00271A30"/>
    <w:rsid w:val="00271AF4"/>
    <w:rsid w:val="00272747"/>
    <w:rsid w:val="00272812"/>
    <w:rsid w:val="00272B4D"/>
    <w:rsid w:val="00273557"/>
    <w:rsid w:val="00273AF1"/>
    <w:rsid w:val="00273EB1"/>
    <w:rsid w:val="002742C4"/>
    <w:rsid w:val="002744A6"/>
    <w:rsid w:val="002745D1"/>
    <w:rsid w:val="0027478C"/>
    <w:rsid w:val="002747FE"/>
    <w:rsid w:val="002749F4"/>
    <w:rsid w:val="00274CEA"/>
    <w:rsid w:val="00275441"/>
    <w:rsid w:val="00275BE1"/>
    <w:rsid w:val="002763DB"/>
    <w:rsid w:val="00276E87"/>
    <w:rsid w:val="00277842"/>
    <w:rsid w:val="00277E99"/>
    <w:rsid w:val="00280101"/>
    <w:rsid w:val="00280569"/>
    <w:rsid w:val="0028159B"/>
    <w:rsid w:val="00282294"/>
    <w:rsid w:val="002822BC"/>
    <w:rsid w:val="00282934"/>
    <w:rsid w:val="00283343"/>
    <w:rsid w:val="00283475"/>
    <w:rsid w:val="00283765"/>
    <w:rsid w:val="00284112"/>
    <w:rsid w:val="002841B8"/>
    <w:rsid w:val="002843A3"/>
    <w:rsid w:val="00284488"/>
    <w:rsid w:val="0028457F"/>
    <w:rsid w:val="00284996"/>
    <w:rsid w:val="00284D15"/>
    <w:rsid w:val="00285044"/>
    <w:rsid w:val="002852B7"/>
    <w:rsid w:val="0028534D"/>
    <w:rsid w:val="00285594"/>
    <w:rsid w:val="00285654"/>
    <w:rsid w:val="00285B0D"/>
    <w:rsid w:val="00285BC7"/>
    <w:rsid w:val="002860A4"/>
    <w:rsid w:val="0028636E"/>
    <w:rsid w:val="00286740"/>
    <w:rsid w:val="00286AC4"/>
    <w:rsid w:val="00286C29"/>
    <w:rsid w:val="00287643"/>
    <w:rsid w:val="00287EC1"/>
    <w:rsid w:val="00287F6C"/>
    <w:rsid w:val="002900F3"/>
    <w:rsid w:val="00290163"/>
    <w:rsid w:val="002907AE"/>
    <w:rsid w:val="002907DC"/>
    <w:rsid w:val="00290876"/>
    <w:rsid w:val="00290A68"/>
    <w:rsid w:val="00290C55"/>
    <w:rsid w:val="00290EE6"/>
    <w:rsid w:val="00291A08"/>
    <w:rsid w:val="00291FA2"/>
    <w:rsid w:val="0029281E"/>
    <w:rsid w:val="00292884"/>
    <w:rsid w:val="00292971"/>
    <w:rsid w:val="00292CE3"/>
    <w:rsid w:val="00292EC1"/>
    <w:rsid w:val="00293051"/>
    <w:rsid w:val="00293385"/>
    <w:rsid w:val="0029338A"/>
    <w:rsid w:val="002939EB"/>
    <w:rsid w:val="00293D1E"/>
    <w:rsid w:val="00294726"/>
    <w:rsid w:val="0029481A"/>
    <w:rsid w:val="00294B02"/>
    <w:rsid w:val="00294C99"/>
    <w:rsid w:val="00294D83"/>
    <w:rsid w:val="00295917"/>
    <w:rsid w:val="0029593D"/>
    <w:rsid w:val="00295C97"/>
    <w:rsid w:val="002961BB"/>
    <w:rsid w:val="002968B1"/>
    <w:rsid w:val="002968FE"/>
    <w:rsid w:val="00296AE1"/>
    <w:rsid w:val="00296F46"/>
    <w:rsid w:val="0029717D"/>
    <w:rsid w:val="00297423"/>
    <w:rsid w:val="00297C07"/>
    <w:rsid w:val="002A0FFC"/>
    <w:rsid w:val="002A1277"/>
    <w:rsid w:val="002A1772"/>
    <w:rsid w:val="002A204B"/>
    <w:rsid w:val="002A2161"/>
    <w:rsid w:val="002A29F2"/>
    <w:rsid w:val="002A3BD8"/>
    <w:rsid w:val="002A3C2E"/>
    <w:rsid w:val="002A4706"/>
    <w:rsid w:val="002A4845"/>
    <w:rsid w:val="002A4F45"/>
    <w:rsid w:val="002A50A9"/>
    <w:rsid w:val="002A561C"/>
    <w:rsid w:val="002A5BEC"/>
    <w:rsid w:val="002A5F57"/>
    <w:rsid w:val="002A6CBF"/>
    <w:rsid w:val="002A6D63"/>
    <w:rsid w:val="002A6F90"/>
    <w:rsid w:val="002A7048"/>
    <w:rsid w:val="002A70B7"/>
    <w:rsid w:val="002A748F"/>
    <w:rsid w:val="002B0238"/>
    <w:rsid w:val="002B02E8"/>
    <w:rsid w:val="002B0384"/>
    <w:rsid w:val="002B03AB"/>
    <w:rsid w:val="002B05FE"/>
    <w:rsid w:val="002B1377"/>
    <w:rsid w:val="002B14CD"/>
    <w:rsid w:val="002B2304"/>
    <w:rsid w:val="002B25B2"/>
    <w:rsid w:val="002B25DE"/>
    <w:rsid w:val="002B2668"/>
    <w:rsid w:val="002B2B8E"/>
    <w:rsid w:val="002B2EF8"/>
    <w:rsid w:val="002B2FD2"/>
    <w:rsid w:val="002B323C"/>
    <w:rsid w:val="002B3244"/>
    <w:rsid w:val="002B33B1"/>
    <w:rsid w:val="002B3E0D"/>
    <w:rsid w:val="002B3E89"/>
    <w:rsid w:val="002B3F4C"/>
    <w:rsid w:val="002B436E"/>
    <w:rsid w:val="002B484C"/>
    <w:rsid w:val="002B4BCF"/>
    <w:rsid w:val="002B4D3E"/>
    <w:rsid w:val="002B5227"/>
    <w:rsid w:val="002B5B7A"/>
    <w:rsid w:val="002B5C17"/>
    <w:rsid w:val="002B5D34"/>
    <w:rsid w:val="002B5E53"/>
    <w:rsid w:val="002B6133"/>
    <w:rsid w:val="002B695A"/>
    <w:rsid w:val="002B6BB4"/>
    <w:rsid w:val="002B73E2"/>
    <w:rsid w:val="002B7904"/>
    <w:rsid w:val="002B79DA"/>
    <w:rsid w:val="002B7F97"/>
    <w:rsid w:val="002C0110"/>
    <w:rsid w:val="002C0304"/>
    <w:rsid w:val="002C079D"/>
    <w:rsid w:val="002C096A"/>
    <w:rsid w:val="002C12D6"/>
    <w:rsid w:val="002C12D9"/>
    <w:rsid w:val="002C18B7"/>
    <w:rsid w:val="002C1B26"/>
    <w:rsid w:val="002C1F28"/>
    <w:rsid w:val="002C23BF"/>
    <w:rsid w:val="002C24D7"/>
    <w:rsid w:val="002C286D"/>
    <w:rsid w:val="002C2CAC"/>
    <w:rsid w:val="002C2F4E"/>
    <w:rsid w:val="002C2FE9"/>
    <w:rsid w:val="002C30BA"/>
    <w:rsid w:val="002C33B7"/>
    <w:rsid w:val="002C3578"/>
    <w:rsid w:val="002C38DE"/>
    <w:rsid w:val="002C3AD2"/>
    <w:rsid w:val="002C3ED6"/>
    <w:rsid w:val="002C418B"/>
    <w:rsid w:val="002C4201"/>
    <w:rsid w:val="002C468E"/>
    <w:rsid w:val="002C4D33"/>
    <w:rsid w:val="002C522A"/>
    <w:rsid w:val="002C52BD"/>
    <w:rsid w:val="002C6075"/>
    <w:rsid w:val="002C64F3"/>
    <w:rsid w:val="002C6996"/>
    <w:rsid w:val="002C69F6"/>
    <w:rsid w:val="002C6C5B"/>
    <w:rsid w:val="002C7126"/>
    <w:rsid w:val="002C7537"/>
    <w:rsid w:val="002C77D5"/>
    <w:rsid w:val="002C7F07"/>
    <w:rsid w:val="002D00C7"/>
    <w:rsid w:val="002D030C"/>
    <w:rsid w:val="002D0399"/>
    <w:rsid w:val="002D0882"/>
    <w:rsid w:val="002D0CBD"/>
    <w:rsid w:val="002D1067"/>
    <w:rsid w:val="002D11C6"/>
    <w:rsid w:val="002D1252"/>
    <w:rsid w:val="002D17E3"/>
    <w:rsid w:val="002D2739"/>
    <w:rsid w:val="002D2B07"/>
    <w:rsid w:val="002D2CAE"/>
    <w:rsid w:val="002D2DC4"/>
    <w:rsid w:val="002D2E19"/>
    <w:rsid w:val="002D2FA5"/>
    <w:rsid w:val="002D31D9"/>
    <w:rsid w:val="002D33BD"/>
    <w:rsid w:val="002D3AE3"/>
    <w:rsid w:val="002D3F6E"/>
    <w:rsid w:val="002D3FB5"/>
    <w:rsid w:val="002D4760"/>
    <w:rsid w:val="002D516B"/>
    <w:rsid w:val="002D51C1"/>
    <w:rsid w:val="002D527A"/>
    <w:rsid w:val="002D5811"/>
    <w:rsid w:val="002D5FBC"/>
    <w:rsid w:val="002D6877"/>
    <w:rsid w:val="002D6978"/>
    <w:rsid w:val="002D6A0C"/>
    <w:rsid w:val="002D6A9D"/>
    <w:rsid w:val="002D72DE"/>
    <w:rsid w:val="002D7651"/>
    <w:rsid w:val="002D7656"/>
    <w:rsid w:val="002D7BAD"/>
    <w:rsid w:val="002D7BFC"/>
    <w:rsid w:val="002E029F"/>
    <w:rsid w:val="002E090F"/>
    <w:rsid w:val="002E0E3A"/>
    <w:rsid w:val="002E11C3"/>
    <w:rsid w:val="002E130D"/>
    <w:rsid w:val="002E160C"/>
    <w:rsid w:val="002E1ADD"/>
    <w:rsid w:val="002E1AFB"/>
    <w:rsid w:val="002E1EDB"/>
    <w:rsid w:val="002E20E4"/>
    <w:rsid w:val="002E2255"/>
    <w:rsid w:val="002E2470"/>
    <w:rsid w:val="002E2C27"/>
    <w:rsid w:val="002E2D64"/>
    <w:rsid w:val="002E2F63"/>
    <w:rsid w:val="002E339C"/>
    <w:rsid w:val="002E4150"/>
    <w:rsid w:val="002E43D0"/>
    <w:rsid w:val="002E49A6"/>
    <w:rsid w:val="002E4D51"/>
    <w:rsid w:val="002E5067"/>
    <w:rsid w:val="002E5EF1"/>
    <w:rsid w:val="002E6CCE"/>
    <w:rsid w:val="002E6EAB"/>
    <w:rsid w:val="002E7799"/>
    <w:rsid w:val="002E7F57"/>
    <w:rsid w:val="002F013B"/>
    <w:rsid w:val="002F03EF"/>
    <w:rsid w:val="002F0511"/>
    <w:rsid w:val="002F0637"/>
    <w:rsid w:val="002F094A"/>
    <w:rsid w:val="002F0E98"/>
    <w:rsid w:val="002F152A"/>
    <w:rsid w:val="002F1617"/>
    <w:rsid w:val="002F209C"/>
    <w:rsid w:val="002F2AA4"/>
    <w:rsid w:val="002F37A8"/>
    <w:rsid w:val="002F37D0"/>
    <w:rsid w:val="002F3DC5"/>
    <w:rsid w:val="002F3E25"/>
    <w:rsid w:val="002F4207"/>
    <w:rsid w:val="002F4243"/>
    <w:rsid w:val="002F46B7"/>
    <w:rsid w:val="002F49EC"/>
    <w:rsid w:val="002F4AD4"/>
    <w:rsid w:val="002F4E32"/>
    <w:rsid w:val="002F5021"/>
    <w:rsid w:val="002F50A5"/>
    <w:rsid w:val="002F50FC"/>
    <w:rsid w:val="002F5497"/>
    <w:rsid w:val="002F56B6"/>
    <w:rsid w:val="002F6391"/>
    <w:rsid w:val="002F68BA"/>
    <w:rsid w:val="002F6AC3"/>
    <w:rsid w:val="002F6B2A"/>
    <w:rsid w:val="002F6D4A"/>
    <w:rsid w:val="002F6DCF"/>
    <w:rsid w:val="002F748D"/>
    <w:rsid w:val="002F781A"/>
    <w:rsid w:val="002F7E68"/>
    <w:rsid w:val="002F7EAC"/>
    <w:rsid w:val="00300566"/>
    <w:rsid w:val="003006DA"/>
    <w:rsid w:val="0030071E"/>
    <w:rsid w:val="00300C77"/>
    <w:rsid w:val="00300DE1"/>
    <w:rsid w:val="00300E8B"/>
    <w:rsid w:val="0030108C"/>
    <w:rsid w:val="003015BA"/>
    <w:rsid w:val="003016E2"/>
    <w:rsid w:val="00301C17"/>
    <w:rsid w:val="00301E6A"/>
    <w:rsid w:val="00301FBA"/>
    <w:rsid w:val="00302206"/>
    <w:rsid w:val="00302CD2"/>
    <w:rsid w:val="00302D9D"/>
    <w:rsid w:val="0030300D"/>
    <w:rsid w:val="00303208"/>
    <w:rsid w:val="00303427"/>
    <w:rsid w:val="0030350B"/>
    <w:rsid w:val="00303543"/>
    <w:rsid w:val="00303716"/>
    <w:rsid w:val="00303B0B"/>
    <w:rsid w:val="00303BB4"/>
    <w:rsid w:val="00304129"/>
    <w:rsid w:val="00304177"/>
    <w:rsid w:val="003041B1"/>
    <w:rsid w:val="0030428F"/>
    <w:rsid w:val="00304DDA"/>
    <w:rsid w:val="00304E0B"/>
    <w:rsid w:val="00304EE1"/>
    <w:rsid w:val="00305CF4"/>
    <w:rsid w:val="00305F56"/>
    <w:rsid w:val="003064E1"/>
    <w:rsid w:val="00306DB1"/>
    <w:rsid w:val="00307064"/>
    <w:rsid w:val="00307759"/>
    <w:rsid w:val="00307963"/>
    <w:rsid w:val="00307BFD"/>
    <w:rsid w:val="00307CF9"/>
    <w:rsid w:val="00307E09"/>
    <w:rsid w:val="00307E39"/>
    <w:rsid w:val="00307E4B"/>
    <w:rsid w:val="00307F21"/>
    <w:rsid w:val="00310430"/>
    <w:rsid w:val="0031070F"/>
    <w:rsid w:val="003114FA"/>
    <w:rsid w:val="00311BEA"/>
    <w:rsid w:val="00311D79"/>
    <w:rsid w:val="00312B38"/>
    <w:rsid w:val="00312DF7"/>
    <w:rsid w:val="00312F98"/>
    <w:rsid w:val="003130D1"/>
    <w:rsid w:val="00313799"/>
    <w:rsid w:val="003138A8"/>
    <w:rsid w:val="00313907"/>
    <w:rsid w:val="00313A44"/>
    <w:rsid w:val="00313E37"/>
    <w:rsid w:val="003145C2"/>
    <w:rsid w:val="00314D1E"/>
    <w:rsid w:val="00315073"/>
    <w:rsid w:val="00315206"/>
    <w:rsid w:val="00315241"/>
    <w:rsid w:val="003153BB"/>
    <w:rsid w:val="003159D9"/>
    <w:rsid w:val="00315F01"/>
    <w:rsid w:val="00316D9F"/>
    <w:rsid w:val="0031729F"/>
    <w:rsid w:val="003174F8"/>
    <w:rsid w:val="003175E9"/>
    <w:rsid w:val="00317FD8"/>
    <w:rsid w:val="00320487"/>
    <w:rsid w:val="003204FD"/>
    <w:rsid w:val="00320AB4"/>
    <w:rsid w:val="00320B2A"/>
    <w:rsid w:val="00320F20"/>
    <w:rsid w:val="00320F88"/>
    <w:rsid w:val="00321558"/>
    <w:rsid w:val="00321743"/>
    <w:rsid w:val="00322176"/>
    <w:rsid w:val="00322BE4"/>
    <w:rsid w:val="00322F9A"/>
    <w:rsid w:val="00322FA8"/>
    <w:rsid w:val="00323229"/>
    <w:rsid w:val="0032450A"/>
    <w:rsid w:val="00324C8C"/>
    <w:rsid w:val="00324DD1"/>
    <w:rsid w:val="00325472"/>
    <w:rsid w:val="003256BE"/>
    <w:rsid w:val="00325769"/>
    <w:rsid w:val="00325AC3"/>
    <w:rsid w:val="00326155"/>
    <w:rsid w:val="0032616B"/>
    <w:rsid w:val="00326593"/>
    <w:rsid w:val="00326B55"/>
    <w:rsid w:val="003271C5"/>
    <w:rsid w:val="00327425"/>
    <w:rsid w:val="00330509"/>
    <w:rsid w:val="003308A9"/>
    <w:rsid w:val="00330C3B"/>
    <w:rsid w:val="0033105F"/>
    <w:rsid w:val="003310A7"/>
    <w:rsid w:val="003311C5"/>
    <w:rsid w:val="003313FC"/>
    <w:rsid w:val="00331432"/>
    <w:rsid w:val="00331492"/>
    <w:rsid w:val="003314D6"/>
    <w:rsid w:val="0033159A"/>
    <w:rsid w:val="0033192F"/>
    <w:rsid w:val="00331D03"/>
    <w:rsid w:val="00332972"/>
    <w:rsid w:val="00332FF3"/>
    <w:rsid w:val="0033309B"/>
    <w:rsid w:val="00333789"/>
    <w:rsid w:val="00333B5E"/>
    <w:rsid w:val="00334087"/>
    <w:rsid w:val="0033470F"/>
    <w:rsid w:val="00334766"/>
    <w:rsid w:val="00334776"/>
    <w:rsid w:val="00334B36"/>
    <w:rsid w:val="00334E1E"/>
    <w:rsid w:val="00335066"/>
    <w:rsid w:val="003352CE"/>
    <w:rsid w:val="00335348"/>
    <w:rsid w:val="00335F25"/>
    <w:rsid w:val="00336631"/>
    <w:rsid w:val="003368A9"/>
    <w:rsid w:val="00337244"/>
    <w:rsid w:val="0033756B"/>
    <w:rsid w:val="00337793"/>
    <w:rsid w:val="00337851"/>
    <w:rsid w:val="00337863"/>
    <w:rsid w:val="00337CA7"/>
    <w:rsid w:val="00340786"/>
    <w:rsid w:val="00340CE0"/>
    <w:rsid w:val="00340FAC"/>
    <w:rsid w:val="003410AA"/>
    <w:rsid w:val="00341500"/>
    <w:rsid w:val="003418A7"/>
    <w:rsid w:val="00341B05"/>
    <w:rsid w:val="00342205"/>
    <w:rsid w:val="003423EB"/>
    <w:rsid w:val="0034276E"/>
    <w:rsid w:val="003429F1"/>
    <w:rsid w:val="00342B71"/>
    <w:rsid w:val="00342EDD"/>
    <w:rsid w:val="0034309B"/>
    <w:rsid w:val="00343737"/>
    <w:rsid w:val="00344117"/>
    <w:rsid w:val="00344353"/>
    <w:rsid w:val="0034493D"/>
    <w:rsid w:val="00344A52"/>
    <w:rsid w:val="00344B38"/>
    <w:rsid w:val="00344B3B"/>
    <w:rsid w:val="00344F04"/>
    <w:rsid w:val="0034521D"/>
    <w:rsid w:val="003459AC"/>
    <w:rsid w:val="00345FA1"/>
    <w:rsid w:val="003460FF"/>
    <w:rsid w:val="003464BD"/>
    <w:rsid w:val="00346D46"/>
    <w:rsid w:val="00346E32"/>
    <w:rsid w:val="0034755B"/>
    <w:rsid w:val="00347A59"/>
    <w:rsid w:val="00347CDF"/>
    <w:rsid w:val="00347EB7"/>
    <w:rsid w:val="00347EC1"/>
    <w:rsid w:val="0035004A"/>
    <w:rsid w:val="00350062"/>
    <w:rsid w:val="00350336"/>
    <w:rsid w:val="00350EF3"/>
    <w:rsid w:val="00351513"/>
    <w:rsid w:val="00351BD9"/>
    <w:rsid w:val="00351D96"/>
    <w:rsid w:val="0035293A"/>
    <w:rsid w:val="00352A20"/>
    <w:rsid w:val="00352C2B"/>
    <w:rsid w:val="00352F76"/>
    <w:rsid w:val="0035338B"/>
    <w:rsid w:val="003533A4"/>
    <w:rsid w:val="0035368F"/>
    <w:rsid w:val="00354E8D"/>
    <w:rsid w:val="0035525B"/>
    <w:rsid w:val="003554A7"/>
    <w:rsid w:val="0035551E"/>
    <w:rsid w:val="00355C2D"/>
    <w:rsid w:val="00355C89"/>
    <w:rsid w:val="00356698"/>
    <w:rsid w:val="003566BC"/>
    <w:rsid w:val="00356CE8"/>
    <w:rsid w:val="00356E6D"/>
    <w:rsid w:val="00357974"/>
    <w:rsid w:val="003579F2"/>
    <w:rsid w:val="003579F9"/>
    <w:rsid w:val="00360058"/>
    <w:rsid w:val="00360470"/>
    <w:rsid w:val="00360BE6"/>
    <w:rsid w:val="00360D78"/>
    <w:rsid w:val="00361524"/>
    <w:rsid w:val="003615A7"/>
    <w:rsid w:val="00361EAF"/>
    <w:rsid w:val="00361FC7"/>
    <w:rsid w:val="00362463"/>
    <w:rsid w:val="0036257D"/>
    <w:rsid w:val="003628B0"/>
    <w:rsid w:val="00363014"/>
    <w:rsid w:val="0036316C"/>
    <w:rsid w:val="00363306"/>
    <w:rsid w:val="00363315"/>
    <w:rsid w:val="0036333F"/>
    <w:rsid w:val="003636BA"/>
    <w:rsid w:val="003637A5"/>
    <w:rsid w:val="00363C1A"/>
    <w:rsid w:val="00363E99"/>
    <w:rsid w:val="00364563"/>
    <w:rsid w:val="00364580"/>
    <w:rsid w:val="00364810"/>
    <w:rsid w:val="00364D6E"/>
    <w:rsid w:val="00365690"/>
    <w:rsid w:val="0036577B"/>
    <w:rsid w:val="00365959"/>
    <w:rsid w:val="00366ACD"/>
    <w:rsid w:val="00367033"/>
    <w:rsid w:val="0036746D"/>
    <w:rsid w:val="003674D9"/>
    <w:rsid w:val="00367850"/>
    <w:rsid w:val="0037017F"/>
    <w:rsid w:val="00370192"/>
    <w:rsid w:val="00370377"/>
    <w:rsid w:val="00370CE8"/>
    <w:rsid w:val="00371321"/>
    <w:rsid w:val="00371384"/>
    <w:rsid w:val="00371EEF"/>
    <w:rsid w:val="00372965"/>
    <w:rsid w:val="00372C6F"/>
    <w:rsid w:val="00373A0B"/>
    <w:rsid w:val="00373E32"/>
    <w:rsid w:val="00374293"/>
    <w:rsid w:val="0037459F"/>
    <w:rsid w:val="003748CB"/>
    <w:rsid w:val="00374CB3"/>
    <w:rsid w:val="003750F8"/>
    <w:rsid w:val="00375136"/>
    <w:rsid w:val="00375A02"/>
    <w:rsid w:val="00375C31"/>
    <w:rsid w:val="00376467"/>
    <w:rsid w:val="0037671F"/>
    <w:rsid w:val="003768F5"/>
    <w:rsid w:val="00376A38"/>
    <w:rsid w:val="0037735E"/>
    <w:rsid w:val="00377580"/>
    <w:rsid w:val="00377E04"/>
    <w:rsid w:val="00377FA0"/>
    <w:rsid w:val="00380210"/>
    <w:rsid w:val="00380F3E"/>
    <w:rsid w:val="00380F49"/>
    <w:rsid w:val="003810AB"/>
    <w:rsid w:val="00381745"/>
    <w:rsid w:val="00381764"/>
    <w:rsid w:val="00382167"/>
    <w:rsid w:val="003823D5"/>
    <w:rsid w:val="00382926"/>
    <w:rsid w:val="0038300C"/>
    <w:rsid w:val="0038363F"/>
    <w:rsid w:val="003836A5"/>
    <w:rsid w:val="00383E33"/>
    <w:rsid w:val="003845BC"/>
    <w:rsid w:val="003849E0"/>
    <w:rsid w:val="00384DDA"/>
    <w:rsid w:val="00385316"/>
    <w:rsid w:val="00385328"/>
    <w:rsid w:val="003854E9"/>
    <w:rsid w:val="003855B5"/>
    <w:rsid w:val="0038577D"/>
    <w:rsid w:val="00385BBA"/>
    <w:rsid w:val="00385C8A"/>
    <w:rsid w:val="003862A1"/>
    <w:rsid w:val="00386827"/>
    <w:rsid w:val="00386BAA"/>
    <w:rsid w:val="0038746F"/>
    <w:rsid w:val="003878ED"/>
    <w:rsid w:val="00387A3E"/>
    <w:rsid w:val="00387FF5"/>
    <w:rsid w:val="00390575"/>
    <w:rsid w:val="003906CD"/>
    <w:rsid w:val="00391125"/>
    <w:rsid w:val="0039136E"/>
    <w:rsid w:val="003913BD"/>
    <w:rsid w:val="00391F0E"/>
    <w:rsid w:val="00391FAE"/>
    <w:rsid w:val="003922B1"/>
    <w:rsid w:val="0039296F"/>
    <w:rsid w:val="00392AFB"/>
    <w:rsid w:val="003930B5"/>
    <w:rsid w:val="0039334A"/>
    <w:rsid w:val="00393394"/>
    <w:rsid w:val="00393468"/>
    <w:rsid w:val="0039351E"/>
    <w:rsid w:val="00393585"/>
    <w:rsid w:val="003935B9"/>
    <w:rsid w:val="003935CB"/>
    <w:rsid w:val="00394D15"/>
    <w:rsid w:val="00395CCF"/>
    <w:rsid w:val="00396338"/>
    <w:rsid w:val="00396749"/>
    <w:rsid w:val="003967B0"/>
    <w:rsid w:val="00396958"/>
    <w:rsid w:val="00396B1E"/>
    <w:rsid w:val="00396BCA"/>
    <w:rsid w:val="00396E17"/>
    <w:rsid w:val="0039723A"/>
    <w:rsid w:val="00397280"/>
    <w:rsid w:val="003973DD"/>
    <w:rsid w:val="003A06C5"/>
    <w:rsid w:val="003A0890"/>
    <w:rsid w:val="003A0A29"/>
    <w:rsid w:val="003A0C97"/>
    <w:rsid w:val="003A15CC"/>
    <w:rsid w:val="003A1AF7"/>
    <w:rsid w:val="003A1D8D"/>
    <w:rsid w:val="003A221F"/>
    <w:rsid w:val="003A257E"/>
    <w:rsid w:val="003A25F4"/>
    <w:rsid w:val="003A295A"/>
    <w:rsid w:val="003A3159"/>
    <w:rsid w:val="003A39C7"/>
    <w:rsid w:val="003A3A4D"/>
    <w:rsid w:val="003A3AC4"/>
    <w:rsid w:val="003A3D0E"/>
    <w:rsid w:val="003A3D9A"/>
    <w:rsid w:val="003A409D"/>
    <w:rsid w:val="003A4129"/>
    <w:rsid w:val="003A420E"/>
    <w:rsid w:val="003A4801"/>
    <w:rsid w:val="003A48A3"/>
    <w:rsid w:val="003A4AAF"/>
    <w:rsid w:val="003A4B2E"/>
    <w:rsid w:val="003A54BC"/>
    <w:rsid w:val="003A5737"/>
    <w:rsid w:val="003A589B"/>
    <w:rsid w:val="003A58AF"/>
    <w:rsid w:val="003A60BE"/>
    <w:rsid w:val="003A7236"/>
    <w:rsid w:val="003A7911"/>
    <w:rsid w:val="003B019B"/>
    <w:rsid w:val="003B01E4"/>
    <w:rsid w:val="003B03DD"/>
    <w:rsid w:val="003B06D0"/>
    <w:rsid w:val="003B088E"/>
    <w:rsid w:val="003B1014"/>
    <w:rsid w:val="003B106B"/>
    <w:rsid w:val="003B19EF"/>
    <w:rsid w:val="003B1EA1"/>
    <w:rsid w:val="003B1F25"/>
    <w:rsid w:val="003B27DF"/>
    <w:rsid w:val="003B2E07"/>
    <w:rsid w:val="003B3656"/>
    <w:rsid w:val="003B3951"/>
    <w:rsid w:val="003B39FB"/>
    <w:rsid w:val="003B3BDF"/>
    <w:rsid w:val="003B44AF"/>
    <w:rsid w:val="003B46C7"/>
    <w:rsid w:val="003B4719"/>
    <w:rsid w:val="003B4787"/>
    <w:rsid w:val="003B4F0C"/>
    <w:rsid w:val="003B50BA"/>
    <w:rsid w:val="003B5452"/>
    <w:rsid w:val="003B5717"/>
    <w:rsid w:val="003B5B2E"/>
    <w:rsid w:val="003B5CAF"/>
    <w:rsid w:val="003B5EA5"/>
    <w:rsid w:val="003B6166"/>
    <w:rsid w:val="003B64E5"/>
    <w:rsid w:val="003B6534"/>
    <w:rsid w:val="003B6927"/>
    <w:rsid w:val="003B696F"/>
    <w:rsid w:val="003B6D41"/>
    <w:rsid w:val="003B76CE"/>
    <w:rsid w:val="003B7749"/>
    <w:rsid w:val="003B7C7B"/>
    <w:rsid w:val="003B7CA4"/>
    <w:rsid w:val="003C0E58"/>
    <w:rsid w:val="003C14B1"/>
    <w:rsid w:val="003C1591"/>
    <w:rsid w:val="003C199E"/>
    <w:rsid w:val="003C2280"/>
    <w:rsid w:val="003C259F"/>
    <w:rsid w:val="003C2AA7"/>
    <w:rsid w:val="003C2F47"/>
    <w:rsid w:val="003C3846"/>
    <w:rsid w:val="003C38C8"/>
    <w:rsid w:val="003C44D1"/>
    <w:rsid w:val="003C4733"/>
    <w:rsid w:val="003C4F06"/>
    <w:rsid w:val="003C5A14"/>
    <w:rsid w:val="003C5A4F"/>
    <w:rsid w:val="003C5D9C"/>
    <w:rsid w:val="003C5DE7"/>
    <w:rsid w:val="003C6080"/>
    <w:rsid w:val="003C634A"/>
    <w:rsid w:val="003C6592"/>
    <w:rsid w:val="003C667C"/>
    <w:rsid w:val="003C717C"/>
    <w:rsid w:val="003C72A1"/>
    <w:rsid w:val="003C7335"/>
    <w:rsid w:val="003C7651"/>
    <w:rsid w:val="003C7879"/>
    <w:rsid w:val="003C79DB"/>
    <w:rsid w:val="003D029E"/>
    <w:rsid w:val="003D067C"/>
    <w:rsid w:val="003D0906"/>
    <w:rsid w:val="003D13D8"/>
    <w:rsid w:val="003D140A"/>
    <w:rsid w:val="003D15B7"/>
    <w:rsid w:val="003D15ED"/>
    <w:rsid w:val="003D1608"/>
    <w:rsid w:val="003D20E1"/>
    <w:rsid w:val="003D2486"/>
    <w:rsid w:val="003D295A"/>
    <w:rsid w:val="003D2A35"/>
    <w:rsid w:val="003D2AD3"/>
    <w:rsid w:val="003D321B"/>
    <w:rsid w:val="003D35FA"/>
    <w:rsid w:val="003D39EF"/>
    <w:rsid w:val="003D414B"/>
    <w:rsid w:val="003D41BA"/>
    <w:rsid w:val="003D41C7"/>
    <w:rsid w:val="003D420B"/>
    <w:rsid w:val="003D45E1"/>
    <w:rsid w:val="003D491B"/>
    <w:rsid w:val="003D4CC1"/>
    <w:rsid w:val="003D529E"/>
    <w:rsid w:val="003D5427"/>
    <w:rsid w:val="003D6474"/>
    <w:rsid w:val="003D664F"/>
    <w:rsid w:val="003D6670"/>
    <w:rsid w:val="003D6A09"/>
    <w:rsid w:val="003D6F67"/>
    <w:rsid w:val="003D707F"/>
    <w:rsid w:val="003D71D5"/>
    <w:rsid w:val="003D74EF"/>
    <w:rsid w:val="003D7671"/>
    <w:rsid w:val="003D7C9F"/>
    <w:rsid w:val="003E00E2"/>
    <w:rsid w:val="003E0CAF"/>
    <w:rsid w:val="003E1122"/>
    <w:rsid w:val="003E1207"/>
    <w:rsid w:val="003E12C9"/>
    <w:rsid w:val="003E1604"/>
    <w:rsid w:val="003E1766"/>
    <w:rsid w:val="003E18F5"/>
    <w:rsid w:val="003E1A61"/>
    <w:rsid w:val="003E21C5"/>
    <w:rsid w:val="003E279B"/>
    <w:rsid w:val="003E2AB7"/>
    <w:rsid w:val="003E2F36"/>
    <w:rsid w:val="003E2FB3"/>
    <w:rsid w:val="003E3094"/>
    <w:rsid w:val="003E37A0"/>
    <w:rsid w:val="003E393E"/>
    <w:rsid w:val="003E3B5E"/>
    <w:rsid w:val="003E3CFE"/>
    <w:rsid w:val="003E4066"/>
    <w:rsid w:val="003E46CB"/>
    <w:rsid w:val="003E4853"/>
    <w:rsid w:val="003E4AE0"/>
    <w:rsid w:val="003E507E"/>
    <w:rsid w:val="003E5394"/>
    <w:rsid w:val="003E5CF4"/>
    <w:rsid w:val="003E678B"/>
    <w:rsid w:val="003E6CCA"/>
    <w:rsid w:val="003E6D93"/>
    <w:rsid w:val="003E73AA"/>
    <w:rsid w:val="003E76C6"/>
    <w:rsid w:val="003F0186"/>
    <w:rsid w:val="003F01A6"/>
    <w:rsid w:val="003F038A"/>
    <w:rsid w:val="003F0555"/>
    <w:rsid w:val="003F08BD"/>
    <w:rsid w:val="003F09E9"/>
    <w:rsid w:val="003F0D0F"/>
    <w:rsid w:val="003F11D8"/>
    <w:rsid w:val="003F1222"/>
    <w:rsid w:val="003F1303"/>
    <w:rsid w:val="003F1AAC"/>
    <w:rsid w:val="003F1C6D"/>
    <w:rsid w:val="003F1D12"/>
    <w:rsid w:val="003F1E3F"/>
    <w:rsid w:val="003F1ECD"/>
    <w:rsid w:val="003F2C12"/>
    <w:rsid w:val="003F3195"/>
    <w:rsid w:val="003F32A8"/>
    <w:rsid w:val="003F34C4"/>
    <w:rsid w:val="003F3673"/>
    <w:rsid w:val="003F3760"/>
    <w:rsid w:val="003F442C"/>
    <w:rsid w:val="003F465F"/>
    <w:rsid w:val="003F47AB"/>
    <w:rsid w:val="003F47D1"/>
    <w:rsid w:val="003F4B6C"/>
    <w:rsid w:val="003F4DAF"/>
    <w:rsid w:val="003F5A39"/>
    <w:rsid w:val="003F5B8E"/>
    <w:rsid w:val="003F5EE6"/>
    <w:rsid w:val="003F6039"/>
    <w:rsid w:val="003F67D7"/>
    <w:rsid w:val="003F68C3"/>
    <w:rsid w:val="003F7144"/>
    <w:rsid w:val="003F73C6"/>
    <w:rsid w:val="003F74EF"/>
    <w:rsid w:val="003F757C"/>
    <w:rsid w:val="003F7675"/>
    <w:rsid w:val="00400195"/>
    <w:rsid w:val="00400758"/>
    <w:rsid w:val="00400A77"/>
    <w:rsid w:val="00401262"/>
    <w:rsid w:val="00401B6E"/>
    <w:rsid w:val="0040291B"/>
    <w:rsid w:val="00404123"/>
    <w:rsid w:val="00404550"/>
    <w:rsid w:val="00404976"/>
    <w:rsid w:val="00404B91"/>
    <w:rsid w:val="00404BB2"/>
    <w:rsid w:val="0040541F"/>
    <w:rsid w:val="00405424"/>
    <w:rsid w:val="00405C8A"/>
    <w:rsid w:val="00406889"/>
    <w:rsid w:val="00406DEE"/>
    <w:rsid w:val="00406E48"/>
    <w:rsid w:val="004072DC"/>
    <w:rsid w:val="004074B0"/>
    <w:rsid w:val="004075B4"/>
    <w:rsid w:val="00407B23"/>
    <w:rsid w:val="00407C6C"/>
    <w:rsid w:val="00410081"/>
    <w:rsid w:val="00410502"/>
    <w:rsid w:val="00410971"/>
    <w:rsid w:val="00410E96"/>
    <w:rsid w:val="00410F5C"/>
    <w:rsid w:val="00411C1D"/>
    <w:rsid w:val="00411FD7"/>
    <w:rsid w:val="0041213F"/>
    <w:rsid w:val="0041242B"/>
    <w:rsid w:val="00412A04"/>
    <w:rsid w:val="00412C22"/>
    <w:rsid w:val="00412C54"/>
    <w:rsid w:val="00412DB7"/>
    <w:rsid w:val="0041307A"/>
    <w:rsid w:val="00413397"/>
    <w:rsid w:val="00413D02"/>
    <w:rsid w:val="00413DF7"/>
    <w:rsid w:val="004141EF"/>
    <w:rsid w:val="00414721"/>
    <w:rsid w:val="00414FC0"/>
    <w:rsid w:val="004150A8"/>
    <w:rsid w:val="0041538F"/>
    <w:rsid w:val="0041570A"/>
    <w:rsid w:val="004158E1"/>
    <w:rsid w:val="00415B20"/>
    <w:rsid w:val="004167D5"/>
    <w:rsid w:val="00417B00"/>
    <w:rsid w:val="00417D0F"/>
    <w:rsid w:val="00417E9B"/>
    <w:rsid w:val="00417ECD"/>
    <w:rsid w:val="0042007E"/>
    <w:rsid w:val="00420473"/>
    <w:rsid w:val="00420694"/>
    <w:rsid w:val="00420703"/>
    <w:rsid w:val="0042081E"/>
    <w:rsid w:val="00420E0C"/>
    <w:rsid w:val="00421989"/>
    <w:rsid w:val="00421C02"/>
    <w:rsid w:val="004220D3"/>
    <w:rsid w:val="00422163"/>
    <w:rsid w:val="00422B00"/>
    <w:rsid w:val="00422F9A"/>
    <w:rsid w:val="0042331A"/>
    <w:rsid w:val="00423479"/>
    <w:rsid w:val="00424B49"/>
    <w:rsid w:val="00424BC0"/>
    <w:rsid w:val="00424CD9"/>
    <w:rsid w:val="00424EE9"/>
    <w:rsid w:val="00425365"/>
    <w:rsid w:val="00425A9F"/>
    <w:rsid w:val="00425C82"/>
    <w:rsid w:val="004261C5"/>
    <w:rsid w:val="004267BD"/>
    <w:rsid w:val="00426D00"/>
    <w:rsid w:val="00427071"/>
    <w:rsid w:val="00427AC9"/>
    <w:rsid w:val="00427DF3"/>
    <w:rsid w:val="0043000A"/>
    <w:rsid w:val="0043033C"/>
    <w:rsid w:val="004304BD"/>
    <w:rsid w:val="00430A35"/>
    <w:rsid w:val="00430E1F"/>
    <w:rsid w:val="00431223"/>
    <w:rsid w:val="004312F7"/>
    <w:rsid w:val="004318F3"/>
    <w:rsid w:val="0043232C"/>
    <w:rsid w:val="00432C14"/>
    <w:rsid w:val="00432D80"/>
    <w:rsid w:val="00432EC8"/>
    <w:rsid w:val="00433ACC"/>
    <w:rsid w:val="004341E9"/>
    <w:rsid w:val="00434323"/>
    <w:rsid w:val="00434720"/>
    <w:rsid w:val="00434C76"/>
    <w:rsid w:val="00434CA4"/>
    <w:rsid w:val="00434F97"/>
    <w:rsid w:val="00436AF2"/>
    <w:rsid w:val="00436D44"/>
    <w:rsid w:val="004379FE"/>
    <w:rsid w:val="00440002"/>
    <w:rsid w:val="00440C07"/>
    <w:rsid w:val="00440C48"/>
    <w:rsid w:val="00440D83"/>
    <w:rsid w:val="00440E3B"/>
    <w:rsid w:val="0044111B"/>
    <w:rsid w:val="00441344"/>
    <w:rsid w:val="00441985"/>
    <w:rsid w:val="00441E7C"/>
    <w:rsid w:val="00441F13"/>
    <w:rsid w:val="00441FF4"/>
    <w:rsid w:val="0044234E"/>
    <w:rsid w:val="0044266D"/>
    <w:rsid w:val="004437DC"/>
    <w:rsid w:val="00443A4C"/>
    <w:rsid w:val="004443AB"/>
    <w:rsid w:val="00444624"/>
    <w:rsid w:val="0044486A"/>
    <w:rsid w:val="004448DB"/>
    <w:rsid w:val="004450D0"/>
    <w:rsid w:val="0044527B"/>
    <w:rsid w:val="00445D17"/>
    <w:rsid w:val="00445E64"/>
    <w:rsid w:val="00445F93"/>
    <w:rsid w:val="0044645D"/>
    <w:rsid w:val="00446746"/>
    <w:rsid w:val="00446778"/>
    <w:rsid w:val="00446AD1"/>
    <w:rsid w:val="00446FF5"/>
    <w:rsid w:val="004473E1"/>
    <w:rsid w:val="00447435"/>
    <w:rsid w:val="00447467"/>
    <w:rsid w:val="00447BE4"/>
    <w:rsid w:val="00447CC7"/>
    <w:rsid w:val="004501C4"/>
    <w:rsid w:val="00452DA6"/>
    <w:rsid w:val="0045342A"/>
    <w:rsid w:val="00453531"/>
    <w:rsid w:val="004539F3"/>
    <w:rsid w:val="00453E52"/>
    <w:rsid w:val="00453F61"/>
    <w:rsid w:val="00454DCF"/>
    <w:rsid w:val="00454F37"/>
    <w:rsid w:val="00455072"/>
    <w:rsid w:val="004551C5"/>
    <w:rsid w:val="0045536D"/>
    <w:rsid w:val="0045563A"/>
    <w:rsid w:val="00455C0B"/>
    <w:rsid w:val="00455F76"/>
    <w:rsid w:val="0045615C"/>
    <w:rsid w:val="00456918"/>
    <w:rsid w:val="00457452"/>
    <w:rsid w:val="00457539"/>
    <w:rsid w:val="00460676"/>
    <w:rsid w:val="00460959"/>
    <w:rsid w:val="00460A2F"/>
    <w:rsid w:val="00460A33"/>
    <w:rsid w:val="00460DFC"/>
    <w:rsid w:val="00461390"/>
    <w:rsid w:val="00462344"/>
    <w:rsid w:val="00462792"/>
    <w:rsid w:val="00462882"/>
    <w:rsid w:val="00462DBD"/>
    <w:rsid w:val="00462DFC"/>
    <w:rsid w:val="00462EC3"/>
    <w:rsid w:val="00463713"/>
    <w:rsid w:val="00463762"/>
    <w:rsid w:val="004640DE"/>
    <w:rsid w:val="00464A54"/>
    <w:rsid w:val="00464B57"/>
    <w:rsid w:val="00464F15"/>
    <w:rsid w:val="004655F2"/>
    <w:rsid w:val="00465E1C"/>
    <w:rsid w:val="00466288"/>
    <w:rsid w:val="00466633"/>
    <w:rsid w:val="00466917"/>
    <w:rsid w:val="00466A68"/>
    <w:rsid w:val="00466E1F"/>
    <w:rsid w:val="004672C9"/>
    <w:rsid w:val="00467A07"/>
    <w:rsid w:val="00467DDF"/>
    <w:rsid w:val="00467E6F"/>
    <w:rsid w:val="0047087C"/>
    <w:rsid w:val="004709CF"/>
    <w:rsid w:val="00470D72"/>
    <w:rsid w:val="0047104F"/>
    <w:rsid w:val="004712BA"/>
    <w:rsid w:val="004715DB"/>
    <w:rsid w:val="004717FC"/>
    <w:rsid w:val="00471DBD"/>
    <w:rsid w:val="00471EA3"/>
    <w:rsid w:val="004721DE"/>
    <w:rsid w:val="00472AD8"/>
    <w:rsid w:val="00472C6D"/>
    <w:rsid w:val="00472D57"/>
    <w:rsid w:val="0047319E"/>
    <w:rsid w:val="0047343D"/>
    <w:rsid w:val="004737AB"/>
    <w:rsid w:val="004737D2"/>
    <w:rsid w:val="00474861"/>
    <w:rsid w:val="004749D1"/>
    <w:rsid w:val="004750E2"/>
    <w:rsid w:val="004756A4"/>
    <w:rsid w:val="0047572F"/>
    <w:rsid w:val="004757DD"/>
    <w:rsid w:val="00475A00"/>
    <w:rsid w:val="00475DE8"/>
    <w:rsid w:val="0047620B"/>
    <w:rsid w:val="004765C1"/>
    <w:rsid w:val="00476839"/>
    <w:rsid w:val="00476901"/>
    <w:rsid w:val="00477156"/>
    <w:rsid w:val="00477658"/>
    <w:rsid w:val="00477886"/>
    <w:rsid w:val="00480042"/>
    <w:rsid w:val="00480314"/>
    <w:rsid w:val="00480836"/>
    <w:rsid w:val="0048093C"/>
    <w:rsid w:val="00480C6C"/>
    <w:rsid w:val="004813F4"/>
    <w:rsid w:val="00481755"/>
    <w:rsid w:val="00481909"/>
    <w:rsid w:val="004836FC"/>
    <w:rsid w:val="00483CE2"/>
    <w:rsid w:val="00483E6B"/>
    <w:rsid w:val="00483EBC"/>
    <w:rsid w:val="004842F9"/>
    <w:rsid w:val="004847E2"/>
    <w:rsid w:val="00484846"/>
    <w:rsid w:val="004856FD"/>
    <w:rsid w:val="00485EFB"/>
    <w:rsid w:val="0048633C"/>
    <w:rsid w:val="0048659B"/>
    <w:rsid w:val="004865F3"/>
    <w:rsid w:val="00487507"/>
    <w:rsid w:val="00487663"/>
    <w:rsid w:val="004877CE"/>
    <w:rsid w:val="00487AA1"/>
    <w:rsid w:val="00487AA5"/>
    <w:rsid w:val="00487D87"/>
    <w:rsid w:val="00490564"/>
    <w:rsid w:val="0049089F"/>
    <w:rsid w:val="0049099D"/>
    <w:rsid w:val="00490C1E"/>
    <w:rsid w:val="00490E4A"/>
    <w:rsid w:val="00490E94"/>
    <w:rsid w:val="004913DD"/>
    <w:rsid w:val="004914C9"/>
    <w:rsid w:val="00491AF2"/>
    <w:rsid w:val="00491DE1"/>
    <w:rsid w:val="00491F25"/>
    <w:rsid w:val="00491FB0"/>
    <w:rsid w:val="00492077"/>
    <w:rsid w:val="004920BE"/>
    <w:rsid w:val="004922CB"/>
    <w:rsid w:val="004923E3"/>
    <w:rsid w:val="00492652"/>
    <w:rsid w:val="00492788"/>
    <w:rsid w:val="00492CC9"/>
    <w:rsid w:val="004930C9"/>
    <w:rsid w:val="004937B0"/>
    <w:rsid w:val="00493F13"/>
    <w:rsid w:val="004948F2"/>
    <w:rsid w:val="004954B5"/>
    <w:rsid w:val="00495607"/>
    <w:rsid w:val="00495774"/>
    <w:rsid w:val="00495F75"/>
    <w:rsid w:val="00496151"/>
    <w:rsid w:val="00496379"/>
    <w:rsid w:val="004968A8"/>
    <w:rsid w:val="004969CB"/>
    <w:rsid w:val="00496CB2"/>
    <w:rsid w:val="00496D6D"/>
    <w:rsid w:val="00497689"/>
    <w:rsid w:val="00497B8B"/>
    <w:rsid w:val="00497DD4"/>
    <w:rsid w:val="004A0111"/>
    <w:rsid w:val="004A0A58"/>
    <w:rsid w:val="004A0E9E"/>
    <w:rsid w:val="004A0FBA"/>
    <w:rsid w:val="004A1431"/>
    <w:rsid w:val="004A16AC"/>
    <w:rsid w:val="004A1B28"/>
    <w:rsid w:val="004A1C37"/>
    <w:rsid w:val="004A20D4"/>
    <w:rsid w:val="004A2BF9"/>
    <w:rsid w:val="004A2C3A"/>
    <w:rsid w:val="004A38BC"/>
    <w:rsid w:val="004A39B3"/>
    <w:rsid w:val="004A3A16"/>
    <w:rsid w:val="004A41D8"/>
    <w:rsid w:val="004A443B"/>
    <w:rsid w:val="004A4FC1"/>
    <w:rsid w:val="004A5BC6"/>
    <w:rsid w:val="004A606E"/>
    <w:rsid w:val="004A6087"/>
    <w:rsid w:val="004A67DF"/>
    <w:rsid w:val="004A69F3"/>
    <w:rsid w:val="004A6F03"/>
    <w:rsid w:val="004A73AA"/>
    <w:rsid w:val="004B014F"/>
    <w:rsid w:val="004B0A99"/>
    <w:rsid w:val="004B0B98"/>
    <w:rsid w:val="004B14D9"/>
    <w:rsid w:val="004B1BF9"/>
    <w:rsid w:val="004B20AC"/>
    <w:rsid w:val="004B2450"/>
    <w:rsid w:val="004B2BD8"/>
    <w:rsid w:val="004B317D"/>
    <w:rsid w:val="004B32FC"/>
    <w:rsid w:val="004B3567"/>
    <w:rsid w:val="004B39AC"/>
    <w:rsid w:val="004B3A7D"/>
    <w:rsid w:val="004B3CEC"/>
    <w:rsid w:val="004B4071"/>
    <w:rsid w:val="004B41CA"/>
    <w:rsid w:val="004B41D3"/>
    <w:rsid w:val="004B4228"/>
    <w:rsid w:val="004B47E6"/>
    <w:rsid w:val="004B4A3D"/>
    <w:rsid w:val="004B5388"/>
    <w:rsid w:val="004B55BB"/>
    <w:rsid w:val="004B5ADF"/>
    <w:rsid w:val="004B5DC2"/>
    <w:rsid w:val="004B5EF3"/>
    <w:rsid w:val="004B6067"/>
    <w:rsid w:val="004B66C4"/>
    <w:rsid w:val="004B67FA"/>
    <w:rsid w:val="004B702C"/>
    <w:rsid w:val="004B7411"/>
    <w:rsid w:val="004B74DA"/>
    <w:rsid w:val="004B7A23"/>
    <w:rsid w:val="004B7C2B"/>
    <w:rsid w:val="004C009E"/>
    <w:rsid w:val="004C031E"/>
    <w:rsid w:val="004C0413"/>
    <w:rsid w:val="004C0C7B"/>
    <w:rsid w:val="004C146C"/>
    <w:rsid w:val="004C1CED"/>
    <w:rsid w:val="004C1F3B"/>
    <w:rsid w:val="004C2707"/>
    <w:rsid w:val="004C2C78"/>
    <w:rsid w:val="004C30CA"/>
    <w:rsid w:val="004C376F"/>
    <w:rsid w:val="004C3B8E"/>
    <w:rsid w:val="004C431E"/>
    <w:rsid w:val="004C43B3"/>
    <w:rsid w:val="004C458A"/>
    <w:rsid w:val="004C4C7A"/>
    <w:rsid w:val="004C4E08"/>
    <w:rsid w:val="004C4F65"/>
    <w:rsid w:val="004C5DDA"/>
    <w:rsid w:val="004C5F4E"/>
    <w:rsid w:val="004C60F8"/>
    <w:rsid w:val="004C65C9"/>
    <w:rsid w:val="004C665A"/>
    <w:rsid w:val="004C6876"/>
    <w:rsid w:val="004C6BE5"/>
    <w:rsid w:val="004C6EDF"/>
    <w:rsid w:val="004C6F08"/>
    <w:rsid w:val="004C75F6"/>
    <w:rsid w:val="004C7DEF"/>
    <w:rsid w:val="004D0198"/>
    <w:rsid w:val="004D0314"/>
    <w:rsid w:val="004D0661"/>
    <w:rsid w:val="004D06AF"/>
    <w:rsid w:val="004D0892"/>
    <w:rsid w:val="004D0E36"/>
    <w:rsid w:val="004D0FB4"/>
    <w:rsid w:val="004D15F0"/>
    <w:rsid w:val="004D1AD3"/>
    <w:rsid w:val="004D311F"/>
    <w:rsid w:val="004D377C"/>
    <w:rsid w:val="004D47C1"/>
    <w:rsid w:val="004D4B5F"/>
    <w:rsid w:val="004D4EF0"/>
    <w:rsid w:val="004D52E2"/>
    <w:rsid w:val="004D54BD"/>
    <w:rsid w:val="004D6524"/>
    <w:rsid w:val="004D68BE"/>
    <w:rsid w:val="004D6BD9"/>
    <w:rsid w:val="004D6CE6"/>
    <w:rsid w:val="004D789A"/>
    <w:rsid w:val="004E0134"/>
    <w:rsid w:val="004E0695"/>
    <w:rsid w:val="004E081A"/>
    <w:rsid w:val="004E09DC"/>
    <w:rsid w:val="004E0C46"/>
    <w:rsid w:val="004E0F90"/>
    <w:rsid w:val="004E1162"/>
    <w:rsid w:val="004E13CC"/>
    <w:rsid w:val="004E15AE"/>
    <w:rsid w:val="004E1731"/>
    <w:rsid w:val="004E1D47"/>
    <w:rsid w:val="004E20A2"/>
    <w:rsid w:val="004E24CA"/>
    <w:rsid w:val="004E2A05"/>
    <w:rsid w:val="004E31BA"/>
    <w:rsid w:val="004E3436"/>
    <w:rsid w:val="004E3872"/>
    <w:rsid w:val="004E3966"/>
    <w:rsid w:val="004E3AFB"/>
    <w:rsid w:val="004E3D62"/>
    <w:rsid w:val="004E3DBA"/>
    <w:rsid w:val="004E4295"/>
    <w:rsid w:val="004E43D2"/>
    <w:rsid w:val="004E45A3"/>
    <w:rsid w:val="004E4646"/>
    <w:rsid w:val="004E46AA"/>
    <w:rsid w:val="004E46DA"/>
    <w:rsid w:val="004E4E79"/>
    <w:rsid w:val="004E5150"/>
    <w:rsid w:val="004E59B2"/>
    <w:rsid w:val="004E5B4A"/>
    <w:rsid w:val="004E5E56"/>
    <w:rsid w:val="004E604F"/>
    <w:rsid w:val="004E6C06"/>
    <w:rsid w:val="004E73E8"/>
    <w:rsid w:val="004E74EC"/>
    <w:rsid w:val="004E7BF8"/>
    <w:rsid w:val="004E7DEA"/>
    <w:rsid w:val="004F0397"/>
    <w:rsid w:val="004F04CD"/>
    <w:rsid w:val="004F0789"/>
    <w:rsid w:val="004F0914"/>
    <w:rsid w:val="004F141F"/>
    <w:rsid w:val="004F2000"/>
    <w:rsid w:val="004F2318"/>
    <w:rsid w:val="004F24FB"/>
    <w:rsid w:val="004F266A"/>
    <w:rsid w:val="004F26ED"/>
    <w:rsid w:val="004F2F44"/>
    <w:rsid w:val="004F2F68"/>
    <w:rsid w:val="004F3176"/>
    <w:rsid w:val="004F3D32"/>
    <w:rsid w:val="004F4735"/>
    <w:rsid w:val="004F539C"/>
    <w:rsid w:val="004F563A"/>
    <w:rsid w:val="004F5B6B"/>
    <w:rsid w:val="004F5B94"/>
    <w:rsid w:val="004F5BC4"/>
    <w:rsid w:val="004F63B9"/>
    <w:rsid w:val="004F709F"/>
    <w:rsid w:val="004F7288"/>
    <w:rsid w:val="004F767C"/>
    <w:rsid w:val="00500010"/>
    <w:rsid w:val="005001A2"/>
    <w:rsid w:val="005001BC"/>
    <w:rsid w:val="00500BFA"/>
    <w:rsid w:val="00500DD6"/>
    <w:rsid w:val="005013E6"/>
    <w:rsid w:val="00501648"/>
    <w:rsid w:val="00501C83"/>
    <w:rsid w:val="005024E0"/>
    <w:rsid w:val="0050271A"/>
    <w:rsid w:val="00502E71"/>
    <w:rsid w:val="00502EA5"/>
    <w:rsid w:val="00503A88"/>
    <w:rsid w:val="005042A1"/>
    <w:rsid w:val="005042BC"/>
    <w:rsid w:val="005047FC"/>
    <w:rsid w:val="00504C80"/>
    <w:rsid w:val="00505568"/>
    <w:rsid w:val="0050598A"/>
    <w:rsid w:val="005061E5"/>
    <w:rsid w:val="005062B4"/>
    <w:rsid w:val="00506384"/>
    <w:rsid w:val="00506986"/>
    <w:rsid w:val="00506AF3"/>
    <w:rsid w:val="00506F08"/>
    <w:rsid w:val="005074FD"/>
    <w:rsid w:val="005075E1"/>
    <w:rsid w:val="00507B6A"/>
    <w:rsid w:val="005104CF"/>
    <w:rsid w:val="00510E7E"/>
    <w:rsid w:val="00510F27"/>
    <w:rsid w:val="00511504"/>
    <w:rsid w:val="005119C0"/>
    <w:rsid w:val="00511B57"/>
    <w:rsid w:val="00511EE9"/>
    <w:rsid w:val="005125B1"/>
    <w:rsid w:val="005133D4"/>
    <w:rsid w:val="00513759"/>
    <w:rsid w:val="00514262"/>
    <w:rsid w:val="00514327"/>
    <w:rsid w:val="00514D54"/>
    <w:rsid w:val="00515531"/>
    <w:rsid w:val="005156C2"/>
    <w:rsid w:val="005159CD"/>
    <w:rsid w:val="00515C6E"/>
    <w:rsid w:val="005160E2"/>
    <w:rsid w:val="005161AD"/>
    <w:rsid w:val="00516AAD"/>
    <w:rsid w:val="00516BBA"/>
    <w:rsid w:val="00516CBD"/>
    <w:rsid w:val="00516EB9"/>
    <w:rsid w:val="005170B4"/>
    <w:rsid w:val="0051752A"/>
    <w:rsid w:val="00517CA5"/>
    <w:rsid w:val="00517CD0"/>
    <w:rsid w:val="00517F39"/>
    <w:rsid w:val="00517FBF"/>
    <w:rsid w:val="0052020F"/>
    <w:rsid w:val="005203E7"/>
    <w:rsid w:val="005211AC"/>
    <w:rsid w:val="0052127C"/>
    <w:rsid w:val="00521371"/>
    <w:rsid w:val="00521378"/>
    <w:rsid w:val="005214E2"/>
    <w:rsid w:val="00521531"/>
    <w:rsid w:val="00521617"/>
    <w:rsid w:val="005217E8"/>
    <w:rsid w:val="00522945"/>
    <w:rsid w:val="00523070"/>
    <w:rsid w:val="00523380"/>
    <w:rsid w:val="005239B7"/>
    <w:rsid w:val="00523BD2"/>
    <w:rsid w:val="00523CBE"/>
    <w:rsid w:val="00523FAF"/>
    <w:rsid w:val="00524146"/>
    <w:rsid w:val="00524613"/>
    <w:rsid w:val="00524713"/>
    <w:rsid w:val="00524C53"/>
    <w:rsid w:val="00524CB9"/>
    <w:rsid w:val="00524EA5"/>
    <w:rsid w:val="00525257"/>
    <w:rsid w:val="00525345"/>
    <w:rsid w:val="00525B14"/>
    <w:rsid w:val="00525B7E"/>
    <w:rsid w:val="00525D95"/>
    <w:rsid w:val="005260E6"/>
    <w:rsid w:val="0052633F"/>
    <w:rsid w:val="0052674D"/>
    <w:rsid w:val="00526B74"/>
    <w:rsid w:val="00526DB4"/>
    <w:rsid w:val="00526FB4"/>
    <w:rsid w:val="00527332"/>
    <w:rsid w:val="00527901"/>
    <w:rsid w:val="00527AC5"/>
    <w:rsid w:val="00527AFB"/>
    <w:rsid w:val="00527EDB"/>
    <w:rsid w:val="0053043B"/>
    <w:rsid w:val="00530B61"/>
    <w:rsid w:val="00530FDE"/>
    <w:rsid w:val="0053152B"/>
    <w:rsid w:val="00531CF0"/>
    <w:rsid w:val="00531E6A"/>
    <w:rsid w:val="005320F7"/>
    <w:rsid w:val="0053266E"/>
    <w:rsid w:val="0053269F"/>
    <w:rsid w:val="0053288C"/>
    <w:rsid w:val="00532B67"/>
    <w:rsid w:val="00532B8D"/>
    <w:rsid w:val="00532D16"/>
    <w:rsid w:val="00532E70"/>
    <w:rsid w:val="005337B4"/>
    <w:rsid w:val="00533A1F"/>
    <w:rsid w:val="005342A1"/>
    <w:rsid w:val="00534A3F"/>
    <w:rsid w:val="00534CF1"/>
    <w:rsid w:val="005353CA"/>
    <w:rsid w:val="0053580A"/>
    <w:rsid w:val="0053590B"/>
    <w:rsid w:val="00535D0B"/>
    <w:rsid w:val="0053607E"/>
    <w:rsid w:val="00536119"/>
    <w:rsid w:val="00536390"/>
    <w:rsid w:val="0053646A"/>
    <w:rsid w:val="0053674A"/>
    <w:rsid w:val="00536EB8"/>
    <w:rsid w:val="0053709A"/>
    <w:rsid w:val="0053720F"/>
    <w:rsid w:val="00537407"/>
    <w:rsid w:val="00537415"/>
    <w:rsid w:val="00540555"/>
    <w:rsid w:val="00540A25"/>
    <w:rsid w:val="00540B24"/>
    <w:rsid w:val="00541558"/>
    <w:rsid w:val="005415DB"/>
    <w:rsid w:val="005416BB"/>
    <w:rsid w:val="005418E2"/>
    <w:rsid w:val="00541A87"/>
    <w:rsid w:val="00541CC7"/>
    <w:rsid w:val="00541D3C"/>
    <w:rsid w:val="005420B3"/>
    <w:rsid w:val="00542445"/>
    <w:rsid w:val="005426DA"/>
    <w:rsid w:val="0054272F"/>
    <w:rsid w:val="00542F7E"/>
    <w:rsid w:val="00543B10"/>
    <w:rsid w:val="00543FE7"/>
    <w:rsid w:val="00544139"/>
    <w:rsid w:val="00544370"/>
    <w:rsid w:val="00544CFB"/>
    <w:rsid w:val="00544D59"/>
    <w:rsid w:val="00545235"/>
    <w:rsid w:val="005452F5"/>
    <w:rsid w:val="00545A46"/>
    <w:rsid w:val="00546054"/>
    <w:rsid w:val="005466C0"/>
    <w:rsid w:val="005466DD"/>
    <w:rsid w:val="00546765"/>
    <w:rsid w:val="00546871"/>
    <w:rsid w:val="00547229"/>
    <w:rsid w:val="00547775"/>
    <w:rsid w:val="00547879"/>
    <w:rsid w:val="005479F1"/>
    <w:rsid w:val="00547B59"/>
    <w:rsid w:val="00547D22"/>
    <w:rsid w:val="00547E58"/>
    <w:rsid w:val="00547FD8"/>
    <w:rsid w:val="00550288"/>
    <w:rsid w:val="005509A3"/>
    <w:rsid w:val="00550D79"/>
    <w:rsid w:val="005517D2"/>
    <w:rsid w:val="00551840"/>
    <w:rsid w:val="00551980"/>
    <w:rsid w:val="00551AB3"/>
    <w:rsid w:val="00551D2E"/>
    <w:rsid w:val="00552143"/>
    <w:rsid w:val="005523C9"/>
    <w:rsid w:val="00552767"/>
    <w:rsid w:val="0055294B"/>
    <w:rsid w:val="005529F1"/>
    <w:rsid w:val="00552DD1"/>
    <w:rsid w:val="00552EEC"/>
    <w:rsid w:val="00553279"/>
    <w:rsid w:val="0055332C"/>
    <w:rsid w:val="0055349C"/>
    <w:rsid w:val="0055359F"/>
    <w:rsid w:val="005536CF"/>
    <w:rsid w:val="0055394B"/>
    <w:rsid w:val="00553C93"/>
    <w:rsid w:val="00553FA6"/>
    <w:rsid w:val="0055409C"/>
    <w:rsid w:val="00554124"/>
    <w:rsid w:val="0055413D"/>
    <w:rsid w:val="005544B3"/>
    <w:rsid w:val="005548D7"/>
    <w:rsid w:val="00554D59"/>
    <w:rsid w:val="00554DFD"/>
    <w:rsid w:val="00554E40"/>
    <w:rsid w:val="00554F97"/>
    <w:rsid w:val="00554FAB"/>
    <w:rsid w:val="005550E1"/>
    <w:rsid w:val="005554C2"/>
    <w:rsid w:val="00555ED2"/>
    <w:rsid w:val="00556745"/>
    <w:rsid w:val="00556C0A"/>
    <w:rsid w:val="00557038"/>
    <w:rsid w:val="00557071"/>
    <w:rsid w:val="0055775F"/>
    <w:rsid w:val="00557B21"/>
    <w:rsid w:val="00557E0E"/>
    <w:rsid w:val="00557E48"/>
    <w:rsid w:val="00560BE0"/>
    <w:rsid w:val="00561891"/>
    <w:rsid w:val="00562A60"/>
    <w:rsid w:val="00562AE4"/>
    <w:rsid w:val="005644B7"/>
    <w:rsid w:val="00564889"/>
    <w:rsid w:val="00564B27"/>
    <w:rsid w:val="00564C46"/>
    <w:rsid w:val="00564C9B"/>
    <w:rsid w:val="00564DE4"/>
    <w:rsid w:val="00564FA7"/>
    <w:rsid w:val="00565218"/>
    <w:rsid w:val="00565262"/>
    <w:rsid w:val="00565365"/>
    <w:rsid w:val="00565386"/>
    <w:rsid w:val="0056542C"/>
    <w:rsid w:val="005657D7"/>
    <w:rsid w:val="00565A20"/>
    <w:rsid w:val="00565BA1"/>
    <w:rsid w:val="00565BFE"/>
    <w:rsid w:val="00565F34"/>
    <w:rsid w:val="005661AF"/>
    <w:rsid w:val="005668D1"/>
    <w:rsid w:val="0056691D"/>
    <w:rsid w:val="00567355"/>
    <w:rsid w:val="0056756C"/>
    <w:rsid w:val="005679D6"/>
    <w:rsid w:val="00567D22"/>
    <w:rsid w:val="00567F9E"/>
    <w:rsid w:val="00567FC1"/>
    <w:rsid w:val="00570058"/>
    <w:rsid w:val="0057013D"/>
    <w:rsid w:val="0057038E"/>
    <w:rsid w:val="00570A13"/>
    <w:rsid w:val="00570B11"/>
    <w:rsid w:val="005710C0"/>
    <w:rsid w:val="005712B1"/>
    <w:rsid w:val="0057142E"/>
    <w:rsid w:val="005718EC"/>
    <w:rsid w:val="00572252"/>
    <w:rsid w:val="00572297"/>
    <w:rsid w:val="00572482"/>
    <w:rsid w:val="005728D8"/>
    <w:rsid w:val="00572C96"/>
    <w:rsid w:val="00572D93"/>
    <w:rsid w:val="005730AB"/>
    <w:rsid w:val="005730C8"/>
    <w:rsid w:val="00573521"/>
    <w:rsid w:val="00573774"/>
    <w:rsid w:val="00573EAB"/>
    <w:rsid w:val="005748E5"/>
    <w:rsid w:val="005750C2"/>
    <w:rsid w:val="0057515A"/>
    <w:rsid w:val="00575BC1"/>
    <w:rsid w:val="005766AA"/>
    <w:rsid w:val="00576A76"/>
    <w:rsid w:val="00576B32"/>
    <w:rsid w:val="00576DE4"/>
    <w:rsid w:val="00577129"/>
    <w:rsid w:val="005777C5"/>
    <w:rsid w:val="0058007A"/>
    <w:rsid w:val="00580937"/>
    <w:rsid w:val="00580CD8"/>
    <w:rsid w:val="00580F61"/>
    <w:rsid w:val="00580F8C"/>
    <w:rsid w:val="00580F93"/>
    <w:rsid w:val="005816DA"/>
    <w:rsid w:val="00582103"/>
    <w:rsid w:val="005828F1"/>
    <w:rsid w:val="00582E34"/>
    <w:rsid w:val="005830F2"/>
    <w:rsid w:val="005835DA"/>
    <w:rsid w:val="00583C3B"/>
    <w:rsid w:val="005843CD"/>
    <w:rsid w:val="00585A77"/>
    <w:rsid w:val="00585ABE"/>
    <w:rsid w:val="00585DEE"/>
    <w:rsid w:val="00585E2D"/>
    <w:rsid w:val="00585F7D"/>
    <w:rsid w:val="00585FAF"/>
    <w:rsid w:val="0058606B"/>
    <w:rsid w:val="00586239"/>
    <w:rsid w:val="0058649D"/>
    <w:rsid w:val="0058689F"/>
    <w:rsid w:val="005868D0"/>
    <w:rsid w:val="00586E0A"/>
    <w:rsid w:val="0058712F"/>
    <w:rsid w:val="005873D4"/>
    <w:rsid w:val="005875DB"/>
    <w:rsid w:val="00587800"/>
    <w:rsid w:val="00587993"/>
    <w:rsid w:val="00587B01"/>
    <w:rsid w:val="0059095A"/>
    <w:rsid w:val="00590BA5"/>
    <w:rsid w:val="00590F0B"/>
    <w:rsid w:val="005912B0"/>
    <w:rsid w:val="005914A0"/>
    <w:rsid w:val="0059164A"/>
    <w:rsid w:val="00591AA0"/>
    <w:rsid w:val="00591C47"/>
    <w:rsid w:val="00591C73"/>
    <w:rsid w:val="005922B5"/>
    <w:rsid w:val="005923EC"/>
    <w:rsid w:val="00592725"/>
    <w:rsid w:val="005928C5"/>
    <w:rsid w:val="00592E63"/>
    <w:rsid w:val="0059324C"/>
    <w:rsid w:val="00593297"/>
    <w:rsid w:val="005932E4"/>
    <w:rsid w:val="005935DA"/>
    <w:rsid w:val="0059381A"/>
    <w:rsid w:val="00593C34"/>
    <w:rsid w:val="00594879"/>
    <w:rsid w:val="005948A6"/>
    <w:rsid w:val="00594D73"/>
    <w:rsid w:val="00594E6B"/>
    <w:rsid w:val="00595104"/>
    <w:rsid w:val="0059591C"/>
    <w:rsid w:val="00595AB2"/>
    <w:rsid w:val="00596854"/>
    <w:rsid w:val="00597031"/>
    <w:rsid w:val="005978A0"/>
    <w:rsid w:val="00597A30"/>
    <w:rsid w:val="00597A74"/>
    <w:rsid w:val="00597E5D"/>
    <w:rsid w:val="00597FA3"/>
    <w:rsid w:val="005A0129"/>
    <w:rsid w:val="005A0B14"/>
    <w:rsid w:val="005A0EFB"/>
    <w:rsid w:val="005A1885"/>
    <w:rsid w:val="005A21BC"/>
    <w:rsid w:val="005A24DC"/>
    <w:rsid w:val="005A2571"/>
    <w:rsid w:val="005A3963"/>
    <w:rsid w:val="005A3CA5"/>
    <w:rsid w:val="005A44CA"/>
    <w:rsid w:val="005A4CCA"/>
    <w:rsid w:val="005A5A32"/>
    <w:rsid w:val="005A5C2A"/>
    <w:rsid w:val="005A5C9B"/>
    <w:rsid w:val="005A6AC4"/>
    <w:rsid w:val="005A6AE8"/>
    <w:rsid w:val="005A7007"/>
    <w:rsid w:val="005A72D7"/>
    <w:rsid w:val="005A73B5"/>
    <w:rsid w:val="005A7911"/>
    <w:rsid w:val="005A7BE4"/>
    <w:rsid w:val="005A7EBB"/>
    <w:rsid w:val="005B035A"/>
    <w:rsid w:val="005B0468"/>
    <w:rsid w:val="005B0BCF"/>
    <w:rsid w:val="005B10D9"/>
    <w:rsid w:val="005B1589"/>
    <w:rsid w:val="005B197F"/>
    <w:rsid w:val="005B1C5D"/>
    <w:rsid w:val="005B1E15"/>
    <w:rsid w:val="005B2434"/>
    <w:rsid w:val="005B2748"/>
    <w:rsid w:val="005B2B3E"/>
    <w:rsid w:val="005B2C29"/>
    <w:rsid w:val="005B2DF0"/>
    <w:rsid w:val="005B32E1"/>
    <w:rsid w:val="005B3401"/>
    <w:rsid w:val="005B3653"/>
    <w:rsid w:val="005B3700"/>
    <w:rsid w:val="005B372F"/>
    <w:rsid w:val="005B3AF5"/>
    <w:rsid w:val="005B3B0C"/>
    <w:rsid w:val="005B4024"/>
    <w:rsid w:val="005B415D"/>
    <w:rsid w:val="005B41BF"/>
    <w:rsid w:val="005B4374"/>
    <w:rsid w:val="005B4559"/>
    <w:rsid w:val="005B4689"/>
    <w:rsid w:val="005B4C2D"/>
    <w:rsid w:val="005B5237"/>
    <w:rsid w:val="005B54E9"/>
    <w:rsid w:val="005B5773"/>
    <w:rsid w:val="005B5BCD"/>
    <w:rsid w:val="005B6604"/>
    <w:rsid w:val="005B6999"/>
    <w:rsid w:val="005B6C1F"/>
    <w:rsid w:val="005B7212"/>
    <w:rsid w:val="005B77C7"/>
    <w:rsid w:val="005B79D1"/>
    <w:rsid w:val="005B7B29"/>
    <w:rsid w:val="005B7BF4"/>
    <w:rsid w:val="005C0650"/>
    <w:rsid w:val="005C0F0A"/>
    <w:rsid w:val="005C109C"/>
    <w:rsid w:val="005C1D39"/>
    <w:rsid w:val="005C1D42"/>
    <w:rsid w:val="005C2419"/>
    <w:rsid w:val="005C2439"/>
    <w:rsid w:val="005C2746"/>
    <w:rsid w:val="005C2B9F"/>
    <w:rsid w:val="005C2F7B"/>
    <w:rsid w:val="005C32A6"/>
    <w:rsid w:val="005C3A1E"/>
    <w:rsid w:val="005C3FEE"/>
    <w:rsid w:val="005C408D"/>
    <w:rsid w:val="005C4274"/>
    <w:rsid w:val="005C4796"/>
    <w:rsid w:val="005C4E3B"/>
    <w:rsid w:val="005C4F64"/>
    <w:rsid w:val="005C5AE4"/>
    <w:rsid w:val="005C5C59"/>
    <w:rsid w:val="005C5E87"/>
    <w:rsid w:val="005C5F0E"/>
    <w:rsid w:val="005C60CB"/>
    <w:rsid w:val="005C64A4"/>
    <w:rsid w:val="005C6A2F"/>
    <w:rsid w:val="005C70EE"/>
    <w:rsid w:val="005C71AA"/>
    <w:rsid w:val="005C73FB"/>
    <w:rsid w:val="005C7C55"/>
    <w:rsid w:val="005C7FB2"/>
    <w:rsid w:val="005D051A"/>
    <w:rsid w:val="005D06A2"/>
    <w:rsid w:val="005D08F9"/>
    <w:rsid w:val="005D0A1C"/>
    <w:rsid w:val="005D114B"/>
    <w:rsid w:val="005D17D2"/>
    <w:rsid w:val="005D17D6"/>
    <w:rsid w:val="005D2250"/>
    <w:rsid w:val="005D25CB"/>
    <w:rsid w:val="005D2FFD"/>
    <w:rsid w:val="005D30DB"/>
    <w:rsid w:val="005D3640"/>
    <w:rsid w:val="005D3712"/>
    <w:rsid w:val="005D3747"/>
    <w:rsid w:val="005D4042"/>
    <w:rsid w:val="005D4088"/>
    <w:rsid w:val="005D43CB"/>
    <w:rsid w:val="005D4951"/>
    <w:rsid w:val="005D52B8"/>
    <w:rsid w:val="005D6136"/>
    <w:rsid w:val="005D6209"/>
    <w:rsid w:val="005D6312"/>
    <w:rsid w:val="005D6857"/>
    <w:rsid w:val="005D707E"/>
    <w:rsid w:val="005D7574"/>
    <w:rsid w:val="005D77BD"/>
    <w:rsid w:val="005D7867"/>
    <w:rsid w:val="005D7EEA"/>
    <w:rsid w:val="005D7F1C"/>
    <w:rsid w:val="005E0670"/>
    <w:rsid w:val="005E0873"/>
    <w:rsid w:val="005E0989"/>
    <w:rsid w:val="005E0A3F"/>
    <w:rsid w:val="005E0EE0"/>
    <w:rsid w:val="005E0F68"/>
    <w:rsid w:val="005E0FB0"/>
    <w:rsid w:val="005E12E0"/>
    <w:rsid w:val="005E1717"/>
    <w:rsid w:val="005E1A9F"/>
    <w:rsid w:val="005E1E33"/>
    <w:rsid w:val="005E21C9"/>
    <w:rsid w:val="005E26D6"/>
    <w:rsid w:val="005E2907"/>
    <w:rsid w:val="005E2B9E"/>
    <w:rsid w:val="005E3057"/>
    <w:rsid w:val="005E3375"/>
    <w:rsid w:val="005E3957"/>
    <w:rsid w:val="005E3A2A"/>
    <w:rsid w:val="005E3EA2"/>
    <w:rsid w:val="005E42E3"/>
    <w:rsid w:val="005E5002"/>
    <w:rsid w:val="005E50DF"/>
    <w:rsid w:val="005E53B2"/>
    <w:rsid w:val="005E53F6"/>
    <w:rsid w:val="005E59EE"/>
    <w:rsid w:val="005E5AF6"/>
    <w:rsid w:val="005E5D7B"/>
    <w:rsid w:val="005E6014"/>
    <w:rsid w:val="005E6143"/>
    <w:rsid w:val="005E618A"/>
    <w:rsid w:val="005E6235"/>
    <w:rsid w:val="005E6419"/>
    <w:rsid w:val="005E6475"/>
    <w:rsid w:val="005E64E9"/>
    <w:rsid w:val="005E661E"/>
    <w:rsid w:val="005E670D"/>
    <w:rsid w:val="005E6B8D"/>
    <w:rsid w:val="005E6E72"/>
    <w:rsid w:val="005E6F26"/>
    <w:rsid w:val="005E7BE5"/>
    <w:rsid w:val="005E7E1E"/>
    <w:rsid w:val="005F09AA"/>
    <w:rsid w:val="005F0E48"/>
    <w:rsid w:val="005F120A"/>
    <w:rsid w:val="005F1247"/>
    <w:rsid w:val="005F12B4"/>
    <w:rsid w:val="005F162B"/>
    <w:rsid w:val="005F282D"/>
    <w:rsid w:val="005F32FC"/>
    <w:rsid w:val="005F33C2"/>
    <w:rsid w:val="005F35EB"/>
    <w:rsid w:val="005F374A"/>
    <w:rsid w:val="005F3781"/>
    <w:rsid w:val="005F3C83"/>
    <w:rsid w:val="005F4066"/>
    <w:rsid w:val="005F411A"/>
    <w:rsid w:val="005F4CC4"/>
    <w:rsid w:val="005F4EE3"/>
    <w:rsid w:val="005F5068"/>
    <w:rsid w:val="005F585D"/>
    <w:rsid w:val="005F5AD1"/>
    <w:rsid w:val="005F5F63"/>
    <w:rsid w:val="005F6133"/>
    <w:rsid w:val="005F65F9"/>
    <w:rsid w:val="005F661F"/>
    <w:rsid w:val="005F6BAB"/>
    <w:rsid w:val="005F6D10"/>
    <w:rsid w:val="005F6E29"/>
    <w:rsid w:val="005F7245"/>
    <w:rsid w:val="005F76BD"/>
    <w:rsid w:val="005F770F"/>
    <w:rsid w:val="006004E2"/>
    <w:rsid w:val="006006E5"/>
    <w:rsid w:val="00600C91"/>
    <w:rsid w:val="00601B4A"/>
    <w:rsid w:val="00601C10"/>
    <w:rsid w:val="00601C6D"/>
    <w:rsid w:val="00601D77"/>
    <w:rsid w:val="00601E0C"/>
    <w:rsid w:val="00601E59"/>
    <w:rsid w:val="00601F31"/>
    <w:rsid w:val="00602669"/>
    <w:rsid w:val="006028AB"/>
    <w:rsid w:val="006029EF"/>
    <w:rsid w:val="006031AD"/>
    <w:rsid w:val="00603524"/>
    <w:rsid w:val="00603C32"/>
    <w:rsid w:val="00603D3A"/>
    <w:rsid w:val="006040AB"/>
    <w:rsid w:val="006043AE"/>
    <w:rsid w:val="00604699"/>
    <w:rsid w:val="006046D4"/>
    <w:rsid w:val="0060482E"/>
    <w:rsid w:val="00604F99"/>
    <w:rsid w:val="00605251"/>
    <w:rsid w:val="00605D5C"/>
    <w:rsid w:val="00606840"/>
    <w:rsid w:val="00607066"/>
    <w:rsid w:val="006073BB"/>
    <w:rsid w:val="006073CE"/>
    <w:rsid w:val="0060764B"/>
    <w:rsid w:val="00607658"/>
    <w:rsid w:val="00607B0C"/>
    <w:rsid w:val="00610BF6"/>
    <w:rsid w:val="00610DF4"/>
    <w:rsid w:val="00610E61"/>
    <w:rsid w:val="00611140"/>
    <w:rsid w:val="006114AE"/>
    <w:rsid w:val="006124DD"/>
    <w:rsid w:val="006127AB"/>
    <w:rsid w:val="0061290D"/>
    <w:rsid w:val="00612AEA"/>
    <w:rsid w:val="00612DE7"/>
    <w:rsid w:val="006130EE"/>
    <w:rsid w:val="00613123"/>
    <w:rsid w:val="006131CE"/>
    <w:rsid w:val="00613676"/>
    <w:rsid w:val="006138C0"/>
    <w:rsid w:val="00613A29"/>
    <w:rsid w:val="00613D55"/>
    <w:rsid w:val="00613EF5"/>
    <w:rsid w:val="0061441E"/>
    <w:rsid w:val="006147E5"/>
    <w:rsid w:val="006149DB"/>
    <w:rsid w:val="00614C9C"/>
    <w:rsid w:val="0061519A"/>
    <w:rsid w:val="00615836"/>
    <w:rsid w:val="00615D2C"/>
    <w:rsid w:val="00615DE3"/>
    <w:rsid w:val="00615DFD"/>
    <w:rsid w:val="00615E6C"/>
    <w:rsid w:val="00616104"/>
    <w:rsid w:val="0061611D"/>
    <w:rsid w:val="0061614F"/>
    <w:rsid w:val="00616758"/>
    <w:rsid w:val="00616AAF"/>
    <w:rsid w:val="006173C1"/>
    <w:rsid w:val="00617584"/>
    <w:rsid w:val="006176D9"/>
    <w:rsid w:val="00617B03"/>
    <w:rsid w:val="00617E61"/>
    <w:rsid w:val="0062059F"/>
    <w:rsid w:val="00620605"/>
    <w:rsid w:val="00620751"/>
    <w:rsid w:val="006207FA"/>
    <w:rsid w:val="006211CD"/>
    <w:rsid w:val="00621247"/>
    <w:rsid w:val="006226A2"/>
    <w:rsid w:val="00622C46"/>
    <w:rsid w:val="00622E44"/>
    <w:rsid w:val="00623453"/>
    <w:rsid w:val="00623BBF"/>
    <w:rsid w:val="00623C52"/>
    <w:rsid w:val="00623CD9"/>
    <w:rsid w:val="00624692"/>
    <w:rsid w:val="006248CA"/>
    <w:rsid w:val="00624A65"/>
    <w:rsid w:val="00625445"/>
    <w:rsid w:val="00625876"/>
    <w:rsid w:val="0062612B"/>
    <w:rsid w:val="006267F7"/>
    <w:rsid w:val="0062731C"/>
    <w:rsid w:val="006308FC"/>
    <w:rsid w:val="006309E0"/>
    <w:rsid w:val="00630B2D"/>
    <w:rsid w:val="006311F1"/>
    <w:rsid w:val="006314C2"/>
    <w:rsid w:val="0063166A"/>
    <w:rsid w:val="00631843"/>
    <w:rsid w:val="00631C37"/>
    <w:rsid w:val="0063209E"/>
    <w:rsid w:val="006320BA"/>
    <w:rsid w:val="006320EC"/>
    <w:rsid w:val="0063233E"/>
    <w:rsid w:val="0063260C"/>
    <w:rsid w:val="006326C5"/>
    <w:rsid w:val="00632A6F"/>
    <w:rsid w:val="00632AF3"/>
    <w:rsid w:val="00633754"/>
    <w:rsid w:val="006337E6"/>
    <w:rsid w:val="00633965"/>
    <w:rsid w:val="0063405A"/>
    <w:rsid w:val="00635743"/>
    <w:rsid w:val="00635AD4"/>
    <w:rsid w:val="00636B48"/>
    <w:rsid w:val="00636CD7"/>
    <w:rsid w:val="00636CE4"/>
    <w:rsid w:val="00637646"/>
    <w:rsid w:val="0063794E"/>
    <w:rsid w:val="00637AF9"/>
    <w:rsid w:val="00640454"/>
    <w:rsid w:val="006406EE"/>
    <w:rsid w:val="00641023"/>
    <w:rsid w:val="006412EB"/>
    <w:rsid w:val="00641482"/>
    <w:rsid w:val="00641A26"/>
    <w:rsid w:val="00641E21"/>
    <w:rsid w:val="0064274E"/>
    <w:rsid w:val="006429B0"/>
    <w:rsid w:val="00642AF6"/>
    <w:rsid w:val="00642E5B"/>
    <w:rsid w:val="00642EEF"/>
    <w:rsid w:val="0064302D"/>
    <w:rsid w:val="006438FE"/>
    <w:rsid w:val="006440AB"/>
    <w:rsid w:val="00644788"/>
    <w:rsid w:val="00644D2E"/>
    <w:rsid w:val="006459AD"/>
    <w:rsid w:val="006464AC"/>
    <w:rsid w:val="006466C6"/>
    <w:rsid w:val="006469C2"/>
    <w:rsid w:val="00646A3A"/>
    <w:rsid w:val="00646F69"/>
    <w:rsid w:val="00647013"/>
    <w:rsid w:val="0064782A"/>
    <w:rsid w:val="00647C7E"/>
    <w:rsid w:val="00650178"/>
    <w:rsid w:val="006502ED"/>
    <w:rsid w:val="006505BB"/>
    <w:rsid w:val="00650C67"/>
    <w:rsid w:val="006512F0"/>
    <w:rsid w:val="00651354"/>
    <w:rsid w:val="0065135E"/>
    <w:rsid w:val="006517D3"/>
    <w:rsid w:val="00651ADF"/>
    <w:rsid w:val="00651FFE"/>
    <w:rsid w:val="006525FA"/>
    <w:rsid w:val="00652861"/>
    <w:rsid w:val="00652911"/>
    <w:rsid w:val="00652B05"/>
    <w:rsid w:val="00652BF0"/>
    <w:rsid w:val="00652F60"/>
    <w:rsid w:val="00652FB4"/>
    <w:rsid w:val="00653986"/>
    <w:rsid w:val="00653B3C"/>
    <w:rsid w:val="00653E64"/>
    <w:rsid w:val="00653F1C"/>
    <w:rsid w:val="0065423E"/>
    <w:rsid w:val="00654637"/>
    <w:rsid w:val="0065486D"/>
    <w:rsid w:val="00654A03"/>
    <w:rsid w:val="00654BC1"/>
    <w:rsid w:val="00654CF7"/>
    <w:rsid w:val="00654D82"/>
    <w:rsid w:val="00654FEE"/>
    <w:rsid w:val="0065544D"/>
    <w:rsid w:val="006554E5"/>
    <w:rsid w:val="0065573D"/>
    <w:rsid w:val="00655915"/>
    <w:rsid w:val="00656380"/>
    <w:rsid w:val="00656AE0"/>
    <w:rsid w:val="00656BDE"/>
    <w:rsid w:val="00656DBF"/>
    <w:rsid w:val="00657160"/>
    <w:rsid w:val="006573F5"/>
    <w:rsid w:val="006576B5"/>
    <w:rsid w:val="006577FA"/>
    <w:rsid w:val="006600B7"/>
    <w:rsid w:val="00660629"/>
    <w:rsid w:val="00660687"/>
    <w:rsid w:val="006608F8"/>
    <w:rsid w:val="00660C93"/>
    <w:rsid w:val="006618B4"/>
    <w:rsid w:val="00661B4C"/>
    <w:rsid w:val="00661BE3"/>
    <w:rsid w:val="00662282"/>
    <w:rsid w:val="0066260D"/>
    <w:rsid w:val="006629AB"/>
    <w:rsid w:val="0066339D"/>
    <w:rsid w:val="006637F7"/>
    <w:rsid w:val="00663ECC"/>
    <w:rsid w:val="00664431"/>
    <w:rsid w:val="00664474"/>
    <w:rsid w:val="0066448E"/>
    <w:rsid w:val="0066459B"/>
    <w:rsid w:val="00664D95"/>
    <w:rsid w:val="00664FC5"/>
    <w:rsid w:val="006650D9"/>
    <w:rsid w:val="00665539"/>
    <w:rsid w:val="00665594"/>
    <w:rsid w:val="0066586D"/>
    <w:rsid w:val="006658F0"/>
    <w:rsid w:val="00665F0E"/>
    <w:rsid w:val="006662BA"/>
    <w:rsid w:val="00666332"/>
    <w:rsid w:val="0066642F"/>
    <w:rsid w:val="006666FD"/>
    <w:rsid w:val="00666DDF"/>
    <w:rsid w:val="006672A7"/>
    <w:rsid w:val="006673D9"/>
    <w:rsid w:val="00667588"/>
    <w:rsid w:val="00667620"/>
    <w:rsid w:val="006678C9"/>
    <w:rsid w:val="00667C28"/>
    <w:rsid w:val="00667D51"/>
    <w:rsid w:val="00667DB3"/>
    <w:rsid w:val="006703D5"/>
    <w:rsid w:val="00670491"/>
    <w:rsid w:val="00670B23"/>
    <w:rsid w:val="00670F01"/>
    <w:rsid w:val="00670F08"/>
    <w:rsid w:val="00671112"/>
    <w:rsid w:val="006711CD"/>
    <w:rsid w:val="00671274"/>
    <w:rsid w:val="006714CE"/>
    <w:rsid w:val="00671FC2"/>
    <w:rsid w:val="00672021"/>
    <w:rsid w:val="006724B7"/>
    <w:rsid w:val="00672626"/>
    <w:rsid w:val="00672876"/>
    <w:rsid w:val="006729FC"/>
    <w:rsid w:val="00672BD0"/>
    <w:rsid w:val="00672DD5"/>
    <w:rsid w:val="00672F78"/>
    <w:rsid w:val="0067339C"/>
    <w:rsid w:val="006734BE"/>
    <w:rsid w:val="006735F3"/>
    <w:rsid w:val="00673A06"/>
    <w:rsid w:val="00673D32"/>
    <w:rsid w:val="00674859"/>
    <w:rsid w:val="00675366"/>
    <w:rsid w:val="006759CB"/>
    <w:rsid w:val="00675D32"/>
    <w:rsid w:val="00675E99"/>
    <w:rsid w:val="006760DF"/>
    <w:rsid w:val="0067611A"/>
    <w:rsid w:val="00676157"/>
    <w:rsid w:val="0067626D"/>
    <w:rsid w:val="0067642C"/>
    <w:rsid w:val="00676A74"/>
    <w:rsid w:val="00676B58"/>
    <w:rsid w:val="00676D5D"/>
    <w:rsid w:val="00677C2C"/>
    <w:rsid w:val="00680148"/>
    <w:rsid w:val="0068081D"/>
    <w:rsid w:val="00680E66"/>
    <w:rsid w:val="00680F5B"/>
    <w:rsid w:val="006815AE"/>
    <w:rsid w:val="00682164"/>
    <w:rsid w:val="006821A3"/>
    <w:rsid w:val="0068230C"/>
    <w:rsid w:val="0068246C"/>
    <w:rsid w:val="00682BA5"/>
    <w:rsid w:val="00682FA5"/>
    <w:rsid w:val="0068316A"/>
    <w:rsid w:val="006834D8"/>
    <w:rsid w:val="006835B1"/>
    <w:rsid w:val="00683AC0"/>
    <w:rsid w:val="00683CCE"/>
    <w:rsid w:val="00683DEA"/>
    <w:rsid w:val="00683F05"/>
    <w:rsid w:val="006843EE"/>
    <w:rsid w:val="00684B43"/>
    <w:rsid w:val="00684D70"/>
    <w:rsid w:val="0068510C"/>
    <w:rsid w:val="006858F0"/>
    <w:rsid w:val="00685937"/>
    <w:rsid w:val="00685DBD"/>
    <w:rsid w:val="0068612F"/>
    <w:rsid w:val="00686EF0"/>
    <w:rsid w:val="006879AC"/>
    <w:rsid w:val="00687B0D"/>
    <w:rsid w:val="00687B93"/>
    <w:rsid w:val="00687C4F"/>
    <w:rsid w:val="00687E4C"/>
    <w:rsid w:val="00687F21"/>
    <w:rsid w:val="0069072A"/>
    <w:rsid w:val="00690A36"/>
    <w:rsid w:val="00690B2B"/>
    <w:rsid w:val="00690BA6"/>
    <w:rsid w:val="00690C85"/>
    <w:rsid w:val="0069106C"/>
    <w:rsid w:val="0069113C"/>
    <w:rsid w:val="00691433"/>
    <w:rsid w:val="006914E7"/>
    <w:rsid w:val="006916AA"/>
    <w:rsid w:val="00691C48"/>
    <w:rsid w:val="00691D6E"/>
    <w:rsid w:val="00692436"/>
    <w:rsid w:val="00692D16"/>
    <w:rsid w:val="00692FF7"/>
    <w:rsid w:val="006930BD"/>
    <w:rsid w:val="0069324C"/>
    <w:rsid w:val="006932EF"/>
    <w:rsid w:val="006935B3"/>
    <w:rsid w:val="006936E5"/>
    <w:rsid w:val="0069394E"/>
    <w:rsid w:val="00693F3C"/>
    <w:rsid w:val="006943A2"/>
    <w:rsid w:val="00694761"/>
    <w:rsid w:val="00694840"/>
    <w:rsid w:val="00694B05"/>
    <w:rsid w:val="00694DF8"/>
    <w:rsid w:val="0069509B"/>
    <w:rsid w:val="006951E2"/>
    <w:rsid w:val="00695A32"/>
    <w:rsid w:val="006960FC"/>
    <w:rsid w:val="006964C6"/>
    <w:rsid w:val="00696852"/>
    <w:rsid w:val="00697379"/>
    <w:rsid w:val="00697393"/>
    <w:rsid w:val="006976BB"/>
    <w:rsid w:val="006977BF"/>
    <w:rsid w:val="006978ED"/>
    <w:rsid w:val="00697AF3"/>
    <w:rsid w:val="006A015F"/>
    <w:rsid w:val="006A114F"/>
    <w:rsid w:val="006A1624"/>
    <w:rsid w:val="006A16F5"/>
    <w:rsid w:val="006A184C"/>
    <w:rsid w:val="006A29FA"/>
    <w:rsid w:val="006A2C78"/>
    <w:rsid w:val="006A31FF"/>
    <w:rsid w:val="006A3481"/>
    <w:rsid w:val="006A361D"/>
    <w:rsid w:val="006A3870"/>
    <w:rsid w:val="006A3AF9"/>
    <w:rsid w:val="006A433E"/>
    <w:rsid w:val="006A454B"/>
    <w:rsid w:val="006A46C0"/>
    <w:rsid w:val="006A4D83"/>
    <w:rsid w:val="006A4E72"/>
    <w:rsid w:val="006A4F97"/>
    <w:rsid w:val="006A52EE"/>
    <w:rsid w:val="006A5A5C"/>
    <w:rsid w:val="006A5A68"/>
    <w:rsid w:val="006A6E5D"/>
    <w:rsid w:val="006A756A"/>
    <w:rsid w:val="006A7E3F"/>
    <w:rsid w:val="006B020C"/>
    <w:rsid w:val="006B05B8"/>
    <w:rsid w:val="006B07A9"/>
    <w:rsid w:val="006B0802"/>
    <w:rsid w:val="006B1105"/>
    <w:rsid w:val="006B1158"/>
    <w:rsid w:val="006B15AD"/>
    <w:rsid w:val="006B1B76"/>
    <w:rsid w:val="006B21C9"/>
    <w:rsid w:val="006B3446"/>
    <w:rsid w:val="006B38BE"/>
    <w:rsid w:val="006B3921"/>
    <w:rsid w:val="006B3D8C"/>
    <w:rsid w:val="006B43EC"/>
    <w:rsid w:val="006B45EA"/>
    <w:rsid w:val="006B4618"/>
    <w:rsid w:val="006B4AFB"/>
    <w:rsid w:val="006B4F01"/>
    <w:rsid w:val="006B57CF"/>
    <w:rsid w:val="006B5853"/>
    <w:rsid w:val="006B58A1"/>
    <w:rsid w:val="006B5C2D"/>
    <w:rsid w:val="006B60E5"/>
    <w:rsid w:val="006B618C"/>
    <w:rsid w:val="006B6363"/>
    <w:rsid w:val="006B70F4"/>
    <w:rsid w:val="006B7470"/>
    <w:rsid w:val="006B74D3"/>
    <w:rsid w:val="006B7656"/>
    <w:rsid w:val="006B7810"/>
    <w:rsid w:val="006B7845"/>
    <w:rsid w:val="006B7867"/>
    <w:rsid w:val="006C00BB"/>
    <w:rsid w:val="006C0638"/>
    <w:rsid w:val="006C078A"/>
    <w:rsid w:val="006C09E4"/>
    <w:rsid w:val="006C0B2A"/>
    <w:rsid w:val="006C0ED8"/>
    <w:rsid w:val="006C102B"/>
    <w:rsid w:val="006C1144"/>
    <w:rsid w:val="006C1185"/>
    <w:rsid w:val="006C16F4"/>
    <w:rsid w:val="006C1B63"/>
    <w:rsid w:val="006C1F97"/>
    <w:rsid w:val="006C2872"/>
    <w:rsid w:val="006C2881"/>
    <w:rsid w:val="006C3181"/>
    <w:rsid w:val="006C3DDE"/>
    <w:rsid w:val="006C4C5E"/>
    <w:rsid w:val="006C4CE4"/>
    <w:rsid w:val="006C5054"/>
    <w:rsid w:val="006C57B2"/>
    <w:rsid w:val="006C6B6F"/>
    <w:rsid w:val="006C722C"/>
    <w:rsid w:val="006C7528"/>
    <w:rsid w:val="006C77ED"/>
    <w:rsid w:val="006C783F"/>
    <w:rsid w:val="006C798A"/>
    <w:rsid w:val="006C7A48"/>
    <w:rsid w:val="006C7E40"/>
    <w:rsid w:val="006D05DB"/>
    <w:rsid w:val="006D0874"/>
    <w:rsid w:val="006D0894"/>
    <w:rsid w:val="006D1564"/>
    <w:rsid w:val="006D179A"/>
    <w:rsid w:val="006D1C4F"/>
    <w:rsid w:val="006D1EAB"/>
    <w:rsid w:val="006D21E9"/>
    <w:rsid w:val="006D22F6"/>
    <w:rsid w:val="006D257F"/>
    <w:rsid w:val="006D311A"/>
    <w:rsid w:val="006D341F"/>
    <w:rsid w:val="006D35EA"/>
    <w:rsid w:val="006D37AF"/>
    <w:rsid w:val="006D3A1F"/>
    <w:rsid w:val="006D3A52"/>
    <w:rsid w:val="006D4177"/>
    <w:rsid w:val="006D4336"/>
    <w:rsid w:val="006D4403"/>
    <w:rsid w:val="006D4720"/>
    <w:rsid w:val="006D47E1"/>
    <w:rsid w:val="006D47F0"/>
    <w:rsid w:val="006D4AA4"/>
    <w:rsid w:val="006D4C61"/>
    <w:rsid w:val="006D4DF2"/>
    <w:rsid w:val="006D4FA9"/>
    <w:rsid w:val="006D5019"/>
    <w:rsid w:val="006D501E"/>
    <w:rsid w:val="006D50CD"/>
    <w:rsid w:val="006D5274"/>
    <w:rsid w:val="006D555C"/>
    <w:rsid w:val="006D5A63"/>
    <w:rsid w:val="006D5B26"/>
    <w:rsid w:val="006D5D56"/>
    <w:rsid w:val="006D66F4"/>
    <w:rsid w:val="006D6D49"/>
    <w:rsid w:val="006D6DB7"/>
    <w:rsid w:val="006D70E0"/>
    <w:rsid w:val="006D7856"/>
    <w:rsid w:val="006D7A8B"/>
    <w:rsid w:val="006E0181"/>
    <w:rsid w:val="006E0F71"/>
    <w:rsid w:val="006E13AE"/>
    <w:rsid w:val="006E16AA"/>
    <w:rsid w:val="006E1C91"/>
    <w:rsid w:val="006E1F6D"/>
    <w:rsid w:val="006E1F92"/>
    <w:rsid w:val="006E2A14"/>
    <w:rsid w:val="006E3227"/>
    <w:rsid w:val="006E3498"/>
    <w:rsid w:val="006E3841"/>
    <w:rsid w:val="006E3C64"/>
    <w:rsid w:val="006E3D8A"/>
    <w:rsid w:val="006E4199"/>
    <w:rsid w:val="006E43F6"/>
    <w:rsid w:val="006E450A"/>
    <w:rsid w:val="006E46D5"/>
    <w:rsid w:val="006E4CA2"/>
    <w:rsid w:val="006E4D80"/>
    <w:rsid w:val="006E4E3E"/>
    <w:rsid w:val="006E50B6"/>
    <w:rsid w:val="006E532B"/>
    <w:rsid w:val="006E5464"/>
    <w:rsid w:val="006E5839"/>
    <w:rsid w:val="006E5C85"/>
    <w:rsid w:val="006E5EE8"/>
    <w:rsid w:val="006E6AB5"/>
    <w:rsid w:val="006E6B3E"/>
    <w:rsid w:val="006E6D3C"/>
    <w:rsid w:val="006E6E49"/>
    <w:rsid w:val="006E6FA9"/>
    <w:rsid w:val="006E7108"/>
    <w:rsid w:val="006E7134"/>
    <w:rsid w:val="006E718A"/>
    <w:rsid w:val="006E71F1"/>
    <w:rsid w:val="006E78A2"/>
    <w:rsid w:val="006E7D1E"/>
    <w:rsid w:val="006E7FDD"/>
    <w:rsid w:val="006F061A"/>
    <w:rsid w:val="006F0766"/>
    <w:rsid w:val="006F0B1D"/>
    <w:rsid w:val="006F0F53"/>
    <w:rsid w:val="006F195F"/>
    <w:rsid w:val="006F1CEE"/>
    <w:rsid w:val="006F1F96"/>
    <w:rsid w:val="006F21DA"/>
    <w:rsid w:val="006F2870"/>
    <w:rsid w:val="006F28CA"/>
    <w:rsid w:val="006F2D05"/>
    <w:rsid w:val="006F2DD0"/>
    <w:rsid w:val="006F3552"/>
    <w:rsid w:val="006F3AED"/>
    <w:rsid w:val="006F434D"/>
    <w:rsid w:val="006F5A43"/>
    <w:rsid w:val="006F5C63"/>
    <w:rsid w:val="006F618D"/>
    <w:rsid w:val="006F61DF"/>
    <w:rsid w:val="006F650B"/>
    <w:rsid w:val="006F67AF"/>
    <w:rsid w:val="006F69CF"/>
    <w:rsid w:val="006F7098"/>
    <w:rsid w:val="006F70EF"/>
    <w:rsid w:val="006F74B9"/>
    <w:rsid w:val="00700AC3"/>
    <w:rsid w:val="007014EC"/>
    <w:rsid w:val="007018BB"/>
    <w:rsid w:val="007018F0"/>
    <w:rsid w:val="007019F6"/>
    <w:rsid w:val="00701F04"/>
    <w:rsid w:val="007024FD"/>
    <w:rsid w:val="0070267F"/>
    <w:rsid w:val="00702733"/>
    <w:rsid w:val="00702CAB"/>
    <w:rsid w:val="00703521"/>
    <w:rsid w:val="00703732"/>
    <w:rsid w:val="0070383F"/>
    <w:rsid w:val="00703DA0"/>
    <w:rsid w:val="0070438D"/>
    <w:rsid w:val="00704407"/>
    <w:rsid w:val="007045EF"/>
    <w:rsid w:val="00704D58"/>
    <w:rsid w:val="00704FF7"/>
    <w:rsid w:val="007052B0"/>
    <w:rsid w:val="00705558"/>
    <w:rsid w:val="00705618"/>
    <w:rsid w:val="007057C9"/>
    <w:rsid w:val="00705B86"/>
    <w:rsid w:val="00705E27"/>
    <w:rsid w:val="00705F5D"/>
    <w:rsid w:val="007061E9"/>
    <w:rsid w:val="007064D2"/>
    <w:rsid w:val="00706583"/>
    <w:rsid w:val="007069ED"/>
    <w:rsid w:val="00707AA3"/>
    <w:rsid w:val="007102A7"/>
    <w:rsid w:val="007103DD"/>
    <w:rsid w:val="007104A9"/>
    <w:rsid w:val="007107DF"/>
    <w:rsid w:val="007108F1"/>
    <w:rsid w:val="00710FA6"/>
    <w:rsid w:val="00710FBC"/>
    <w:rsid w:val="007110D8"/>
    <w:rsid w:val="00711275"/>
    <w:rsid w:val="0071162B"/>
    <w:rsid w:val="0071251B"/>
    <w:rsid w:val="007125DE"/>
    <w:rsid w:val="00712750"/>
    <w:rsid w:val="00712967"/>
    <w:rsid w:val="00712E4D"/>
    <w:rsid w:val="0071312F"/>
    <w:rsid w:val="0071384D"/>
    <w:rsid w:val="00713A49"/>
    <w:rsid w:val="00713A52"/>
    <w:rsid w:val="00713B49"/>
    <w:rsid w:val="00713BA4"/>
    <w:rsid w:val="00713BAD"/>
    <w:rsid w:val="00713CCA"/>
    <w:rsid w:val="00713ED4"/>
    <w:rsid w:val="00713EF8"/>
    <w:rsid w:val="00714427"/>
    <w:rsid w:val="00714741"/>
    <w:rsid w:val="00714C37"/>
    <w:rsid w:val="00714C8E"/>
    <w:rsid w:val="00715438"/>
    <w:rsid w:val="007156A6"/>
    <w:rsid w:val="0071574D"/>
    <w:rsid w:val="0071582E"/>
    <w:rsid w:val="00715DF7"/>
    <w:rsid w:val="00715E0F"/>
    <w:rsid w:val="00716567"/>
    <w:rsid w:val="00716847"/>
    <w:rsid w:val="00716F33"/>
    <w:rsid w:val="0071747F"/>
    <w:rsid w:val="00717754"/>
    <w:rsid w:val="00717B7A"/>
    <w:rsid w:val="00720327"/>
    <w:rsid w:val="00720BDD"/>
    <w:rsid w:val="0072101F"/>
    <w:rsid w:val="007212CB"/>
    <w:rsid w:val="0072166A"/>
    <w:rsid w:val="00721EE9"/>
    <w:rsid w:val="00721FB6"/>
    <w:rsid w:val="00722563"/>
    <w:rsid w:val="00722732"/>
    <w:rsid w:val="007232BD"/>
    <w:rsid w:val="0072369E"/>
    <w:rsid w:val="007238A9"/>
    <w:rsid w:val="00723B94"/>
    <w:rsid w:val="00723E43"/>
    <w:rsid w:val="00724089"/>
    <w:rsid w:val="007240EE"/>
    <w:rsid w:val="007243FC"/>
    <w:rsid w:val="00724512"/>
    <w:rsid w:val="00724D36"/>
    <w:rsid w:val="00724E80"/>
    <w:rsid w:val="00724F48"/>
    <w:rsid w:val="00724FD0"/>
    <w:rsid w:val="00724FE7"/>
    <w:rsid w:val="00725400"/>
    <w:rsid w:val="0072547C"/>
    <w:rsid w:val="00725EF0"/>
    <w:rsid w:val="0072604F"/>
    <w:rsid w:val="007263D3"/>
    <w:rsid w:val="00726BFF"/>
    <w:rsid w:val="00727072"/>
    <w:rsid w:val="00727213"/>
    <w:rsid w:val="0072742F"/>
    <w:rsid w:val="00727F78"/>
    <w:rsid w:val="00730E54"/>
    <w:rsid w:val="0073139C"/>
    <w:rsid w:val="0073154D"/>
    <w:rsid w:val="0073162B"/>
    <w:rsid w:val="00731881"/>
    <w:rsid w:val="00731913"/>
    <w:rsid w:val="00731DB2"/>
    <w:rsid w:val="007321D1"/>
    <w:rsid w:val="0073226A"/>
    <w:rsid w:val="007326BB"/>
    <w:rsid w:val="00732B3D"/>
    <w:rsid w:val="00733045"/>
    <w:rsid w:val="0073326B"/>
    <w:rsid w:val="007337E1"/>
    <w:rsid w:val="00733F24"/>
    <w:rsid w:val="00733FA3"/>
    <w:rsid w:val="007342AC"/>
    <w:rsid w:val="00734713"/>
    <w:rsid w:val="007349B0"/>
    <w:rsid w:val="00734D2F"/>
    <w:rsid w:val="00734F0F"/>
    <w:rsid w:val="0073510D"/>
    <w:rsid w:val="0073518A"/>
    <w:rsid w:val="00735226"/>
    <w:rsid w:val="00735609"/>
    <w:rsid w:val="00735BA3"/>
    <w:rsid w:val="00735BBB"/>
    <w:rsid w:val="00735C53"/>
    <w:rsid w:val="00736666"/>
    <w:rsid w:val="00736743"/>
    <w:rsid w:val="00736E50"/>
    <w:rsid w:val="007373FD"/>
    <w:rsid w:val="00737A7A"/>
    <w:rsid w:val="00737FE5"/>
    <w:rsid w:val="007401D9"/>
    <w:rsid w:val="00740460"/>
    <w:rsid w:val="0074051D"/>
    <w:rsid w:val="00740765"/>
    <w:rsid w:val="00740F24"/>
    <w:rsid w:val="00741B45"/>
    <w:rsid w:val="00741D80"/>
    <w:rsid w:val="00741E2F"/>
    <w:rsid w:val="00741EC9"/>
    <w:rsid w:val="00742082"/>
    <w:rsid w:val="0074246F"/>
    <w:rsid w:val="007429ED"/>
    <w:rsid w:val="00742A67"/>
    <w:rsid w:val="007430CA"/>
    <w:rsid w:val="007436A4"/>
    <w:rsid w:val="00743DC3"/>
    <w:rsid w:val="00743EC1"/>
    <w:rsid w:val="00743F94"/>
    <w:rsid w:val="007443B6"/>
    <w:rsid w:val="00744E39"/>
    <w:rsid w:val="007450A7"/>
    <w:rsid w:val="00745692"/>
    <w:rsid w:val="007464FB"/>
    <w:rsid w:val="0074704B"/>
    <w:rsid w:val="007474DC"/>
    <w:rsid w:val="00747741"/>
    <w:rsid w:val="00747A9B"/>
    <w:rsid w:val="00747C42"/>
    <w:rsid w:val="00747D86"/>
    <w:rsid w:val="007501D2"/>
    <w:rsid w:val="0075064B"/>
    <w:rsid w:val="00750C6B"/>
    <w:rsid w:val="00750DF9"/>
    <w:rsid w:val="00750EB3"/>
    <w:rsid w:val="00751212"/>
    <w:rsid w:val="0075198E"/>
    <w:rsid w:val="00752066"/>
    <w:rsid w:val="00752071"/>
    <w:rsid w:val="00752145"/>
    <w:rsid w:val="007529C8"/>
    <w:rsid w:val="00753B48"/>
    <w:rsid w:val="00753EB2"/>
    <w:rsid w:val="0075428E"/>
    <w:rsid w:val="007542B0"/>
    <w:rsid w:val="00754429"/>
    <w:rsid w:val="00754696"/>
    <w:rsid w:val="00754B16"/>
    <w:rsid w:val="00754D0A"/>
    <w:rsid w:val="007553B1"/>
    <w:rsid w:val="00756A0A"/>
    <w:rsid w:val="0075719C"/>
    <w:rsid w:val="0075766C"/>
    <w:rsid w:val="007577CE"/>
    <w:rsid w:val="007579E1"/>
    <w:rsid w:val="00757B91"/>
    <w:rsid w:val="007607CE"/>
    <w:rsid w:val="00760AD3"/>
    <w:rsid w:val="00760DF0"/>
    <w:rsid w:val="00760ED5"/>
    <w:rsid w:val="00760F06"/>
    <w:rsid w:val="007615E4"/>
    <w:rsid w:val="0076186B"/>
    <w:rsid w:val="00761E0D"/>
    <w:rsid w:val="00762133"/>
    <w:rsid w:val="0076230C"/>
    <w:rsid w:val="00762B3B"/>
    <w:rsid w:val="00762DD6"/>
    <w:rsid w:val="00762F71"/>
    <w:rsid w:val="00762FDB"/>
    <w:rsid w:val="00763152"/>
    <w:rsid w:val="00763529"/>
    <w:rsid w:val="00763648"/>
    <w:rsid w:val="00763693"/>
    <w:rsid w:val="00763A62"/>
    <w:rsid w:val="007640A5"/>
    <w:rsid w:val="007642FF"/>
    <w:rsid w:val="0076489E"/>
    <w:rsid w:val="007648E6"/>
    <w:rsid w:val="007650A2"/>
    <w:rsid w:val="007654C6"/>
    <w:rsid w:val="007656E9"/>
    <w:rsid w:val="00765995"/>
    <w:rsid w:val="00765E01"/>
    <w:rsid w:val="00765E98"/>
    <w:rsid w:val="00766416"/>
    <w:rsid w:val="00766422"/>
    <w:rsid w:val="00766B23"/>
    <w:rsid w:val="00766B5F"/>
    <w:rsid w:val="00766CA5"/>
    <w:rsid w:val="00767582"/>
    <w:rsid w:val="00767D7B"/>
    <w:rsid w:val="00767F3E"/>
    <w:rsid w:val="00770427"/>
    <w:rsid w:val="0077045B"/>
    <w:rsid w:val="00770887"/>
    <w:rsid w:val="007708DC"/>
    <w:rsid w:val="00770982"/>
    <w:rsid w:val="00770F21"/>
    <w:rsid w:val="007714C3"/>
    <w:rsid w:val="00771C2B"/>
    <w:rsid w:val="007727F1"/>
    <w:rsid w:val="00772CAA"/>
    <w:rsid w:val="00772D55"/>
    <w:rsid w:val="00772D5B"/>
    <w:rsid w:val="00772EF8"/>
    <w:rsid w:val="007730CC"/>
    <w:rsid w:val="0077322E"/>
    <w:rsid w:val="0077346E"/>
    <w:rsid w:val="00773772"/>
    <w:rsid w:val="00774716"/>
    <w:rsid w:val="0077484D"/>
    <w:rsid w:val="007749BA"/>
    <w:rsid w:val="00774DE7"/>
    <w:rsid w:val="007752F8"/>
    <w:rsid w:val="007759E0"/>
    <w:rsid w:val="00775AF6"/>
    <w:rsid w:val="00776409"/>
    <w:rsid w:val="007766A4"/>
    <w:rsid w:val="00776784"/>
    <w:rsid w:val="007767C5"/>
    <w:rsid w:val="00776B05"/>
    <w:rsid w:val="007770A7"/>
    <w:rsid w:val="00777374"/>
    <w:rsid w:val="0077785A"/>
    <w:rsid w:val="00777E17"/>
    <w:rsid w:val="00780319"/>
    <w:rsid w:val="007803D0"/>
    <w:rsid w:val="00780ABC"/>
    <w:rsid w:val="00780C15"/>
    <w:rsid w:val="00780EBC"/>
    <w:rsid w:val="0078138E"/>
    <w:rsid w:val="007815EB"/>
    <w:rsid w:val="00781659"/>
    <w:rsid w:val="0078251F"/>
    <w:rsid w:val="007826DD"/>
    <w:rsid w:val="00783029"/>
    <w:rsid w:val="007830F5"/>
    <w:rsid w:val="007832BD"/>
    <w:rsid w:val="0078359E"/>
    <w:rsid w:val="007837AB"/>
    <w:rsid w:val="007841D6"/>
    <w:rsid w:val="00784A2F"/>
    <w:rsid w:val="00784D35"/>
    <w:rsid w:val="00784E3D"/>
    <w:rsid w:val="007850B5"/>
    <w:rsid w:val="00785436"/>
    <w:rsid w:val="00785EEE"/>
    <w:rsid w:val="00786292"/>
    <w:rsid w:val="00786515"/>
    <w:rsid w:val="007866E5"/>
    <w:rsid w:val="00786C75"/>
    <w:rsid w:val="00786DE5"/>
    <w:rsid w:val="00787276"/>
    <w:rsid w:val="0078727E"/>
    <w:rsid w:val="00787B13"/>
    <w:rsid w:val="00787CCA"/>
    <w:rsid w:val="00790251"/>
    <w:rsid w:val="00790C39"/>
    <w:rsid w:val="00790C55"/>
    <w:rsid w:val="00791101"/>
    <w:rsid w:val="00791128"/>
    <w:rsid w:val="00791215"/>
    <w:rsid w:val="0079130C"/>
    <w:rsid w:val="007914F3"/>
    <w:rsid w:val="007919BA"/>
    <w:rsid w:val="00791EE4"/>
    <w:rsid w:val="00792348"/>
    <w:rsid w:val="00792849"/>
    <w:rsid w:val="00792BF4"/>
    <w:rsid w:val="00792C85"/>
    <w:rsid w:val="00792DA4"/>
    <w:rsid w:val="00792E5E"/>
    <w:rsid w:val="00792F8D"/>
    <w:rsid w:val="00793281"/>
    <w:rsid w:val="00793C4E"/>
    <w:rsid w:val="007950CE"/>
    <w:rsid w:val="007957B6"/>
    <w:rsid w:val="007961AA"/>
    <w:rsid w:val="0079645D"/>
    <w:rsid w:val="00796BDD"/>
    <w:rsid w:val="00796C8D"/>
    <w:rsid w:val="00797250"/>
    <w:rsid w:val="007977B0"/>
    <w:rsid w:val="00797848"/>
    <w:rsid w:val="00797A1F"/>
    <w:rsid w:val="00797FF1"/>
    <w:rsid w:val="007A098C"/>
    <w:rsid w:val="007A0B0A"/>
    <w:rsid w:val="007A0DF3"/>
    <w:rsid w:val="007A10A3"/>
    <w:rsid w:val="007A126F"/>
    <w:rsid w:val="007A12F9"/>
    <w:rsid w:val="007A1642"/>
    <w:rsid w:val="007A20B6"/>
    <w:rsid w:val="007A2B3E"/>
    <w:rsid w:val="007A3260"/>
    <w:rsid w:val="007A3376"/>
    <w:rsid w:val="007A3447"/>
    <w:rsid w:val="007A34B2"/>
    <w:rsid w:val="007A35BB"/>
    <w:rsid w:val="007A38E9"/>
    <w:rsid w:val="007A41D4"/>
    <w:rsid w:val="007A4208"/>
    <w:rsid w:val="007A445E"/>
    <w:rsid w:val="007A4A89"/>
    <w:rsid w:val="007A4EC2"/>
    <w:rsid w:val="007A50B2"/>
    <w:rsid w:val="007A62E3"/>
    <w:rsid w:val="007A6B37"/>
    <w:rsid w:val="007A7191"/>
    <w:rsid w:val="007A7205"/>
    <w:rsid w:val="007A7314"/>
    <w:rsid w:val="007A7882"/>
    <w:rsid w:val="007A78EA"/>
    <w:rsid w:val="007B008F"/>
    <w:rsid w:val="007B04F5"/>
    <w:rsid w:val="007B10F3"/>
    <w:rsid w:val="007B110E"/>
    <w:rsid w:val="007B3315"/>
    <w:rsid w:val="007B3369"/>
    <w:rsid w:val="007B3549"/>
    <w:rsid w:val="007B3621"/>
    <w:rsid w:val="007B36EF"/>
    <w:rsid w:val="007B442C"/>
    <w:rsid w:val="007B4A82"/>
    <w:rsid w:val="007B523F"/>
    <w:rsid w:val="007B52A7"/>
    <w:rsid w:val="007B542C"/>
    <w:rsid w:val="007B5AA6"/>
    <w:rsid w:val="007B6007"/>
    <w:rsid w:val="007B626B"/>
    <w:rsid w:val="007B64AA"/>
    <w:rsid w:val="007B7198"/>
    <w:rsid w:val="007B7302"/>
    <w:rsid w:val="007B7451"/>
    <w:rsid w:val="007B7497"/>
    <w:rsid w:val="007B776B"/>
    <w:rsid w:val="007B7D81"/>
    <w:rsid w:val="007B7F69"/>
    <w:rsid w:val="007C0B1B"/>
    <w:rsid w:val="007C1025"/>
    <w:rsid w:val="007C1321"/>
    <w:rsid w:val="007C1790"/>
    <w:rsid w:val="007C18CB"/>
    <w:rsid w:val="007C1FFB"/>
    <w:rsid w:val="007C2375"/>
    <w:rsid w:val="007C2392"/>
    <w:rsid w:val="007C24EE"/>
    <w:rsid w:val="007C2618"/>
    <w:rsid w:val="007C2A25"/>
    <w:rsid w:val="007C2E28"/>
    <w:rsid w:val="007C3B8A"/>
    <w:rsid w:val="007C4568"/>
    <w:rsid w:val="007C4657"/>
    <w:rsid w:val="007C5910"/>
    <w:rsid w:val="007C5951"/>
    <w:rsid w:val="007C59F7"/>
    <w:rsid w:val="007C618E"/>
    <w:rsid w:val="007C6C83"/>
    <w:rsid w:val="007C6DCF"/>
    <w:rsid w:val="007C6E65"/>
    <w:rsid w:val="007C7013"/>
    <w:rsid w:val="007C73AC"/>
    <w:rsid w:val="007C7737"/>
    <w:rsid w:val="007C7BB9"/>
    <w:rsid w:val="007C7C33"/>
    <w:rsid w:val="007C7F1F"/>
    <w:rsid w:val="007D0044"/>
    <w:rsid w:val="007D06F4"/>
    <w:rsid w:val="007D14B1"/>
    <w:rsid w:val="007D18FE"/>
    <w:rsid w:val="007D2455"/>
    <w:rsid w:val="007D2B89"/>
    <w:rsid w:val="007D32B4"/>
    <w:rsid w:val="007D3AF7"/>
    <w:rsid w:val="007D3E9F"/>
    <w:rsid w:val="007D434E"/>
    <w:rsid w:val="007D45C8"/>
    <w:rsid w:val="007D4B04"/>
    <w:rsid w:val="007D4BA8"/>
    <w:rsid w:val="007D4C28"/>
    <w:rsid w:val="007D4DEE"/>
    <w:rsid w:val="007D4F58"/>
    <w:rsid w:val="007D569F"/>
    <w:rsid w:val="007D59BC"/>
    <w:rsid w:val="007D5B05"/>
    <w:rsid w:val="007D653F"/>
    <w:rsid w:val="007D6A22"/>
    <w:rsid w:val="007D6F5B"/>
    <w:rsid w:val="007D6F9A"/>
    <w:rsid w:val="007D716C"/>
    <w:rsid w:val="007D79D5"/>
    <w:rsid w:val="007E00E9"/>
    <w:rsid w:val="007E04BF"/>
    <w:rsid w:val="007E0DBB"/>
    <w:rsid w:val="007E0F97"/>
    <w:rsid w:val="007E100E"/>
    <w:rsid w:val="007E127A"/>
    <w:rsid w:val="007E1753"/>
    <w:rsid w:val="007E1904"/>
    <w:rsid w:val="007E1B84"/>
    <w:rsid w:val="007E1DD6"/>
    <w:rsid w:val="007E1F9F"/>
    <w:rsid w:val="007E2108"/>
    <w:rsid w:val="007E22C2"/>
    <w:rsid w:val="007E28C4"/>
    <w:rsid w:val="007E2A21"/>
    <w:rsid w:val="007E2B0A"/>
    <w:rsid w:val="007E2F61"/>
    <w:rsid w:val="007E301B"/>
    <w:rsid w:val="007E323F"/>
    <w:rsid w:val="007E35E4"/>
    <w:rsid w:val="007E376B"/>
    <w:rsid w:val="007E3A9E"/>
    <w:rsid w:val="007E3CBB"/>
    <w:rsid w:val="007E413C"/>
    <w:rsid w:val="007E41FB"/>
    <w:rsid w:val="007E4B68"/>
    <w:rsid w:val="007E4CC0"/>
    <w:rsid w:val="007E4DD3"/>
    <w:rsid w:val="007E56AE"/>
    <w:rsid w:val="007E59CA"/>
    <w:rsid w:val="007E5A09"/>
    <w:rsid w:val="007E5F7B"/>
    <w:rsid w:val="007E66D8"/>
    <w:rsid w:val="007E75C0"/>
    <w:rsid w:val="007E786E"/>
    <w:rsid w:val="007F052C"/>
    <w:rsid w:val="007F07F3"/>
    <w:rsid w:val="007F1203"/>
    <w:rsid w:val="007F1230"/>
    <w:rsid w:val="007F178D"/>
    <w:rsid w:val="007F1A1F"/>
    <w:rsid w:val="007F1D41"/>
    <w:rsid w:val="007F1F03"/>
    <w:rsid w:val="007F24B0"/>
    <w:rsid w:val="007F2625"/>
    <w:rsid w:val="007F2F76"/>
    <w:rsid w:val="007F35DF"/>
    <w:rsid w:val="007F3987"/>
    <w:rsid w:val="007F3E5C"/>
    <w:rsid w:val="007F406A"/>
    <w:rsid w:val="007F45BC"/>
    <w:rsid w:val="007F5114"/>
    <w:rsid w:val="007F54B2"/>
    <w:rsid w:val="007F54DE"/>
    <w:rsid w:val="007F5506"/>
    <w:rsid w:val="007F5609"/>
    <w:rsid w:val="007F59DB"/>
    <w:rsid w:val="007F5DBB"/>
    <w:rsid w:val="007F6592"/>
    <w:rsid w:val="007F65F9"/>
    <w:rsid w:val="007F65FF"/>
    <w:rsid w:val="007F68B7"/>
    <w:rsid w:val="007F6C61"/>
    <w:rsid w:val="007F78D5"/>
    <w:rsid w:val="007F7902"/>
    <w:rsid w:val="007F7CD3"/>
    <w:rsid w:val="007F7F48"/>
    <w:rsid w:val="007F7FB5"/>
    <w:rsid w:val="0080016B"/>
    <w:rsid w:val="00801259"/>
    <w:rsid w:val="00801265"/>
    <w:rsid w:val="00801843"/>
    <w:rsid w:val="00801A73"/>
    <w:rsid w:val="00802315"/>
    <w:rsid w:val="008024AE"/>
    <w:rsid w:val="00802E04"/>
    <w:rsid w:val="0080396D"/>
    <w:rsid w:val="00803CEE"/>
    <w:rsid w:val="00803F6D"/>
    <w:rsid w:val="00803F9C"/>
    <w:rsid w:val="00804350"/>
    <w:rsid w:val="0080444A"/>
    <w:rsid w:val="008045CF"/>
    <w:rsid w:val="008045ED"/>
    <w:rsid w:val="00805103"/>
    <w:rsid w:val="008051F0"/>
    <w:rsid w:val="00805E97"/>
    <w:rsid w:val="00805FD3"/>
    <w:rsid w:val="00805FFE"/>
    <w:rsid w:val="00806119"/>
    <w:rsid w:val="00806131"/>
    <w:rsid w:val="008069A6"/>
    <w:rsid w:val="00806CC1"/>
    <w:rsid w:val="00807560"/>
    <w:rsid w:val="00807807"/>
    <w:rsid w:val="00810546"/>
    <w:rsid w:val="00810653"/>
    <w:rsid w:val="00810935"/>
    <w:rsid w:val="00810D7B"/>
    <w:rsid w:val="00810DC0"/>
    <w:rsid w:val="00810E3C"/>
    <w:rsid w:val="00811441"/>
    <w:rsid w:val="00811799"/>
    <w:rsid w:val="00812597"/>
    <w:rsid w:val="00812786"/>
    <w:rsid w:val="008128C4"/>
    <w:rsid w:val="00813038"/>
    <w:rsid w:val="008134F1"/>
    <w:rsid w:val="008138E4"/>
    <w:rsid w:val="00813B0A"/>
    <w:rsid w:val="00813BBB"/>
    <w:rsid w:val="00814B23"/>
    <w:rsid w:val="00815198"/>
    <w:rsid w:val="00815CEC"/>
    <w:rsid w:val="008168A5"/>
    <w:rsid w:val="00816D7C"/>
    <w:rsid w:val="00817036"/>
    <w:rsid w:val="008170E9"/>
    <w:rsid w:val="00817314"/>
    <w:rsid w:val="00817AEB"/>
    <w:rsid w:val="00817C76"/>
    <w:rsid w:val="0082004A"/>
    <w:rsid w:val="008202BA"/>
    <w:rsid w:val="008202F3"/>
    <w:rsid w:val="0082037E"/>
    <w:rsid w:val="0082079C"/>
    <w:rsid w:val="00820875"/>
    <w:rsid w:val="00820962"/>
    <w:rsid w:val="00820BE6"/>
    <w:rsid w:val="008210D3"/>
    <w:rsid w:val="008213AF"/>
    <w:rsid w:val="00821444"/>
    <w:rsid w:val="008215B9"/>
    <w:rsid w:val="008216BC"/>
    <w:rsid w:val="00821747"/>
    <w:rsid w:val="00821749"/>
    <w:rsid w:val="0082191B"/>
    <w:rsid w:val="00821B89"/>
    <w:rsid w:val="0082235A"/>
    <w:rsid w:val="00822B95"/>
    <w:rsid w:val="00822EDB"/>
    <w:rsid w:val="008234DD"/>
    <w:rsid w:val="00823976"/>
    <w:rsid w:val="00823B36"/>
    <w:rsid w:val="00823C82"/>
    <w:rsid w:val="00823E43"/>
    <w:rsid w:val="00823F07"/>
    <w:rsid w:val="00824070"/>
    <w:rsid w:val="008241D8"/>
    <w:rsid w:val="008242AC"/>
    <w:rsid w:val="0082454A"/>
    <w:rsid w:val="00825423"/>
    <w:rsid w:val="00825A1D"/>
    <w:rsid w:val="00826094"/>
    <w:rsid w:val="008262D2"/>
    <w:rsid w:val="0082661D"/>
    <w:rsid w:val="00830151"/>
    <w:rsid w:val="0083023D"/>
    <w:rsid w:val="00830423"/>
    <w:rsid w:val="008306CF"/>
    <w:rsid w:val="0083082F"/>
    <w:rsid w:val="00830D15"/>
    <w:rsid w:val="0083111B"/>
    <w:rsid w:val="008314D1"/>
    <w:rsid w:val="0083168F"/>
    <w:rsid w:val="00831EED"/>
    <w:rsid w:val="00832056"/>
    <w:rsid w:val="00832190"/>
    <w:rsid w:val="008326E7"/>
    <w:rsid w:val="008328E3"/>
    <w:rsid w:val="00832DEB"/>
    <w:rsid w:val="00833836"/>
    <w:rsid w:val="00834161"/>
    <w:rsid w:val="0083429A"/>
    <w:rsid w:val="00834BCD"/>
    <w:rsid w:val="00834FB3"/>
    <w:rsid w:val="00835288"/>
    <w:rsid w:val="008354B6"/>
    <w:rsid w:val="00835CC8"/>
    <w:rsid w:val="00835DBD"/>
    <w:rsid w:val="0083601A"/>
    <w:rsid w:val="00836054"/>
    <w:rsid w:val="008360FD"/>
    <w:rsid w:val="00836272"/>
    <w:rsid w:val="008362B6"/>
    <w:rsid w:val="00836D0F"/>
    <w:rsid w:val="008374FC"/>
    <w:rsid w:val="00837BEB"/>
    <w:rsid w:val="00840198"/>
    <w:rsid w:val="00840441"/>
    <w:rsid w:val="008405E0"/>
    <w:rsid w:val="00840BC5"/>
    <w:rsid w:val="00840C3A"/>
    <w:rsid w:val="00840C3C"/>
    <w:rsid w:val="00840F7F"/>
    <w:rsid w:val="00841150"/>
    <w:rsid w:val="0084199D"/>
    <w:rsid w:val="00841D85"/>
    <w:rsid w:val="00842771"/>
    <w:rsid w:val="00842B7D"/>
    <w:rsid w:val="00842B8C"/>
    <w:rsid w:val="00842D8A"/>
    <w:rsid w:val="00842ECE"/>
    <w:rsid w:val="00843CBA"/>
    <w:rsid w:val="00843EAC"/>
    <w:rsid w:val="008442D2"/>
    <w:rsid w:val="00844697"/>
    <w:rsid w:val="00844985"/>
    <w:rsid w:val="00844A9F"/>
    <w:rsid w:val="00844E9A"/>
    <w:rsid w:val="00845606"/>
    <w:rsid w:val="0084568A"/>
    <w:rsid w:val="00845BDB"/>
    <w:rsid w:val="008461BF"/>
    <w:rsid w:val="008461C8"/>
    <w:rsid w:val="00846952"/>
    <w:rsid w:val="008469B1"/>
    <w:rsid w:val="00846A1C"/>
    <w:rsid w:val="00846E82"/>
    <w:rsid w:val="00846F2F"/>
    <w:rsid w:val="00846F7B"/>
    <w:rsid w:val="00847A74"/>
    <w:rsid w:val="00847E54"/>
    <w:rsid w:val="00850A7B"/>
    <w:rsid w:val="00850E23"/>
    <w:rsid w:val="00850E5A"/>
    <w:rsid w:val="00850FB1"/>
    <w:rsid w:val="00850FB2"/>
    <w:rsid w:val="00851388"/>
    <w:rsid w:val="008519BC"/>
    <w:rsid w:val="00851BF8"/>
    <w:rsid w:val="00852345"/>
    <w:rsid w:val="00852638"/>
    <w:rsid w:val="00852D5C"/>
    <w:rsid w:val="00852F05"/>
    <w:rsid w:val="00853090"/>
    <w:rsid w:val="00853329"/>
    <w:rsid w:val="00853509"/>
    <w:rsid w:val="00853AF2"/>
    <w:rsid w:val="00853B02"/>
    <w:rsid w:val="00853BC8"/>
    <w:rsid w:val="0085437C"/>
    <w:rsid w:val="00854777"/>
    <w:rsid w:val="008549B5"/>
    <w:rsid w:val="00854CCB"/>
    <w:rsid w:val="0085580B"/>
    <w:rsid w:val="00855C1C"/>
    <w:rsid w:val="00856043"/>
    <w:rsid w:val="008562F6"/>
    <w:rsid w:val="00856595"/>
    <w:rsid w:val="00856D8A"/>
    <w:rsid w:val="00856FC6"/>
    <w:rsid w:val="0085756E"/>
    <w:rsid w:val="008575D8"/>
    <w:rsid w:val="00860156"/>
    <w:rsid w:val="00860E28"/>
    <w:rsid w:val="00860F01"/>
    <w:rsid w:val="00860F36"/>
    <w:rsid w:val="00861072"/>
    <w:rsid w:val="008612A8"/>
    <w:rsid w:val="008625C0"/>
    <w:rsid w:val="008629B1"/>
    <w:rsid w:val="00862B00"/>
    <w:rsid w:val="00863FA2"/>
    <w:rsid w:val="00864133"/>
    <w:rsid w:val="0086438A"/>
    <w:rsid w:val="00864BAC"/>
    <w:rsid w:val="00864D1D"/>
    <w:rsid w:val="0086518E"/>
    <w:rsid w:val="00865223"/>
    <w:rsid w:val="00865250"/>
    <w:rsid w:val="00865264"/>
    <w:rsid w:val="0086592B"/>
    <w:rsid w:val="00865D8C"/>
    <w:rsid w:val="00866142"/>
    <w:rsid w:val="0086660F"/>
    <w:rsid w:val="00866972"/>
    <w:rsid w:val="00867040"/>
    <w:rsid w:val="00867071"/>
    <w:rsid w:val="00867198"/>
    <w:rsid w:val="0086751D"/>
    <w:rsid w:val="00867794"/>
    <w:rsid w:val="00867903"/>
    <w:rsid w:val="0086799F"/>
    <w:rsid w:val="00867EE1"/>
    <w:rsid w:val="00870084"/>
    <w:rsid w:val="00870638"/>
    <w:rsid w:val="00870888"/>
    <w:rsid w:val="00870A5F"/>
    <w:rsid w:val="00870FA2"/>
    <w:rsid w:val="00871528"/>
    <w:rsid w:val="008715A1"/>
    <w:rsid w:val="0087193A"/>
    <w:rsid w:val="00871B9F"/>
    <w:rsid w:val="00871CA8"/>
    <w:rsid w:val="008722DD"/>
    <w:rsid w:val="00872D49"/>
    <w:rsid w:val="008734C1"/>
    <w:rsid w:val="00874500"/>
    <w:rsid w:val="0087488B"/>
    <w:rsid w:val="00874A2B"/>
    <w:rsid w:val="00874B1E"/>
    <w:rsid w:val="00874BAA"/>
    <w:rsid w:val="00875CB8"/>
    <w:rsid w:val="0087609D"/>
    <w:rsid w:val="00876531"/>
    <w:rsid w:val="00876987"/>
    <w:rsid w:val="008777AC"/>
    <w:rsid w:val="00877A4E"/>
    <w:rsid w:val="00877F55"/>
    <w:rsid w:val="00880721"/>
    <w:rsid w:val="00880CE6"/>
    <w:rsid w:val="008811AC"/>
    <w:rsid w:val="00881444"/>
    <w:rsid w:val="00881978"/>
    <w:rsid w:val="00881C12"/>
    <w:rsid w:val="00881DA0"/>
    <w:rsid w:val="008828B3"/>
    <w:rsid w:val="00882DCD"/>
    <w:rsid w:val="00883399"/>
    <w:rsid w:val="0088368D"/>
    <w:rsid w:val="00883A3D"/>
    <w:rsid w:val="00883A43"/>
    <w:rsid w:val="00883CAE"/>
    <w:rsid w:val="00884394"/>
    <w:rsid w:val="008846CB"/>
    <w:rsid w:val="0088475C"/>
    <w:rsid w:val="00884DE1"/>
    <w:rsid w:val="00884F11"/>
    <w:rsid w:val="008856FD"/>
    <w:rsid w:val="00885C38"/>
    <w:rsid w:val="00886258"/>
    <w:rsid w:val="00886D08"/>
    <w:rsid w:val="00887157"/>
    <w:rsid w:val="00887FDF"/>
    <w:rsid w:val="00891B29"/>
    <w:rsid w:val="00892422"/>
    <w:rsid w:val="0089296D"/>
    <w:rsid w:val="008930F0"/>
    <w:rsid w:val="00893BF1"/>
    <w:rsid w:val="00893D2C"/>
    <w:rsid w:val="00893F6D"/>
    <w:rsid w:val="0089436E"/>
    <w:rsid w:val="008943A7"/>
    <w:rsid w:val="008947AD"/>
    <w:rsid w:val="008948A5"/>
    <w:rsid w:val="00895BF3"/>
    <w:rsid w:val="00896740"/>
    <w:rsid w:val="008967D5"/>
    <w:rsid w:val="0089685C"/>
    <w:rsid w:val="00896B27"/>
    <w:rsid w:val="00896B3C"/>
    <w:rsid w:val="00896D37"/>
    <w:rsid w:val="008971B1"/>
    <w:rsid w:val="00897432"/>
    <w:rsid w:val="00897E53"/>
    <w:rsid w:val="008A0382"/>
    <w:rsid w:val="008A0A31"/>
    <w:rsid w:val="008A0B70"/>
    <w:rsid w:val="008A0DA6"/>
    <w:rsid w:val="008A107D"/>
    <w:rsid w:val="008A10A4"/>
    <w:rsid w:val="008A1600"/>
    <w:rsid w:val="008A1BCB"/>
    <w:rsid w:val="008A1EBC"/>
    <w:rsid w:val="008A1FA2"/>
    <w:rsid w:val="008A2E6F"/>
    <w:rsid w:val="008A3562"/>
    <w:rsid w:val="008A3859"/>
    <w:rsid w:val="008A40CE"/>
    <w:rsid w:val="008A443A"/>
    <w:rsid w:val="008A478A"/>
    <w:rsid w:val="008A4C9D"/>
    <w:rsid w:val="008A4FD2"/>
    <w:rsid w:val="008A50AB"/>
    <w:rsid w:val="008A5631"/>
    <w:rsid w:val="008A5701"/>
    <w:rsid w:val="008A5DC0"/>
    <w:rsid w:val="008A680B"/>
    <w:rsid w:val="008A68CE"/>
    <w:rsid w:val="008A6F20"/>
    <w:rsid w:val="008A7090"/>
    <w:rsid w:val="008A76B7"/>
    <w:rsid w:val="008B0190"/>
    <w:rsid w:val="008B041F"/>
    <w:rsid w:val="008B0629"/>
    <w:rsid w:val="008B07BC"/>
    <w:rsid w:val="008B0B78"/>
    <w:rsid w:val="008B1242"/>
    <w:rsid w:val="008B162C"/>
    <w:rsid w:val="008B165E"/>
    <w:rsid w:val="008B16CD"/>
    <w:rsid w:val="008B173A"/>
    <w:rsid w:val="008B19FD"/>
    <w:rsid w:val="008B1C67"/>
    <w:rsid w:val="008B1D0D"/>
    <w:rsid w:val="008B21AD"/>
    <w:rsid w:val="008B2795"/>
    <w:rsid w:val="008B27CF"/>
    <w:rsid w:val="008B28AF"/>
    <w:rsid w:val="008B2B3C"/>
    <w:rsid w:val="008B320A"/>
    <w:rsid w:val="008B327D"/>
    <w:rsid w:val="008B3C26"/>
    <w:rsid w:val="008B3FDA"/>
    <w:rsid w:val="008B44A8"/>
    <w:rsid w:val="008B4705"/>
    <w:rsid w:val="008B4957"/>
    <w:rsid w:val="008B5D4B"/>
    <w:rsid w:val="008B6A86"/>
    <w:rsid w:val="008B70EF"/>
    <w:rsid w:val="008B7125"/>
    <w:rsid w:val="008B74B4"/>
    <w:rsid w:val="008C01D1"/>
    <w:rsid w:val="008C022C"/>
    <w:rsid w:val="008C0A2D"/>
    <w:rsid w:val="008C0F0C"/>
    <w:rsid w:val="008C0F95"/>
    <w:rsid w:val="008C1295"/>
    <w:rsid w:val="008C1E94"/>
    <w:rsid w:val="008C248C"/>
    <w:rsid w:val="008C298A"/>
    <w:rsid w:val="008C2C08"/>
    <w:rsid w:val="008C2F0D"/>
    <w:rsid w:val="008C2F6E"/>
    <w:rsid w:val="008C30EB"/>
    <w:rsid w:val="008C326F"/>
    <w:rsid w:val="008C34B2"/>
    <w:rsid w:val="008C3788"/>
    <w:rsid w:val="008C3C39"/>
    <w:rsid w:val="008C46BF"/>
    <w:rsid w:val="008C48B0"/>
    <w:rsid w:val="008C50E6"/>
    <w:rsid w:val="008C541E"/>
    <w:rsid w:val="008C57A8"/>
    <w:rsid w:val="008C635B"/>
    <w:rsid w:val="008C6976"/>
    <w:rsid w:val="008C6B7D"/>
    <w:rsid w:val="008C6F17"/>
    <w:rsid w:val="008C7074"/>
    <w:rsid w:val="008C73F7"/>
    <w:rsid w:val="008C750D"/>
    <w:rsid w:val="008C7604"/>
    <w:rsid w:val="008D006B"/>
    <w:rsid w:val="008D00CD"/>
    <w:rsid w:val="008D02CD"/>
    <w:rsid w:val="008D0DFE"/>
    <w:rsid w:val="008D1038"/>
    <w:rsid w:val="008D1112"/>
    <w:rsid w:val="008D14BB"/>
    <w:rsid w:val="008D176B"/>
    <w:rsid w:val="008D196A"/>
    <w:rsid w:val="008D1A01"/>
    <w:rsid w:val="008D1F29"/>
    <w:rsid w:val="008D25B4"/>
    <w:rsid w:val="008D2835"/>
    <w:rsid w:val="008D3836"/>
    <w:rsid w:val="008D3DDA"/>
    <w:rsid w:val="008D3FF4"/>
    <w:rsid w:val="008D439B"/>
    <w:rsid w:val="008D4678"/>
    <w:rsid w:val="008D4831"/>
    <w:rsid w:val="008D48C6"/>
    <w:rsid w:val="008D5173"/>
    <w:rsid w:val="008D53C2"/>
    <w:rsid w:val="008D53D8"/>
    <w:rsid w:val="008D5C9C"/>
    <w:rsid w:val="008D60BA"/>
    <w:rsid w:val="008D653F"/>
    <w:rsid w:val="008D67E9"/>
    <w:rsid w:val="008D6D61"/>
    <w:rsid w:val="008D73C3"/>
    <w:rsid w:val="008D73D2"/>
    <w:rsid w:val="008D78AA"/>
    <w:rsid w:val="008E09C3"/>
    <w:rsid w:val="008E0ACA"/>
    <w:rsid w:val="008E0C42"/>
    <w:rsid w:val="008E1192"/>
    <w:rsid w:val="008E13BD"/>
    <w:rsid w:val="008E182C"/>
    <w:rsid w:val="008E1C6A"/>
    <w:rsid w:val="008E20FF"/>
    <w:rsid w:val="008E272A"/>
    <w:rsid w:val="008E31ED"/>
    <w:rsid w:val="008E3521"/>
    <w:rsid w:val="008E37CD"/>
    <w:rsid w:val="008E3A2F"/>
    <w:rsid w:val="008E3AED"/>
    <w:rsid w:val="008E3C48"/>
    <w:rsid w:val="008E3CF5"/>
    <w:rsid w:val="008E3DEE"/>
    <w:rsid w:val="008E4C75"/>
    <w:rsid w:val="008E513C"/>
    <w:rsid w:val="008E56F4"/>
    <w:rsid w:val="008E5F54"/>
    <w:rsid w:val="008E69DA"/>
    <w:rsid w:val="008E7038"/>
    <w:rsid w:val="008E72DC"/>
    <w:rsid w:val="008E75BF"/>
    <w:rsid w:val="008F0837"/>
    <w:rsid w:val="008F0D04"/>
    <w:rsid w:val="008F0DD5"/>
    <w:rsid w:val="008F1113"/>
    <w:rsid w:val="008F1134"/>
    <w:rsid w:val="008F1581"/>
    <w:rsid w:val="008F15D8"/>
    <w:rsid w:val="008F160D"/>
    <w:rsid w:val="008F164D"/>
    <w:rsid w:val="008F1B20"/>
    <w:rsid w:val="008F1CA8"/>
    <w:rsid w:val="008F1D9B"/>
    <w:rsid w:val="008F1EA8"/>
    <w:rsid w:val="008F1EB5"/>
    <w:rsid w:val="008F209F"/>
    <w:rsid w:val="008F21BA"/>
    <w:rsid w:val="008F222A"/>
    <w:rsid w:val="008F27F3"/>
    <w:rsid w:val="008F29DC"/>
    <w:rsid w:val="008F2B13"/>
    <w:rsid w:val="008F2C55"/>
    <w:rsid w:val="008F320E"/>
    <w:rsid w:val="008F3684"/>
    <w:rsid w:val="008F3E98"/>
    <w:rsid w:val="008F4D07"/>
    <w:rsid w:val="008F4F70"/>
    <w:rsid w:val="008F51BB"/>
    <w:rsid w:val="008F57F6"/>
    <w:rsid w:val="008F5D76"/>
    <w:rsid w:val="008F5E15"/>
    <w:rsid w:val="008F62EF"/>
    <w:rsid w:val="008F6AA6"/>
    <w:rsid w:val="008F6D8B"/>
    <w:rsid w:val="008F6F6F"/>
    <w:rsid w:val="008F7938"/>
    <w:rsid w:val="008F7B9C"/>
    <w:rsid w:val="008F7EBE"/>
    <w:rsid w:val="009006AA"/>
    <w:rsid w:val="0090099A"/>
    <w:rsid w:val="009012FB"/>
    <w:rsid w:val="0090161B"/>
    <w:rsid w:val="0090161D"/>
    <w:rsid w:val="009020AD"/>
    <w:rsid w:val="009020C8"/>
    <w:rsid w:val="0090215C"/>
    <w:rsid w:val="00903093"/>
    <w:rsid w:val="0090310A"/>
    <w:rsid w:val="009039C4"/>
    <w:rsid w:val="00903E34"/>
    <w:rsid w:val="00904B30"/>
    <w:rsid w:val="0090512C"/>
    <w:rsid w:val="009051FB"/>
    <w:rsid w:val="0090557C"/>
    <w:rsid w:val="0090562D"/>
    <w:rsid w:val="00905B1C"/>
    <w:rsid w:val="00905D66"/>
    <w:rsid w:val="00905E17"/>
    <w:rsid w:val="0090633F"/>
    <w:rsid w:val="0090641A"/>
    <w:rsid w:val="00906A8C"/>
    <w:rsid w:val="0090737E"/>
    <w:rsid w:val="00907E49"/>
    <w:rsid w:val="009108E1"/>
    <w:rsid w:val="00910E84"/>
    <w:rsid w:val="00910FC7"/>
    <w:rsid w:val="00911411"/>
    <w:rsid w:val="00911B8C"/>
    <w:rsid w:val="00911DA0"/>
    <w:rsid w:val="0091226D"/>
    <w:rsid w:val="0091262C"/>
    <w:rsid w:val="0091286D"/>
    <w:rsid w:val="00913197"/>
    <w:rsid w:val="0091353B"/>
    <w:rsid w:val="0091366D"/>
    <w:rsid w:val="00913A2D"/>
    <w:rsid w:val="00913C26"/>
    <w:rsid w:val="00914035"/>
    <w:rsid w:val="0091437D"/>
    <w:rsid w:val="00914399"/>
    <w:rsid w:val="00914496"/>
    <w:rsid w:val="009144A5"/>
    <w:rsid w:val="009145A3"/>
    <w:rsid w:val="00914882"/>
    <w:rsid w:val="009149DD"/>
    <w:rsid w:val="00914A25"/>
    <w:rsid w:val="00914E08"/>
    <w:rsid w:val="0091562C"/>
    <w:rsid w:val="00915C6E"/>
    <w:rsid w:val="00915CB5"/>
    <w:rsid w:val="00915EB0"/>
    <w:rsid w:val="009160C9"/>
    <w:rsid w:val="0091667E"/>
    <w:rsid w:val="009167E2"/>
    <w:rsid w:val="0091680A"/>
    <w:rsid w:val="00916D65"/>
    <w:rsid w:val="00916F6B"/>
    <w:rsid w:val="009178DA"/>
    <w:rsid w:val="00917990"/>
    <w:rsid w:val="00917A63"/>
    <w:rsid w:val="00917BC5"/>
    <w:rsid w:val="00917C55"/>
    <w:rsid w:val="00917E27"/>
    <w:rsid w:val="00920649"/>
    <w:rsid w:val="00921262"/>
    <w:rsid w:val="00921320"/>
    <w:rsid w:val="00921588"/>
    <w:rsid w:val="009223FB"/>
    <w:rsid w:val="00922902"/>
    <w:rsid w:val="00922B1D"/>
    <w:rsid w:val="00922FE6"/>
    <w:rsid w:val="009231A5"/>
    <w:rsid w:val="0092343F"/>
    <w:rsid w:val="00923559"/>
    <w:rsid w:val="009236A4"/>
    <w:rsid w:val="009240F6"/>
    <w:rsid w:val="0092429A"/>
    <w:rsid w:val="00924745"/>
    <w:rsid w:val="00924C97"/>
    <w:rsid w:val="0092503F"/>
    <w:rsid w:val="00925C80"/>
    <w:rsid w:val="00925E60"/>
    <w:rsid w:val="0092690F"/>
    <w:rsid w:val="00926944"/>
    <w:rsid w:val="009269F4"/>
    <w:rsid w:val="00926B5B"/>
    <w:rsid w:val="00927292"/>
    <w:rsid w:val="009272C0"/>
    <w:rsid w:val="00927717"/>
    <w:rsid w:val="00927E90"/>
    <w:rsid w:val="00927EF1"/>
    <w:rsid w:val="0093004F"/>
    <w:rsid w:val="0093040B"/>
    <w:rsid w:val="00930B21"/>
    <w:rsid w:val="00930DB4"/>
    <w:rsid w:val="00930E6C"/>
    <w:rsid w:val="0093163C"/>
    <w:rsid w:val="00931682"/>
    <w:rsid w:val="0093211F"/>
    <w:rsid w:val="00932186"/>
    <w:rsid w:val="00932464"/>
    <w:rsid w:val="009325A8"/>
    <w:rsid w:val="0093296D"/>
    <w:rsid w:val="00932987"/>
    <w:rsid w:val="00933107"/>
    <w:rsid w:val="009333DC"/>
    <w:rsid w:val="009337DB"/>
    <w:rsid w:val="00933BBE"/>
    <w:rsid w:val="00934030"/>
    <w:rsid w:val="009343A4"/>
    <w:rsid w:val="009344DC"/>
    <w:rsid w:val="00934F91"/>
    <w:rsid w:val="00935767"/>
    <w:rsid w:val="00935852"/>
    <w:rsid w:val="00935EC1"/>
    <w:rsid w:val="0093657A"/>
    <w:rsid w:val="0093667C"/>
    <w:rsid w:val="009366D4"/>
    <w:rsid w:val="009367C4"/>
    <w:rsid w:val="00936CD8"/>
    <w:rsid w:val="00936D98"/>
    <w:rsid w:val="00937069"/>
    <w:rsid w:val="00937178"/>
    <w:rsid w:val="00937331"/>
    <w:rsid w:val="00937702"/>
    <w:rsid w:val="00937A89"/>
    <w:rsid w:val="00937E06"/>
    <w:rsid w:val="00937F0C"/>
    <w:rsid w:val="00940328"/>
    <w:rsid w:val="009403AD"/>
    <w:rsid w:val="00940EA8"/>
    <w:rsid w:val="00940FE5"/>
    <w:rsid w:val="00941E99"/>
    <w:rsid w:val="009420B2"/>
    <w:rsid w:val="009426F7"/>
    <w:rsid w:val="009427EB"/>
    <w:rsid w:val="00942C9B"/>
    <w:rsid w:val="0094308D"/>
    <w:rsid w:val="00943BBA"/>
    <w:rsid w:val="009440AF"/>
    <w:rsid w:val="009441D9"/>
    <w:rsid w:val="00944627"/>
    <w:rsid w:val="00944890"/>
    <w:rsid w:val="009448F8"/>
    <w:rsid w:val="00944B8F"/>
    <w:rsid w:val="009457D4"/>
    <w:rsid w:val="0094633A"/>
    <w:rsid w:val="009463C3"/>
    <w:rsid w:val="00946883"/>
    <w:rsid w:val="00946AE0"/>
    <w:rsid w:val="009474E7"/>
    <w:rsid w:val="00947D06"/>
    <w:rsid w:val="009501B4"/>
    <w:rsid w:val="0095039D"/>
    <w:rsid w:val="0095042E"/>
    <w:rsid w:val="009507B3"/>
    <w:rsid w:val="0095090A"/>
    <w:rsid w:val="00950B18"/>
    <w:rsid w:val="00950BEB"/>
    <w:rsid w:val="00950CAC"/>
    <w:rsid w:val="00951176"/>
    <w:rsid w:val="00951C14"/>
    <w:rsid w:val="00951D98"/>
    <w:rsid w:val="00951E83"/>
    <w:rsid w:val="0095270C"/>
    <w:rsid w:val="00952D62"/>
    <w:rsid w:val="00953AB5"/>
    <w:rsid w:val="00953C13"/>
    <w:rsid w:val="00953E5F"/>
    <w:rsid w:val="009543C0"/>
    <w:rsid w:val="009544DF"/>
    <w:rsid w:val="00954BBF"/>
    <w:rsid w:val="00954CB6"/>
    <w:rsid w:val="00954CE2"/>
    <w:rsid w:val="009556AA"/>
    <w:rsid w:val="009557AE"/>
    <w:rsid w:val="009557EA"/>
    <w:rsid w:val="00955A05"/>
    <w:rsid w:val="00955C91"/>
    <w:rsid w:val="00955DC8"/>
    <w:rsid w:val="00955F7B"/>
    <w:rsid w:val="009567AC"/>
    <w:rsid w:val="00956CC1"/>
    <w:rsid w:val="00956E59"/>
    <w:rsid w:val="00957AC8"/>
    <w:rsid w:val="0096006A"/>
    <w:rsid w:val="009606FD"/>
    <w:rsid w:val="00960E05"/>
    <w:rsid w:val="00961073"/>
    <w:rsid w:val="0096184C"/>
    <w:rsid w:val="009619E6"/>
    <w:rsid w:val="00961C92"/>
    <w:rsid w:val="00961D25"/>
    <w:rsid w:val="00962004"/>
    <w:rsid w:val="00962749"/>
    <w:rsid w:val="0096283A"/>
    <w:rsid w:val="00962D3D"/>
    <w:rsid w:val="00962F63"/>
    <w:rsid w:val="00962FD6"/>
    <w:rsid w:val="009635FF"/>
    <w:rsid w:val="00963633"/>
    <w:rsid w:val="00963799"/>
    <w:rsid w:val="00963E5A"/>
    <w:rsid w:val="009645CF"/>
    <w:rsid w:val="00964A12"/>
    <w:rsid w:val="009660E5"/>
    <w:rsid w:val="0096612D"/>
    <w:rsid w:val="009661FC"/>
    <w:rsid w:val="0096631B"/>
    <w:rsid w:val="00966977"/>
    <w:rsid w:val="00966B19"/>
    <w:rsid w:val="00966F1B"/>
    <w:rsid w:val="009672EC"/>
    <w:rsid w:val="00967BB9"/>
    <w:rsid w:val="00967E84"/>
    <w:rsid w:val="00970EB8"/>
    <w:rsid w:val="00970FB3"/>
    <w:rsid w:val="00971228"/>
    <w:rsid w:val="00971857"/>
    <w:rsid w:val="00971C40"/>
    <w:rsid w:val="0097244E"/>
    <w:rsid w:val="0097264F"/>
    <w:rsid w:val="009727C2"/>
    <w:rsid w:val="00972B22"/>
    <w:rsid w:val="00973445"/>
    <w:rsid w:val="00973733"/>
    <w:rsid w:val="0097384D"/>
    <w:rsid w:val="009749AD"/>
    <w:rsid w:val="009750CE"/>
    <w:rsid w:val="00975816"/>
    <w:rsid w:val="00975E09"/>
    <w:rsid w:val="00976910"/>
    <w:rsid w:val="00976DCD"/>
    <w:rsid w:val="00976EDA"/>
    <w:rsid w:val="009772CA"/>
    <w:rsid w:val="009772D1"/>
    <w:rsid w:val="009772DA"/>
    <w:rsid w:val="0097747C"/>
    <w:rsid w:val="0098069D"/>
    <w:rsid w:val="00980A59"/>
    <w:rsid w:val="00980BA8"/>
    <w:rsid w:val="009810FB"/>
    <w:rsid w:val="00981316"/>
    <w:rsid w:val="009814F8"/>
    <w:rsid w:val="009819FE"/>
    <w:rsid w:val="00982109"/>
    <w:rsid w:val="00982E94"/>
    <w:rsid w:val="0098306A"/>
    <w:rsid w:val="00983265"/>
    <w:rsid w:val="00983505"/>
    <w:rsid w:val="00984489"/>
    <w:rsid w:val="00984491"/>
    <w:rsid w:val="0098489A"/>
    <w:rsid w:val="0098490F"/>
    <w:rsid w:val="0098552E"/>
    <w:rsid w:val="00985622"/>
    <w:rsid w:val="00986786"/>
    <w:rsid w:val="00986D0F"/>
    <w:rsid w:val="00986FE2"/>
    <w:rsid w:val="009875A2"/>
    <w:rsid w:val="00987A25"/>
    <w:rsid w:val="00987A4B"/>
    <w:rsid w:val="00987AE4"/>
    <w:rsid w:val="00987CE4"/>
    <w:rsid w:val="00987D06"/>
    <w:rsid w:val="00987F6E"/>
    <w:rsid w:val="00990210"/>
    <w:rsid w:val="00990212"/>
    <w:rsid w:val="00990A2E"/>
    <w:rsid w:val="00990D38"/>
    <w:rsid w:val="00991234"/>
    <w:rsid w:val="00991448"/>
    <w:rsid w:val="00991AB2"/>
    <w:rsid w:val="00991CB3"/>
    <w:rsid w:val="0099209A"/>
    <w:rsid w:val="00992478"/>
    <w:rsid w:val="009926DE"/>
    <w:rsid w:val="00992FD7"/>
    <w:rsid w:val="0099311B"/>
    <w:rsid w:val="0099311D"/>
    <w:rsid w:val="009931B5"/>
    <w:rsid w:val="009933E4"/>
    <w:rsid w:val="0099347A"/>
    <w:rsid w:val="0099382C"/>
    <w:rsid w:val="00993DC6"/>
    <w:rsid w:val="00994293"/>
    <w:rsid w:val="009947C7"/>
    <w:rsid w:val="00994F58"/>
    <w:rsid w:val="009953A7"/>
    <w:rsid w:val="0099557C"/>
    <w:rsid w:val="009955F2"/>
    <w:rsid w:val="00995B87"/>
    <w:rsid w:val="00995EA7"/>
    <w:rsid w:val="00995F2D"/>
    <w:rsid w:val="00996230"/>
    <w:rsid w:val="00996BA8"/>
    <w:rsid w:val="00996D56"/>
    <w:rsid w:val="00996FC9"/>
    <w:rsid w:val="009970F9"/>
    <w:rsid w:val="00997295"/>
    <w:rsid w:val="009973BB"/>
    <w:rsid w:val="009975EC"/>
    <w:rsid w:val="00997A43"/>
    <w:rsid w:val="00997C45"/>
    <w:rsid w:val="009A03A7"/>
    <w:rsid w:val="009A044E"/>
    <w:rsid w:val="009A067C"/>
    <w:rsid w:val="009A1227"/>
    <w:rsid w:val="009A1307"/>
    <w:rsid w:val="009A158A"/>
    <w:rsid w:val="009A1999"/>
    <w:rsid w:val="009A1E9B"/>
    <w:rsid w:val="009A20DB"/>
    <w:rsid w:val="009A2220"/>
    <w:rsid w:val="009A2248"/>
    <w:rsid w:val="009A269C"/>
    <w:rsid w:val="009A2AD3"/>
    <w:rsid w:val="009A2C3A"/>
    <w:rsid w:val="009A2D3C"/>
    <w:rsid w:val="009A36B2"/>
    <w:rsid w:val="009A38EA"/>
    <w:rsid w:val="009A3E8B"/>
    <w:rsid w:val="009A3FA1"/>
    <w:rsid w:val="009A407E"/>
    <w:rsid w:val="009A4373"/>
    <w:rsid w:val="009A4971"/>
    <w:rsid w:val="009A4AC9"/>
    <w:rsid w:val="009A4D08"/>
    <w:rsid w:val="009A50B6"/>
    <w:rsid w:val="009A5168"/>
    <w:rsid w:val="009A52F8"/>
    <w:rsid w:val="009A55D4"/>
    <w:rsid w:val="009A57DC"/>
    <w:rsid w:val="009A5BBF"/>
    <w:rsid w:val="009A5BCC"/>
    <w:rsid w:val="009A5D58"/>
    <w:rsid w:val="009A5E4F"/>
    <w:rsid w:val="009A6453"/>
    <w:rsid w:val="009A7350"/>
    <w:rsid w:val="009A76FE"/>
    <w:rsid w:val="009A7BBC"/>
    <w:rsid w:val="009A7CDC"/>
    <w:rsid w:val="009A7F10"/>
    <w:rsid w:val="009B0036"/>
    <w:rsid w:val="009B02F4"/>
    <w:rsid w:val="009B0519"/>
    <w:rsid w:val="009B051D"/>
    <w:rsid w:val="009B0738"/>
    <w:rsid w:val="009B08E4"/>
    <w:rsid w:val="009B0977"/>
    <w:rsid w:val="009B09EA"/>
    <w:rsid w:val="009B15F6"/>
    <w:rsid w:val="009B1713"/>
    <w:rsid w:val="009B1721"/>
    <w:rsid w:val="009B18F4"/>
    <w:rsid w:val="009B1E96"/>
    <w:rsid w:val="009B23DC"/>
    <w:rsid w:val="009B25F5"/>
    <w:rsid w:val="009B27F7"/>
    <w:rsid w:val="009B2E77"/>
    <w:rsid w:val="009B2FC4"/>
    <w:rsid w:val="009B3383"/>
    <w:rsid w:val="009B367E"/>
    <w:rsid w:val="009B3F96"/>
    <w:rsid w:val="009B45A3"/>
    <w:rsid w:val="009B4608"/>
    <w:rsid w:val="009B462D"/>
    <w:rsid w:val="009B46C0"/>
    <w:rsid w:val="009B479F"/>
    <w:rsid w:val="009B4DFD"/>
    <w:rsid w:val="009B50FB"/>
    <w:rsid w:val="009B536C"/>
    <w:rsid w:val="009B62F2"/>
    <w:rsid w:val="009B6D9A"/>
    <w:rsid w:val="009B753E"/>
    <w:rsid w:val="009B78BC"/>
    <w:rsid w:val="009C0765"/>
    <w:rsid w:val="009C0F63"/>
    <w:rsid w:val="009C114E"/>
    <w:rsid w:val="009C12E9"/>
    <w:rsid w:val="009C15F8"/>
    <w:rsid w:val="009C1784"/>
    <w:rsid w:val="009C2054"/>
    <w:rsid w:val="009C24EB"/>
    <w:rsid w:val="009C2594"/>
    <w:rsid w:val="009C2A6B"/>
    <w:rsid w:val="009C2C3F"/>
    <w:rsid w:val="009C2DE0"/>
    <w:rsid w:val="009C2E5A"/>
    <w:rsid w:val="009C30A3"/>
    <w:rsid w:val="009C318D"/>
    <w:rsid w:val="009C341D"/>
    <w:rsid w:val="009C36F9"/>
    <w:rsid w:val="009C3B6A"/>
    <w:rsid w:val="009C3FD0"/>
    <w:rsid w:val="009C451B"/>
    <w:rsid w:val="009C547C"/>
    <w:rsid w:val="009C5806"/>
    <w:rsid w:val="009C5F2F"/>
    <w:rsid w:val="009C6341"/>
    <w:rsid w:val="009C653D"/>
    <w:rsid w:val="009C68D1"/>
    <w:rsid w:val="009C6A9E"/>
    <w:rsid w:val="009C6C06"/>
    <w:rsid w:val="009C721E"/>
    <w:rsid w:val="009C7B7E"/>
    <w:rsid w:val="009C7E43"/>
    <w:rsid w:val="009D0188"/>
    <w:rsid w:val="009D06E2"/>
    <w:rsid w:val="009D096A"/>
    <w:rsid w:val="009D0ADA"/>
    <w:rsid w:val="009D0CF2"/>
    <w:rsid w:val="009D1292"/>
    <w:rsid w:val="009D192F"/>
    <w:rsid w:val="009D1F8D"/>
    <w:rsid w:val="009D1FAB"/>
    <w:rsid w:val="009D2787"/>
    <w:rsid w:val="009D2C24"/>
    <w:rsid w:val="009D3E39"/>
    <w:rsid w:val="009D4399"/>
    <w:rsid w:val="009D444A"/>
    <w:rsid w:val="009D44F9"/>
    <w:rsid w:val="009D464E"/>
    <w:rsid w:val="009D4834"/>
    <w:rsid w:val="009D4E74"/>
    <w:rsid w:val="009D4F20"/>
    <w:rsid w:val="009D4F9E"/>
    <w:rsid w:val="009D56E3"/>
    <w:rsid w:val="009D59A8"/>
    <w:rsid w:val="009D5B81"/>
    <w:rsid w:val="009D6070"/>
    <w:rsid w:val="009D62F2"/>
    <w:rsid w:val="009D63A3"/>
    <w:rsid w:val="009D6BBC"/>
    <w:rsid w:val="009D7B2B"/>
    <w:rsid w:val="009E0201"/>
    <w:rsid w:val="009E05D6"/>
    <w:rsid w:val="009E09B3"/>
    <w:rsid w:val="009E0DD4"/>
    <w:rsid w:val="009E12C8"/>
    <w:rsid w:val="009E13D7"/>
    <w:rsid w:val="009E1E3D"/>
    <w:rsid w:val="009E202C"/>
    <w:rsid w:val="009E28B9"/>
    <w:rsid w:val="009E2E3B"/>
    <w:rsid w:val="009E3228"/>
    <w:rsid w:val="009E3980"/>
    <w:rsid w:val="009E3B55"/>
    <w:rsid w:val="009E3E89"/>
    <w:rsid w:val="009E43F8"/>
    <w:rsid w:val="009E4599"/>
    <w:rsid w:val="009E469A"/>
    <w:rsid w:val="009E4D02"/>
    <w:rsid w:val="009E5646"/>
    <w:rsid w:val="009E5682"/>
    <w:rsid w:val="009E5806"/>
    <w:rsid w:val="009E6012"/>
    <w:rsid w:val="009E6B24"/>
    <w:rsid w:val="009E7B1F"/>
    <w:rsid w:val="009E7C7C"/>
    <w:rsid w:val="009E7EDD"/>
    <w:rsid w:val="009F0907"/>
    <w:rsid w:val="009F0AA2"/>
    <w:rsid w:val="009F1097"/>
    <w:rsid w:val="009F1983"/>
    <w:rsid w:val="009F1F41"/>
    <w:rsid w:val="009F23BD"/>
    <w:rsid w:val="009F24FC"/>
    <w:rsid w:val="009F28DA"/>
    <w:rsid w:val="009F2913"/>
    <w:rsid w:val="009F38CE"/>
    <w:rsid w:val="009F3C50"/>
    <w:rsid w:val="009F3FDB"/>
    <w:rsid w:val="009F421A"/>
    <w:rsid w:val="009F425D"/>
    <w:rsid w:val="009F42B3"/>
    <w:rsid w:val="009F48AA"/>
    <w:rsid w:val="009F4E34"/>
    <w:rsid w:val="009F532D"/>
    <w:rsid w:val="009F583B"/>
    <w:rsid w:val="009F5ABB"/>
    <w:rsid w:val="009F6253"/>
    <w:rsid w:val="009F6ACC"/>
    <w:rsid w:val="009F6B34"/>
    <w:rsid w:val="009F6B67"/>
    <w:rsid w:val="009F7087"/>
    <w:rsid w:val="009F76C4"/>
    <w:rsid w:val="009F7DA5"/>
    <w:rsid w:val="009F7F00"/>
    <w:rsid w:val="00A00313"/>
    <w:rsid w:val="00A00672"/>
    <w:rsid w:val="00A00F9E"/>
    <w:rsid w:val="00A012DB"/>
    <w:rsid w:val="00A01594"/>
    <w:rsid w:val="00A0178E"/>
    <w:rsid w:val="00A01A2C"/>
    <w:rsid w:val="00A01B11"/>
    <w:rsid w:val="00A0283A"/>
    <w:rsid w:val="00A02887"/>
    <w:rsid w:val="00A02F5A"/>
    <w:rsid w:val="00A02FCC"/>
    <w:rsid w:val="00A03F4D"/>
    <w:rsid w:val="00A0410B"/>
    <w:rsid w:val="00A04318"/>
    <w:rsid w:val="00A0457F"/>
    <w:rsid w:val="00A04927"/>
    <w:rsid w:val="00A0497C"/>
    <w:rsid w:val="00A04BBC"/>
    <w:rsid w:val="00A04BE9"/>
    <w:rsid w:val="00A04C39"/>
    <w:rsid w:val="00A04F4B"/>
    <w:rsid w:val="00A04FFB"/>
    <w:rsid w:val="00A0585A"/>
    <w:rsid w:val="00A05CBF"/>
    <w:rsid w:val="00A05E5A"/>
    <w:rsid w:val="00A0695D"/>
    <w:rsid w:val="00A06E12"/>
    <w:rsid w:val="00A07267"/>
    <w:rsid w:val="00A10AC7"/>
    <w:rsid w:val="00A10AEE"/>
    <w:rsid w:val="00A10D9D"/>
    <w:rsid w:val="00A10DA5"/>
    <w:rsid w:val="00A11319"/>
    <w:rsid w:val="00A11A60"/>
    <w:rsid w:val="00A1248A"/>
    <w:rsid w:val="00A12A2D"/>
    <w:rsid w:val="00A12E81"/>
    <w:rsid w:val="00A13830"/>
    <w:rsid w:val="00A13915"/>
    <w:rsid w:val="00A13C4E"/>
    <w:rsid w:val="00A13F87"/>
    <w:rsid w:val="00A14560"/>
    <w:rsid w:val="00A14628"/>
    <w:rsid w:val="00A14D7C"/>
    <w:rsid w:val="00A14E53"/>
    <w:rsid w:val="00A152D4"/>
    <w:rsid w:val="00A15418"/>
    <w:rsid w:val="00A15879"/>
    <w:rsid w:val="00A16B7B"/>
    <w:rsid w:val="00A178E7"/>
    <w:rsid w:val="00A178FD"/>
    <w:rsid w:val="00A17F7B"/>
    <w:rsid w:val="00A20195"/>
    <w:rsid w:val="00A2025F"/>
    <w:rsid w:val="00A20303"/>
    <w:rsid w:val="00A2032E"/>
    <w:rsid w:val="00A20829"/>
    <w:rsid w:val="00A20C72"/>
    <w:rsid w:val="00A225C6"/>
    <w:rsid w:val="00A23ADE"/>
    <w:rsid w:val="00A23B92"/>
    <w:rsid w:val="00A23DE2"/>
    <w:rsid w:val="00A23F13"/>
    <w:rsid w:val="00A240BF"/>
    <w:rsid w:val="00A242E1"/>
    <w:rsid w:val="00A24643"/>
    <w:rsid w:val="00A249A0"/>
    <w:rsid w:val="00A249F7"/>
    <w:rsid w:val="00A24B24"/>
    <w:rsid w:val="00A24B51"/>
    <w:rsid w:val="00A24C80"/>
    <w:rsid w:val="00A24E4F"/>
    <w:rsid w:val="00A252C3"/>
    <w:rsid w:val="00A26FE8"/>
    <w:rsid w:val="00A2728D"/>
    <w:rsid w:val="00A27F83"/>
    <w:rsid w:val="00A3027C"/>
    <w:rsid w:val="00A30A76"/>
    <w:rsid w:val="00A30E02"/>
    <w:rsid w:val="00A30EB9"/>
    <w:rsid w:val="00A31367"/>
    <w:rsid w:val="00A3186F"/>
    <w:rsid w:val="00A32AB5"/>
    <w:rsid w:val="00A32CAE"/>
    <w:rsid w:val="00A3371D"/>
    <w:rsid w:val="00A33C2B"/>
    <w:rsid w:val="00A341C0"/>
    <w:rsid w:val="00A348D3"/>
    <w:rsid w:val="00A3523E"/>
    <w:rsid w:val="00A352BC"/>
    <w:rsid w:val="00A35470"/>
    <w:rsid w:val="00A35C4E"/>
    <w:rsid w:val="00A3673A"/>
    <w:rsid w:val="00A36884"/>
    <w:rsid w:val="00A36AB1"/>
    <w:rsid w:val="00A3707D"/>
    <w:rsid w:val="00A37822"/>
    <w:rsid w:val="00A37BB1"/>
    <w:rsid w:val="00A37C8C"/>
    <w:rsid w:val="00A37DB5"/>
    <w:rsid w:val="00A37E59"/>
    <w:rsid w:val="00A37FEC"/>
    <w:rsid w:val="00A40757"/>
    <w:rsid w:val="00A4079A"/>
    <w:rsid w:val="00A40A62"/>
    <w:rsid w:val="00A40BF6"/>
    <w:rsid w:val="00A40C5B"/>
    <w:rsid w:val="00A40D9E"/>
    <w:rsid w:val="00A40E17"/>
    <w:rsid w:val="00A40FEF"/>
    <w:rsid w:val="00A412B4"/>
    <w:rsid w:val="00A413DF"/>
    <w:rsid w:val="00A415A9"/>
    <w:rsid w:val="00A41767"/>
    <w:rsid w:val="00A417AF"/>
    <w:rsid w:val="00A41830"/>
    <w:rsid w:val="00A4224C"/>
    <w:rsid w:val="00A42538"/>
    <w:rsid w:val="00A42AAE"/>
    <w:rsid w:val="00A42BE2"/>
    <w:rsid w:val="00A43659"/>
    <w:rsid w:val="00A43680"/>
    <w:rsid w:val="00A43CB2"/>
    <w:rsid w:val="00A44286"/>
    <w:rsid w:val="00A4460E"/>
    <w:rsid w:val="00A446ED"/>
    <w:rsid w:val="00A44794"/>
    <w:rsid w:val="00A448EF"/>
    <w:rsid w:val="00A44E0A"/>
    <w:rsid w:val="00A44F16"/>
    <w:rsid w:val="00A44F24"/>
    <w:rsid w:val="00A450DC"/>
    <w:rsid w:val="00A4514A"/>
    <w:rsid w:val="00A4544B"/>
    <w:rsid w:val="00A45793"/>
    <w:rsid w:val="00A45AAA"/>
    <w:rsid w:val="00A45D60"/>
    <w:rsid w:val="00A4612A"/>
    <w:rsid w:val="00A461A9"/>
    <w:rsid w:val="00A463B8"/>
    <w:rsid w:val="00A46541"/>
    <w:rsid w:val="00A473A0"/>
    <w:rsid w:val="00A47613"/>
    <w:rsid w:val="00A50017"/>
    <w:rsid w:val="00A5097F"/>
    <w:rsid w:val="00A50A2F"/>
    <w:rsid w:val="00A517D9"/>
    <w:rsid w:val="00A51A64"/>
    <w:rsid w:val="00A51A85"/>
    <w:rsid w:val="00A53E27"/>
    <w:rsid w:val="00A543EB"/>
    <w:rsid w:val="00A54707"/>
    <w:rsid w:val="00A5527F"/>
    <w:rsid w:val="00A555A6"/>
    <w:rsid w:val="00A555DC"/>
    <w:rsid w:val="00A556DE"/>
    <w:rsid w:val="00A55B03"/>
    <w:rsid w:val="00A55DC7"/>
    <w:rsid w:val="00A56028"/>
    <w:rsid w:val="00A562E6"/>
    <w:rsid w:val="00A56A83"/>
    <w:rsid w:val="00A56DCA"/>
    <w:rsid w:val="00A56EB0"/>
    <w:rsid w:val="00A57135"/>
    <w:rsid w:val="00A57514"/>
    <w:rsid w:val="00A57824"/>
    <w:rsid w:val="00A606AE"/>
    <w:rsid w:val="00A608D2"/>
    <w:rsid w:val="00A60A7C"/>
    <w:rsid w:val="00A60AD2"/>
    <w:rsid w:val="00A60DB5"/>
    <w:rsid w:val="00A60DE3"/>
    <w:rsid w:val="00A60EDD"/>
    <w:rsid w:val="00A61E4C"/>
    <w:rsid w:val="00A61F3B"/>
    <w:rsid w:val="00A62F1B"/>
    <w:rsid w:val="00A63118"/>
    <w:rsid w:val="00A63947"/>
    <w:rsid w:val="00A63F11"/>
    <w:rsid w:val="00A64063"/>
    <w:rsid w:val="00A64B40"/>
    <w:rsid w:val="00A64DD4"/>
    <w:rsid w:val="00A6526E"/>
    <w:rsid w:val="00A6574A"/>
    <w:rsid w:val="00A65B44"/>
    <w:rsid w:val="00A66962"/>
    <w:rsid w:val="00A66988"/>
    <w:rsid w:val="00A66C6F"/>
    <w:rsid w:val="00A66F0B"/>
    <w:rsid w:val="00A67BA0"/>
    <w:rsid w:val="00A70049"/>
    <w:rsid w:val="00A700D2"/>
    <w:rsid w:val="00A70B13"/>
    <w:rsid w:val="00A71831"/>
    <w:rsid w:val="00A72295"/>
    <w:rsid w:val="00A72310"/>
    <w:rsid w:val="00A72474"/>
    <w:rsid w:val="00A72611"/>
    <w:rsid w:val="00A72FE5"/>
    <w:rsid w:val="00A73091"/>
    <w:rsid w:val="00A73156"/>
    <w:rsid w:val="00A7328B"/>
    <w:rsid w:val="00A73B7A"/>
    <w:rsid w:val="00A73DA1"/>
    <w:rsid w:val="00A73EF0"/>
    <w:rsid w:val="00A74112"/>
    <w:rsid w:val="00A74B3D"/>
    <w:rsid w:val="00A7504B"/>
    <w:rsid w:val="00A7535E"/>
    <w:rsid w:val="00A75A7C"/>
    <w:rsid w:val="00A76160"/>
    <w:rsid w:val="00A76521"/>
    <w:rsid w:val="00A76E0F"/>
    <w:rsid w:val="00A77154"/>
    <w:rsid w:val="00A77462"/>
    <w:rsid w:val="00A775F1"/>
    <w:rsid w:val="00A7792B"/>
    <w:rsid w:val="00A77A11"/>
    <w:rsid w:val="00A77E37"/>
    <w:rsid w:val="00A8034E"/>
    <w:rsid w:val="00A80774"/>
    <w:rsid w:val="00A80BD2"/>
    <w:rsid w:val="00A80E6F"/>
    <w:rsid w:val="00A81005"/>
    <w:rsid w:val="00A81543"/>
    <w:rsid w:val="00A81A39"/>
    <w:rsid w:val="00A824F2"/>
    <w:rsid w:val="00A825FF"/>
    <w:rsid w:val="00A8294F"/>
    <w:rsid w:val="00A8297B"/>
    <w:rsid w:val="00A836A2"/>
    <w:rsid w:val="00A8413F"/>
    <w:rsid w:val="00A841C9"/>
    <w:rsid w:val="00A84E08"/>
    <w:rsid w:val="00A851FA"/>
    <w:rsid w:val="00A85204"/>
    <w:rsid w:val="00A85602"/>
    <w:rsid w:val="00A85A19"/>
    <w:rsid w:val="00A8631F"/>
    <w:rsid w:val="00A86452"/>
    <w:rsid w:val="00A87611"/>
    <w:rsid w:val="00A87D49"/>
    <w:rsid w:val="00A90030"/>
    <w:rsid w:val="00A90046"/>
    <w:rsid w:val="00A90542"/>
    <w:rsid w:val="00A909B5"/>
    <w:rsid w:val="00A90A3E"/>
    <w:rsid w:val="00A90AD0"/>
    <w:rsid w:val="00A9101B"/>
    <w:rsid w:val="00A91549"/>
    <w:rsid w:val="00A91662"/>
    <w:rsid w:val="00A91A56"/>
    <w:rsid w:val="00A91A5F"/>
    <w:rsid w:val="00A91FD2"/>
    <w:rsid w:val="00A92C55"/>
    <w:rsid w:val="00A930DF"/>
    <w:rsid w:val="00A93845"/>
    <w:rsid w:val="00A93DD6"/>
    <w:rsid w:val="00A93E60"/>
    <w:rsid w:val="00A94AD1"/>
    <w:rsid w:val="00A94E99"/>
    <w:rsid w:val="00A94ED5"/>
    <w:rsid w:val="00A9525F"/>
    <w:rsid w:val="00A953AC"/>
    <w:rsid w:val="00A95437"/>
    <w:rsid w:val="00A95523"/>
    <w:rsid w:val="00A95852"/>
    <w:rsid w:val="00A95BDD"/>
    <w:rsid w:val="00A95C9C"/>
    <w:rsid w:val="00A96705"/>
    <w:rsid w:val="00A968C9"/>
    <w:rsid w:val="00A9696C"/>
    <w:rsid w:val="00A971FF"/>
    <w:rsid w:val="00A977AE"/>
    <w:rsid w:val="00A977B0"/>
    <w:rsid w:val="00AA07C3"/>
    <w:rsid w:val="00AA0987"/>
    <w:rsid w:val="00AA0B24"/>
    <w:rsid w:val="00AA0BEC"/>
    <w:rsid w:val="00AA1283"/>
    <w:rsid w:val="00AA1E72"/>
    <w:rsid w:val="00AA274A"/>
    <w:rsid w:val="00AA2948"/>
    <w:rsid w:val="00AA2F11"/>
    <w:rsid w:val="00AA3168"/>
    <w:rsid w:val="00AA3595"/>
    <w:rsid w:val="00AA3F6D"/>
    <w:rsid w:val="00AA3FD0"/>
    <w:rsid w:val="00AA4582"/>
    <w:rsid w:val="00AA5177"/>
    <w:rsid w:val="00AA54D3"/>
    <w:rsid w:val="00AA55C7"/>
    <w:rsid w:val="00AA5D97"/>
    <w:rsid w:val="00AA6367"/>
    <w:rsid w:val="00AA6792"/>
    <w:rsid w:val="00AA67FF"/>
    <w:rsid w:val="00AA6833"/>
    <w:rsid w:val="00AA6B21"/>
    <w:rsid w:val="00AA6F87"/>
    <w:rsid w:val="00AA7215"/>
    <w:rsid w:val="00AA7CAF"/>
    <w:rsid w:val="00AB0046"/>
    <w:rsid w:val="00AB08CE"/>
    <w:rsid w:val="00AB0C38"/>
    <w:rsid w:val="00AB1750"/>
    <w:rsid w:val="00AB1878"/>
    <w:rsid w:val="00AB1899"/>
    <w:rsid w:val="00AB1BD9"/>
    <w:rsid w:val="00AB1C75"/>
    <w:rsid w:val="00AB1CB6"/>
    <w:rsid w:val="00AB1DE7"/>
    <w:rsid w:val="00AB1E7B"/>
    <w:rsid w:val="00AB241B"/>
    <w:rsid w:val="00AB24F1"/>
    <w:rsid w:val="00AB2F28"/>
    <w:rsid w:val="00AB365E"/>
    <w:rsid w:val="00AB39E2"/>
    <w:rsid w:val="00AB443B"/>
    <w:rsid w:val="00AB44CD"/>
    <w:rsid w:val="00AB4667"/>
    <w:rsid w:val="00AB46C3"/>
    <w:rsid w:val="00AB4E1B"/>
    <w:rsid w:val="00AB4EA7"/>
    <w:rsid w:val="00AB4FEF"/>
    <w:rsid w:val="00AB57F6"/>
    <w:rsid w:val="00AB5AF3"/>
    <w:rsid w:val="00AB5DEE"/>
    <w:rsid w:val="00AB5E4E"/>
    <w:rsid w:val="00AB62E6"/>
    <w:rsid w:val="00AB638D"/>
    <w:rsid w:val="00AB6B43"/>
    <w:rsid w:val="00AB6E51"/>
    <w:rsid w:val="00AB6FD5"/>
    <w:rsid w:val="00AB76E0"/>
    <w:rsid w:val="00AB7A71"/>
    <w:rsid w:val="00AB7C65"/>
    <w:rsid w:val="00AC0076"/>
    <w:rsid w:val="00AC0A98"/>
    <w:rsid w:val="00AC0D24"/>
    <w:rsid w:val="00AC14EC"/>
    <w:rsid w:val="00AC1729"/>
    <w:rsid w:val="00AC2954"/>
    <w:rsid w:val="00AC2E5B"/>
    <w:rsid w:val="00AC3200"/>
    <w:rsid w:val="00AC3300"/>
    <w:rsid w:val="00AC3F86"/>
    <w:rsid w:val="00AC414B"/>
    <w:rsid w:val="00AC41AA"/>
    <w:rsid w:val="00AC420C"/>
    <w:rsid w:val="00AC4342"/>
    <w:rsid w:val="00AC4508"/>
    <w:rsid w:val="00AC49A6"/>
    <w:rsid w:val="00AC4BF9"/>
    <w:rsid w:val="00AC50F2"/>
    <w:rsid w:val="00AC535C"/>
    <w:rsid w:val="00AC539F"/>
    <w:rsid w:val="00AC559C"/>
    <w:rsid w:val="00AC563F"/>
    <w:rsid w:val="00AC6147"/>
    <w:rsid w:val="00AC6261"/>
    <w:rsid w:val="00AC63A4"/>
    <w:rsid w:val="00AC645F"/>
    <w:rsid w:val="00AC6DDB"/>
    <w:rsid w:val="00AC779C"/>
    <w:rsid w:val="00AD0275"/>
    <w:rsid w:val="00AD06C1"/>
    <w:rsid w:val="00AD0B87"/>
    <w:rsid w:val="00AD119D"/>
    <w:rsid w:val="00AD12AC"/>
    <w:rsid w:val="00AD12E6"/>
    <w:rsid w:val="00AD1536"/>
    <w:rsid w:val="00AD1C9E"/>
    <w:rsid w:val="00AD27B4"/>
    <w:rsid w:val="00AD3222"/>
    <w:rsid w:val="00AD32F7"/>
    <w:rsid w:val="00AD3A95"/>
    <w:rsid w:val="00AD3DB0"/>
    <w:rsid w:val="00AD44E5"/>
    <w:rsid w:val="00AD4519"/>
    <w:rsid w:val="00AD481E"/>
    <w:rsid w:val="00AD50E2"/>
    <w:rsid w:val="00AD584B"/>
    <w:rsid w:val="00AD5DC0"/>
    <w:rsid w:val="00AD5ED6"/>
    <w:rsid w:val="00AD5F24"/>
    <w:rsid w:val="00AD5FD7"/>
    <w:rsid w:val="00AD6061"/>
    <w:rsid w:val="00AD63D3"/>
    <w:rsid w:val="00AD65BA"/>
    <w:rsid w:val="00AD6851"/>
    <w:rsid w:val="00AD6B5D"/>
    <w:rsid w:val="00AD7027"/>
    <w:rsid w:val="00AD71D9"/>
    <w:rsid w:val="00AD7E85"/>
    <w:rsid w:val="00AE04A7"/>
    <w:rsid w:val="00AE0B67"/>
    <w:rsid w:val="00AE0EE7"/>
    <w:rsid w:val="00AE11ED"/>
    <w:rsid w:val="00AE120E"/>
    <w:rsid w:val="00AE17A1"/>
    <w:rsid w:val="00AE22BE"/>
    <w:rsid w:val="00AE244F"/>
    <w:rsid w:val="00AE24A2"/>
    <w:rsid w:val="00AE2AD5"/>
    <w:rsid w:val="00AE35CD"/>
    <w:rsid w:val="00AE44BF"/>
    <w:rsid w:val="00AE5544"/>
    <w:rsid w:val="00AE6C6F"/>
    <w:rsid w:val="00AE6D16"/>
    <w:rsid w:val="00AE6E66"/>
    <w:rsid w:val="00AE70AA"/>
    <w:rsid w:val="00AE73F3"/>
    <w:rsid w:val="00AF0271"/>
    <w:rsid w:val="00AF099F"/>
    <w:rsid w:val="00AF1218"/>
    <w:rsid w:val="00AF1248"/>
    <w:rsid w:val="00AF12CD"/>
    <w:rsid w:val="00AF164B"/>
    <w:rsid w:val="00AF16F5"/>
    <w:rsid w:val="00AF190A"/>
    <w:rsid w:val="00AF1BD5"/>
    <w:rsid w:val="00AF1CA0"/>
    <w:rsid w:val="00AF1E89"/>
    <w:rsid w:val="00AF1FFD"/>
    <w:rsid w:val="00AF205D"/>
    <w:rsid w:val="00AF20FC"/>
    <w:rsid w:val="00AF242C"/>
    <w:rsid w:val="00AF26D1"/>
    <w:rsid w:val="00AF293F"/>
    <w:rsid w:val="00AF3022"/>
    <w:rsid w:val="00AF312A"/>
    <w:rsid w:val="00AF3241"/>
    <w:rsid w:val="00AF3A3C"/>
    <w:rsid w:val="00AF3E31"/>
    <w:rsid w:val="00AF4109"/>
    <w:rsid w:val="00AF4235"/>
    <w:rsid w:val="00AF46AD"/>
    <w:rsid w:val="00AF489E"/>
    <w:rsid w:val="00AF4B35"/>
    <w:rsid w:val="00AF5E98"/>
    <w:rsid w:val="00AF5ED0"/>
    <w:rsid w:val="00AF68D2"/>
    <w:rsid w:val="00AF732C"/>
    <w:rsid w:val="00AF74C8"/>
    <w:rsid w:val="00AF7B4A"/>
    <w:rsid w:val="00AF7C95"/>
    <w:rsid w:val="00AF7DE7"/>
    <w:rsid w:val="00B00085"/>
    <w:rsid w:val="00B00966"/>
    <w:rsid w:val="00B00CC1"/>
    <w:rsid w:val="00B00DE8"/>
    <w:rsid w:val="00B010C7"/>
    <w:rsid w:val="00B011F2"/>
    <w:rsid w:val="00B012DD"/>
    <w:rsid w:val="00B019A1"/>
    <w:rsid w:val="00B01EA9"/>
    <w:rsid w:val="00B0214A"/>
    <w:rsid w:val="00B0247F"/>
    <w:rsid w:val="00B02711"/>
    <w:rsid w:val="00B02A41"/>
    <w:rsid w:val="00B02B0D"/>
    <w:rsid w:val="00B0343C"/>
    <w:rsid w:val="00B0348B"/>
    <w:rsid w:val="00B036E0"/>
    <w:rsid w:val="00B039F0"/>
    <w:rsid w:val="00B03AF2"/>
    <w:rsid w:val="00B03B31"/>
    <w:rsid w:val="00B03C0C"/>
    <w:rsid w:val="00B03D11"/>
    <w:rsid w:val="00B04268"/>
    <w:rsid w:val="00B049D7"/>
    <w:rsid w:val="00B04A6B"/>
    <w:rsid w:val="00B04F49"/>
    <w:rsid w:val="00B05191"/>
    <w:rsid w:val="00B0527D"/>
    <w:rsid w:val="00B0532B"/>
    <w:rsid w:val="00B05EF9"/>
    <w:rsid w:val="00B067C3"/>
    <w:rsid w:val="00B06952"/>
    <w:rsid w:val="00B06E02"/>
    <w:rsid w:val="00B07348"/>
    <w:rsid w:val="00B0772A"/>
    <w:rsid w:val="00B078A9"/>
    <w:rsid w:val="00B07CFD"/>
    <w:rsid w:val="00B100AC"/>
    <w:rsid w:val="00B1027A"/>
    <w:rsid w:val="00B103A6"/>
    <w:rsid w:val="00B1053E"/>
    <w:rsid w:val="00B105D8"/>
    <w:rsid w:val="00B10A61"/>
    <w:rsid w:val="00B10C2D"/>
    <w:rsid w:val="00B10E27"/>
    <w:rsid w:val="00B110AB"/>
    <w:rsid w:val="00B110C1"/>
    <w:rsid w:val="00B110DB"/>
    <w:rsid w:val="00B111AA"/>
    <w:rsid w:val="00B116D4"/>
    <w:rsid w:val="00B12935"/>
    <w:rsid w:val="00B129B7"/>
    <w:rsid w:val="00B12B2D"/>
    <w:rsid w:val="00B13128"/>
    <w:rsid w:val="00B13721"/>
    <w:rsid w:val="00B139AE"/>
    <w:rsid w:val="00B13C4B"/>
    <w:rsid w:val="00B14EA1"/>
    <w:rsid w:val="00B16244"/>
    <w:rsid w:val="00B16262"/>
    <w:rsid w:val="00B16A1D"/>
    <w:rsid w:val="00B16BE0"/>
    <w:rsid w:val="00B16C80"/>
    <w:rsid w:val="00B16D2E"/>
    <w:rsid w:val="00B170A3"/>
    <w:rsid w:val="00B175E9"/>
    <w:rsid w:val="00B1783A"/>
    <w:rsid w:val="00B17ADD"/>
    <w:rsid w:val="00B17B02"/>
    <w:rsid w:val="00B17DB6"/>
    <w:rsid w:val="00B17EEC"/>
    <w:rsid w:val="00B20173"/>
    <w:rsid w:val="00B201FA"/>
    <w:rsid w:val="00B20366"/>
    <w:rsid w:val="00B209F4"/>
    <w:rsid w:val="00B20BB9"/>
    <w:rsid w:val="00B20F01"/>
    <w:rsid w:val="00B2122C"/>
    <w:rsid w:val="00B21242"/>
    <w:rsid w:val="00B213AF"/>
    <w:rsid w:val="00B21E9A"/>
    <w:rsid w:val="00B2229F"/>
    <w:rsid w:val="00B223D6"/>
    <w:rsid w:val="00B22D04"/>
    <w:rsid w:val="00B23068"/>
    <w:rsid w:val="00B237FA"/>
    <w:rsid w:val="00B2387C"/>
    <w:rsid w:val="00B23E91"/>
    <w:rsid w:val="00B23FEF"/>
    <w:rsid w:val="00B24250"/>
    <w:rsid w:val="00B2429A"/>
    <w:rsid w:val="00B24950"/>
    <w:rsid w:val="00B24D9B"/>
    <w:rsid w:val="00B24E45"/>
    <w:rsid w:val="00B24EA2"/>
    <w:rsid w:val="00B25485"/>
    <w:rsid w:val="00B2623A"/>
    <w:rsid w:val="00B26519"/>
    <w:rsid w:val="00B26E23"/>
    <w:rsid w:val="00B26E68"/>
    <w:rsid w:val="00B2757E"/>
    <w:rsid w:val="00B27B66"/>
    <w:rsid w:val="00B3002A"/>
    <w:rsid w:val="00B30909"/>
    <w:rsid w:val="00B30A94"/>
    <w:rsid w:val="00B30B56"/>
    <w:rsid w:val="00B30BDE"/>
    <w:rsid w:val="00B30CDD"/>
    <w:rsid w:val="00B30D6F"/>
    <w:rsid w:val="00B30FF5"/>
    <w:rsid w:val="00B31061"/>
    <w:rsid w:val="00B31322"/>
    <w:rsid w:val="00B31606"/>
    <w:rsid w:val="00B31D49"/>
    <w:rsid w:val="00B32126"/>
    <w:rsid w:val="00B324DE"/>
    <w:rsid w:val="00B329C7"/>
    <w:rsid w:val="00B33729"/>
    <w:rsid w:val="00B33DC4"/>
    <w:rsid w:val="00B3403D"/>
    <w:rsid w:val="00B34BF2"/>
    <w:rsid w:val="00B34F16"/>
    <w:rsid w:val="00B35DC3"/>
    <w:rsid w:val="00B3677B"/>
    <w:rsid w:val="00B3688C"/>
    <w:rsid w:val="00B369D3"/>
    <w:rsid w:val="00B36A14"/>
    <w:rsid w:val="00B3738D"/>
    <w:rsid w:val="00B378BA"/>
    <w:rsid w:val="00B378F9"/>
    <w:rsid w:val="00B37E05"/>
    <w:rsid w:val="00B37E10"/>
    <w:rsid w:val="00B37F65"/>
    <w:rsid w:val="00B37F8A"/>
    <w:rsid w:val="00B408A5"/>
    <w:rsid w:val="00B40B2F"/>
    <w:rsid w:val="00B40BE5"/>
    <w:rsid w:val="00B40C9B"/>
    <w:rsid w:val="00B40E29"/>
    <w:rsid w:val="00B40E83"/>
    <w:rsid w:val="00B414B6"/>
    <w:rsid w:val="00B4152F"/>
    <w:rsid w:val="00B417F7"/>
    <w:rsid w:val="00B418FB"/>
    <w:rsid w:val="00B41A74"/>
    <w:rsid w:val="00B41DDD"/>
    <w:rsid w:val="00B41FED"/>
    <w:rsid w:val="00B42136"/>
    <w:rsid w:val="00B421CC"/>
    <w:rsid w:val="00B42914"/>
    <w:rsid w:val="00B42F86"/>
    <w:rsid w:val="00B432B9"/>
    <w:rsid w:val="00B4333D"/>
    <w:rsid w:val="00B43A5C"/>
    <w:rsid w:val="00B43CE3"/>
    <w:rsid w:val="00B43E7F"/>
    <w:rsid w:val="00B43EAE"/>
    <w:rsid w:val="00B44C1C"/>
    <w:rsid w:val="00B44D0D"/>
    <w:rsid w:val="00B45B56"/>
    <w:rsid w:val="00B45BCB"/>
    <w:rsid w:val="00B45C7E"/>
    <w:rsid w:val="00B45D1C"/>
    <w:rsid w:val="00B46240"/>
    <w:rsid w:val="00B4647C"/>
    <w:rsid w:val="00B466BC"/>
    <w:rsid w:val="00B47048"/>
    <w:rsid w:val="00B4726C"/>
    <w:rsid w:val="00B47270"/>
    <w:rsid w:val="00B476DE"/>
    <w:rsid w:val="00B47730"/>
    <w:rsid w:val="00B50E5D"/>
    <w:rsid w:val="00B50F25"/>
    <w:rsid w:val="00B51846"/>
    <w:rsid w:val="00B5196B"/>
    <w:rsid w:val="00B5197A"/>
    <w:rsid w:val="00B51B93"/>
    <w:rsid w:val="00B52123"/>
    <w:rsid w:val="00B52192"/>
    <w:rsid w:val="00B529DF"/>
    <w:rsid w:val="00B529E2"/>
    <w:rsid w:val="00B52E1C"/>
    <w:rsid w:val="00B53232"/>
    <w:rsid w:val="00B533E2"/>
    <w:rsid w:val="00B53465"/>
    <w:rsid w:val="00B534FA"/>
    <w:rsid w:val="00B538A7"/>
    <w:rsid w:val="00B53984"/>
    <w:rsid w:val="00B53EDF"/>
    <w:rsid w:val="00B542CF"/>
    <w:rsid w:val="00B5493B"/>
    <w:rsid w:val="00B5516C"/>
    <w:rsid w:val="00B5559A"/>
    <w:rsid w:val="00B5581C"/>
    <w:rsid w:val="00B55E9E"/>
    <w:rsid w:val="00B565F1"/>
    <w:rsid w:val="00B566E2"/>
    <w:rsid w:val="00B56995"/>
    <w:rsid w:val="00B56C71"/>
    <w:rsid w:val="00B56E2A"/>
    <w:rsid w:val="00B5703E"/>
    <w:rsid w:val="00B573FE"/>
    <w:rsid w:val="00B57DC1"/>
    <w:rsid w:val="00B57E54"/>
    <w:rsid w:val="00B57EE0"/>
    <w:rsid w:val="00B602EC"/>
    <w:rsid w:val="00B6079A"/>
    <w:rsid w:val="00B608A3"/>
    <w:rsid w:val="00B60FE8"/>
    <w:rsid w:val="00B6108F"/>
    <w:rsid w:val="00B6120B"/>
    <w:rsid w:val="00B61317"/>
    <w:rsid w:val="00B61869"/>
    <w:rsid w:val="00B61C85"/>
    <w:rsid w:val="00B62244"/>
    <w:rsid w:val="00B625C3"/>
    <w:rsid w:val="00B62756"/>
    <w:rsid w:val="00B6277B"/>
    <w:rsid w:val="00B62C37"/>
    <w:rsid w:val="00B63F64"/>
    <w:rsid w:val="00B63FEA"/>
    <w:rsid w:val="00B64205"/>
    <w:rsid w:val="00B6423F"/>
    <w:rsid w:val="00B64340"/>
    <w:rsid w:val="00B64364"/>
    <w:rsid w:val="00B646BF"/>
    <w:rsid w:val="00B64906"/>
    <w:rsid w:val="00B64941"/>
    <w:rsid w:val="00B654DB"/>
    <w:rsid w:val="00B657E8"/>
    <w:rsid w:val="00B65833"/>
    <w:rsid w:val="00B65A2D"/>
    <w:rsid w:val="00B65BBE"/>
    <w:rsid w:val="00B66261"/>
    <w:rsid w:val="00B66672"/>
    <w:rsid w:val="00B669A6"/>
    <w:rsid w:val="00B67B77"/>
    <w:rsid w:val="00B703AF"/>
    <w:rsid w:val="00B705CF"/>
    <w:rsid w:val="00B708FB"/>
    <w:rsid w:val="00B7093B"/>
    <w:rsid w:val="00B70BA5"/>
    <w:rsid w:val="00B711C3"/>
    <w:rsid w:val="00B711F0"/>
    <w:rsid w:val="00B714CA"/>
    <w:rsid w:val="00B716C8"/>
    <w:rsid w:val="00B72111"/>
    <w:rsid w:val="00B721A5"/>
    <w:rsid w:val="00B721C7"/>
    <w:rsid w:val="00B727AD"/>
    <w:rsid w:val="00B72BCF"/>
    <w:rsid w:val="00B72E9D"/>
    <w:rsid w:val="00B7329D"/>
    <w:rsid w:val="00B73395"/>
    <w:rsid w:val="00B733CE"/>
    <w:rsid w:val="00B7353A"/>
    <w:rsid w:val="00B735D8"/>
    <w:rsid w:val="00B73850"/>
    <w:rsid w:val="00B738DC"/>
    <w:rsid w:val="00B7424D"/>
    <w:rsid w:val="00B74475"/>
    <w:rsid w:val="00B74858"/>
    <w:rsid w:val="00B74A09"/>
    <w:rsid w:val="00B74A3A"/>
    <w:rsid w:val="00B74D9E"/>
    <w:rsid w:val="00B75DEF"/>
    <w:rsid w:val="00B76064"/>
    <w:rsid w:val="00B76D84"/>
    <w:rsid w:val="00B77876"/>
    <w:rsid w:val="00B7788E"/>
    <w:rsid w:val="00B80307"/>
    <w:rsid w:val="00B809F2"/>
    <w:rsid w:val="00B80E88"/>
    <w:rsid w:val="00B81096"/>
    <w:rsid w:val="00B81142"/>
    <w:rsid w:val="00B816B8"/>
    <w:rsid w:val="00B81BBB"/>
    <w:rsid w:val="00B82272"/>
    <w:rsid w:val="00B82360"/>
    <w:rsid w:val="00B82B4F"/>
    <w:rsid w:val="00B82B78"/>
    <w:rsid w:val="00B82EDC"/>
    <w:rsid w:val="00B832B4"/>
    <w:rsid w:val="00B834AF"/>
    <w:rsid w:val="00B83D67"/>
    <w:rsid w:val="00B83E74"/>
    <w:rsid w:val="00B843FE"/>
    <w:rsid w:val="00B84457"/>
    <w:rsid w:val="00B849FA"/>
    <w:rsid w:val="00B84D8D"/>
    <w:rsid w:val="00B84E02"/>
    <w:rsid w:val="00B85F9A"/>
    <w:rsid w:val="00B8608B"/>
    <w:rsid w:val="00B86279"/>
    <w:rsid w:val="00B86568"/>
    <w:rsid w:val="00B8675F"/>
    <w:rsid w:val="00B86928"/>
    <w:rsid w:val="00B86B13"/>
    <w:rsid w:val="00B87435"/>
    <w:rsid w:val="00B87481"/>
    <w:rsid w:val="00B87995"/>
    <w:rsid w:val="00B90241"/>
    <w:rsid w:val="00B906CA"/>
    <w:rsid w:val="00B907BB"/>
    <w:rsid w:val="00B90A20"/>
    <w:rsid w:val="00B90D42"/>
    <w:rsid w:val="00B90E95"/>
    <w:rsid w:val="00B9144F"/>
    <w:rsid w:val="00B91710"/>
    <w:rsid w:val="00B91922"/>
    <w:rsid w:val="00B9199C"/>
    <w:rsid w:val="00B9248C"/>
    <w:rsid w:val="00B924EC"/>
    <w:rsid w:val="00B92EF5"/>
    <w:rsid w:val="00B93219"/>
    <w:rsid w:val="00B93271"/>
    <w:rsid w:val="00B9341C"/>
    <w:rsid w:val="00B9351A"/>
    <w:rsid w:val="00B93839"/>
    <w:rsid w:val="00B93FD2"/>
    <w:rsid w:val="00B942AC"/>
    <w:rsid w:val="00B95110"/>
    <w:rsid w:val="00B951F3"/>
    <w:rsid w:val="00B95876"/>
    <w:rsid w:val="00B95D0F"/>
    <w:rsid w:val="00B96172"/>
    <w:rsid w:val="00B9621C"/>
    <w:rsid w:val="00B9632D"/>
    <w:rsid w:val="00B9667A"/>
    <w:rsid w:val="00B97227"/>
    <w:rsid w:val="00B976B5"/>
    <w:rsid w:val="00B979B5"/>
    <w:rsid w:val="00BA057E"/>
    <w:rsid w:val="00BA064E"/>
    <w:rsid w:val="00BA099B"/>
    <w:rsid w:val="00BA0C6C"/>
    <w:rsid w:val="00BA1530"/>
    <w:rsid w:val="00BA173D"/>
    <w:rsid w:val="00BA1942"/>
    <w:rsid w:val="00BA1944"/>
    <w:rsid w:val="00BA1B27"/>
    <w:rsid w:val="00BA1E27"/>
    <w:rsid w:val="00BA2285"/>
    <w:rsid w:val="00BA288F"/>
    <w:rsid w:val="00BA28CC"/>
    <w:rsid w:val="00BA2FDE"/>
    <w:rsid w:val="00BA376D"/>
    <w:rsid w:val="00BA39C4"/>
    <w:rsid w:val="00BA5399"/>
    <w:rsid w:val="00BA5F4E"/>
    <w:rsid w:val="00BA5FDD"/>
    <w:rsid w:val="00BA6673"/>
    <w:rsid w:val="00BA6AD2"/>
    <w:rsid w:val="00BA6B11"/>
    <w:rsid w:val="00BA6D69"/>
    <w:rsid w:val="00BA6F24"/>
    <w:rsid w:val="00BA707E"/>
    <w:rsid w:val="00BA74D8"/>
    <w:rsid w:val="00BA7B75"/>
    <w:rsid w:val="00BA7B94"/>
    <w:rsid w:val="00BA7E6D"/>
    <w:rsid w:val="00BB059C"/>
    <w:rsid w:val="00BB07AE"/>
    <w:rsid w:val="00BB0D2F"/>
    <w:rsid w:val="00BB0DAE"/>
    <w:rsid w:val="00BB0DBD"/>
    <w:rsid w:val="00BB0FA6"/>
    <w:rsid w:val="00BB1069"/>
    <w:rsid w:val="00BB106E"/>
    <w:rsid w:val="00BB11E9"/>
    <w:rsid w:val="00BB14D2"/>
    <w:rsid w:val="00BB1BC3"/>
    <w:rsid w:val="00BB2410"/>
    <w:rsid w:val="00BB27DB"/>
    <w:rsid w:val="00BB2AD2"/>
    <w:rsid w:val="00BB3D38"/>
    <w:rsid w:val="00BB3D3C"/>
    <w:rsid w:val="00BB45A9"/>
    <w:rsid w:val="00BB4A49"/>
    <w:rsid w:val="00BB4F85"/>
    <w:rsid w:val="00BB5024"/>
    <w:rsid w:val="00BB55DF"/>
    <w:rsid w:val="00BB5AD6"/>
    <w:rsid w:val="00BB5FA3"/>
    <w:rsid w:val="00BB69B8"/>
    <w:rsid w:val="00BB6BEE"/>
    <w:rsid w:val="00BB6DC9"/>
    <w:rsid w:val="00BB6EB8"/>
    <w:rsid w:val="00BB76BF"/>
    <w:rsid w:val="00BC02C9"/>
    <w:rsid w:val="00BC0416"/>
    <w:rsid w:val="00BC11F6"/>
    <w:rsid w:val="00BC1E67"/>
    <w:rsid w:val="00BC2554"/>
    <w:rsid w:val="00BC2583"/>
    <w:rsid w:val="00BC2620"/>
    <w:rsid w:val="00BC280E"/>
    <w:rsid w:val="00BC2D54"/>
    <w:rsid w:val="00BC3134"/>
    <w:rsid w:val="00BC376A"/>
    <w:rsid w:val="00BC392D"/>
    <w:rsid w:val="00BC3FC4"/>
    <w:rsid w:val="00BC4CB2"/>
    <w:rsid w:val="00BC5FC4"/>
    <w:rsid w:val="00BC6426"/>
    <w:rsid w:val="00BC65A3"/>
    <w:rsid w:val="00BC6902"/>
    <w:rsid w:val="00BC6B51"/>
    <w:rsid w:val="00BC7265"/>
    <w:rsid w:val="00BC7453"/>
    <w:rsid w:val="00BC7C00"/>
    <w:rsid w:val="00BD01E6"/>
    <w:rsid w:val="00BD0223"/>
    <w:rsid w:val="00BD0265"/>
    <w:rsid w:val="00BD0457"/>
    <w:rsid w:val="00BD0864"/>
    <w:rsid w:val="00BD0C34"/>
    <w:rsid w:val="00BD0CB2"/>
    <w:rsid w:val="00BD0DFE"/>
    <w:rsid w:val="00BD174A"/>
    <w:rsid w:val="00BD1F2A"/>
    <w:rsid w:val="00BD209D"/>
    <w:rsid w:val="00BD25FB"/>
    <w:rsid w:val="00BD2711"/>
    <w:rsid w:val="00BD2BCE"/>
    <w:rsid w:val="00BD369D"/>
    <w:rsid w:val="00BD3834"/>
    <w:rsid w:val="00BD3B54"/>
    <w:rsid w:val="00BD3B97"/>
    <w:rsid w:val="00BD3E27"/>
    <w:rsid w:val="00BD433A"/>
    <w:rsid w:val="00BD462D"/>
    <w:rsid w:val="00BD4630"/>
    <w:rsid w:val="00BD4784"/>
    <w:rsid w:val="00BD4A93"/>
    <w:rsid w:val="00BD4A9D"/>
    <w:rsid w:val="00BD4E44"/>
    <w:rsid w:val="00BD6A65"/>
    <w:rsid w:val="00BD6C15"/>
    <w:rsid w:val="00BD6F34"/>
    <w:rsid w:val="00BD712F"/>
    <w:rsid w:val="00BD756E"/>
    <w:rsid w:val="00BD76D4"/>
    <w:rsid w:val="00BD775F"/>
    <w:rsid w:val="00BD7A60"/>
    <w:rsid w:val="00BD7E29"/>
    <w:rsid w:val="00BE040E"/>
    <w:rsid w:val="00BE0851"/>
    <w:rsid w:val="00BE16B2"/>
    <w:rsid w:val="00BE1C49"/>
    <w:rsid w:val="00BE1D60"/>
    <w:rsid w:val="00BE1D66"/>
    <w:rsid w:val="00BE1F9B"/>
    <w:rsid w:val="00BE2024"/>
    <w:rsid w:val="00BE2100"/>
    <w:rsid w:val="00BE2311"/>
    <w:rsid w:val="00BE2721"/>
    <w:rsid w:val="00BE3398"/>
    <w:rsid w:val="00BE3676"/>
    <w:rsid w:val="00BE4005"/>
    <w:rsid w:val="00BE44BE"/>
    <w:rsid w:val="00BE4E66"/>
    <w:rsid w:val="00BE52A7"/>
    <w:rsid w:val="00BE564B"/>
    <w:rsid w:val="00BE58FC"/>
    <w:rsid w:val="00BE5A27"/>
    <w:rsid w:val="00BE5C73"/>
    <w:rsid w:val="00BE6021"/>
    <w:rsid w:val="00BE6677"/>
    <w:rsid w:val="00BE6D00"/>
    <w:rsid w:val="00BE7049"/>
    <w:rsid w:val="00BE708F"/>
    <w:rsid w:val="00BE748D"/>
    <w:rsid w:val="00BE74A3"/>
    <w:rsid w:val="00BE7723"/>
    <w:rsid w:val="00BE7A79"/>
    <w:rsid w:val="00BF10F5"/>
    <w:rsid w:val="00BF1593"/>
    <w:rsid w:val="00BF16D5"/>
    <w:rsid w:val="00BF196E"/>
    <w:rsid w:val="00BF1982"/>
    <w:rsid w:val="00BF2045"/>
    <w:rsid w:val="00BF3625"/>
    <w:rsid w:val="00BF3781"/>
    <w:rsid w:val="00BF3966"/>
    <w:rsid w:val="00BF3A53"/>
    <w:rsid w:val="00BF3B6B"/>
    <w:rsid w:val="00BF3FC9"/>
    <w:rsid w:val="00BF41E2"/>
    <w:rsid w:val="00BF466D"/>
    <w:rsid w:val="00BF4BDF"/>
    <w:rsid w:val="00BF51EA"/>
    <w:rsid w:val="00BF5443"/>
    <w:rsid w:val="00BF5729"/>
    <w:rsid w:val="00BF5936"/>
    <w:rsid w:val="00BF5AE0"/>
    <w:rsid w:val="00BF62D3"/>
    <w:rsid w:val="00BF64F7"/>
    <w:rsid w:val="00BF662F"/>
    <w:rsid w:val="00BF6F7A"/>
    <w:rsid w:val="00BF7316"/>
    <w:rsid w:val="00BF7B15"/>
    <w:rsid w:val="00BF7CC7"/>
    <w:rsid w:val="00BF7DD9"/>
    <w:rsid w:val="00C0025C"/>
    <w:rsid w:val="00C0099A"/>
    <w:rsid w:val="00C00B59"/>
    <w:rsid w:val="00C00BB2"/>
    <w:rsid w:val="00C00CBC"/>
    <w:rsid w:val="00C012E6"/>
    <w:rsid w:val="00C017BC"/>
    <w:rsid w:val="00C01C2B"/>
    <w:rsid w:val="00C02276"/>
    <w:rsid w:val="00C024A9"/>
    <w:rsid w:val="00C02536"/>
    <w:rsid w:val="00C02C91"/>
    <w:rsid w:val="00C032BF"/>
    <w:rsid w:val="00C03941"/>
    <w:rsid w:val="00C0398A"/>
    <w:rsid w:val="00C03A0A"/>
    <w:rsid w:val="00C03B14"/>
    <w:rsid w:val="00C04181"/>
    <w:rsid w:val="00C0419A"/>
    <w:rsid w:val="00C04331"/>
    <w:rsid w:val="00C04363"/>
    <w:rsid w:val="00C04A7E"/>
    <w:rsid w:val="00C04B0A"/>
    <w:rsid w:val="00C04E9D"/>
    <w:rsid w:val="00C05184"/>
    <w:rsid w:val="00C0567E"/>
    <w:rsid w:val="00C06809"/>
    <w:rsid w:val="00C06F91"/>
    <w:rsid w:val="00C07085"/>
    <w:rsid w:val="00C07293"/>
    <w:rsid w:val="00C07ACA"/>
    <w:rsid w:val="00C07C2B"/>
    <w:rsid w:val="00C1022A"/>
    <w:rsid w:val="00C10F9E"/>
    <w:rsid w:val="00C1149B"/>
    <w:rsid w:val="00C12A73"/>
    <w:rsid w:val="00C13515"/>
    <w:rsid w:val="00C13E12"/>
    <w:rsid w:val="00C13E1A"/>
    <w:rsid w:val="00C14078"/>
    <w:rsid w:val="00C14213"/>
    <w:rsid w:val="00C14CAF"/>
    <w:rsid w:val="00C1518C"/>
    <w:rsid w:val="00C156DF"/>
    <w:rsid w:val="00C157CD"/>
    <w:rsid w:val="00C15913"/>
    <w:rsid w:val="00C15AEF"/>
    <w:rsid w:val="00C16110"/>
    <w:rsid w:val="00C1618B"/>
    <w:rsid w:val="00C1636B"/>
    <w:rsid w:val="00C1715B"/>
    <w:rsid w:val="00C17244"/>
    <w:rsid w:val="00C173DC"/>
    <w:rsid w:val="00C173EC"/>
    <w:rsid w:val="00C17491"/>
    <w:rsid w:val="00C17775"/>
    <w:rsid w:val="00C20200"/>
    <w:rsid w:val="00C2042B"/>
    <w:rsid w:val="00C205BF"/>
    <w:rsid w:val="00C20631"/>
    <w:rsid w:val="00C20868"/>
    <w:rsid w:val="00C22592"/>
    <w:rsid w:val="00C2259C"/>
    <w:rsid w:val="00C22672"/>
    <w:rsid w:val="00C227C7"/>
    <w:rsid w:val="00C22819"/>
    <w:rsid w:val="00C22C28"/>
    <w:rsid w:val="00C22CC4"/>
    <w:rsid w:val="00C22CC7"/>
    <w:rsid w:val="00C22E7A"/>
    <w:rsid w:val="00C23B2D"/>
    <w:rsid w:val="00C23ED2"/>
    <w:rsid w:val="00C2406A"/>
    <w:rsid w:val="00C2409D"/>
    <w:rsid w:val="00C248F3"/>
    <w:rsid w:val="00C24A17"/>
    <w:rsid w:val="00C24AE4"/>
    <w:rsid w:val="00C24DBE"/>
    <w:rsid w:val="00C25290"/>
    <w:rsid w:val="00C25683"/>
    <w:rsid w:val="00C25FA5"/>
    <w:rsid w:val="00C26351"/>
    <w:rsid w:val="00C26FED"/>
    <w:rsid w:val="00C27662"/>
    <w:rsid w:val="00C27DB0"/>
    <w:rsid w:val="00C27DEF"/>
    <w:rsid w:val="00C27E86"/>
    <w:rsid w:val="00C304B9"/>
    <w:rsid w:val="00C30AE7"/>
    <w:rsid w:val="00C30D70"/>
    <w:rsid w:val="00C30EF8"/>
    <w:rsid w:val="00C30F29"/>
    <w:rsid w:val="00C311D2"/>
    <w:rsid w:val="00C3169F"/>
    <w:rsid w:val="00C31729"/>
    <w:rsid w:val="00C31A7B"/>
    <w:rsid w:val="00C31DA6"/>
    <w:rsid w:val="00C320D1"/>
    <w:rsid w:val="00C32154"/>
    <w:rsid w:val="00C331F6"/>
    <w:rsid w:val="00C3320C"/>
    <w:rsid w:val="00C33489"/>
    <w:rsid w:val="00C33A80"/>
    <w:rsid w:val="00C346C5"/>
    <w:rsid w:val="00C34BD6"/>
    <w:rsid w:val="00C34BF2"/>
    <w:rsid w:val="00C34E44"/>
    <w:rsid w:val="00C35849"/>
    <w:rsid w:val="00C35BF5"/>
    <w:rsid w:val="00C35C17"/>
    <w:rsid w:val="00C35D84"/>
    <w:rsid w:val="00C36431"/>
    <w:rsid w:val="00C3669A"/>
    <w:rsid w:val="00C36700"/>
    <w:rsid w:val="00C36718"/>
    <w:rsid w:val="00C3675D"/>
    <w:rsid w:val="00C36DB2"/>
    <w:rsid w:val="00C370BE"/>
    <w:rsid w:val="00C370E6"/>
    <w:rsid w:val="00C3726E"/>
    <w:rsid w:val="00C373E3"/>
    <w:rsid w:val="00C3755D"/>
    <w:rsid w:val="00C37918"/>
    <w:rsid w:val="00C3796D"/>
    <w:rsid w:val="00C37EB8"/>
    <w:rsid w:val="00C4018A"/>
    <w:rsid w:val="00C40557"/>
    <w:rsid w:val="00C41216"/>
    <w:rsid w:val="00C41F11"/>
    <w:rsid w:val="00C41F29"/>
    <w:rsid w:val="00C420F6"/>
    <w:rsid w:val="00C422BA"/>
    <w:rsid w:val="00C423D5"/>
    <w:rsid w:val="00C4277C"/>
    <w:rsid w:val="00C42992"/>
    <w:rsid w:val="00C42B66"/>
    <w:rsid w:val="00C430C7"/>
    <w:rsid w:val="00C431F9"/>
    <w:rsid w:val="00C4338C"/>
    <w:rsid w:val="00C4366D"/>
    <w:rsid w:val="00C4395A"/>
    <w:rsid w:val="00C43C1A"/>
    <w:rsid w:val="00C43EE2"/>
    <w:rsid w:val="00C441F1"/>
    <w:rsid w:val="00C444E3"/>
    <w:rsid w:val="00C445D2"/>
    <w:rsid w:val="00C44DA0"/>
    <w:rsid w:val="00C44DA1"/>
    <w:rsid w:val="00C44EEA"/>
    <w:rsid w:val="00C454D3"/>
    <w:rsid w:val="00C45602"/>
    <w:rsid w:val="00C45F7B"/>
    <w:rsid w:val="00C45F9A"/>
    <w:rsid w:val="00C47283"/>
    <w:rsid w:val="00C4733B"/>
    <w:rsid w:val="00C4733D"/>
    <w:rsid w:val="00C474EF"/>
    <w:rsid w:val="00C47586"/>
    <w:rsid w:val="00C47AA6"/>
    <w:rsid w:val="00C47D8D"/>
    <w:rsid w:val="00C50227"/>
    <w:rsid w:val="00C50296"/>
    <w:rsid w:val="00C50631"/>
    <w:rsid w:val="00C5090E"/>
    <w:rsid w:val="00C50B51"/>
    <w:rsid w:val="00C50B99"/>
    <w:rsid w:val="00C50DB6"/>
    <w:rsid w:val="00C514DD"/>
    <w:rsid w:val="00C5196B"/>
    <w:rsid w:val="00C51B73"/>
    <w:rsid w:val="00C52205"/>
    <w:rsid w:val="00C522AE"/>
    <w:rsid w:val="00C5255E"/>
    <w:rsid w:val="00C52625"/>
    <w:rsid w:val="00C52B8B"/>
    <w:rsid w:val="00C52C8E"/>
    <w:rsid w:val="00C52EE1"/>
    <w:rsid w:val="00C536AD"/>
    <w:rsid w:val="00C53A72"/>
    <w:rsid w:val="00C53B42"/>
    <w:rsid w:val="00C53FE2"/>
    <w:rsid w:val="00C54248"/>
    <w:rsid w:val="00C5430D"/>
    <w:rsid w:val="00C54440"/>
    <w:rsid w:val="00C544EB"/>
    <w:rsid w:val="00C54510"/>
    <w:rsid w:val="00C54573"/>
    <w:rsid w:val="00C549F5"/>
    <w:rsid w:val="00C54A11"/>
    <w:rsid w:val="00C54BB2"/>
    <w:rsid w:val="00C54FCA"/>
    <w:rsid w:val="00C55A10"/>
    <w:rsid w:val="00C55A6B"/>
    <w:rsid w:val="00C562E5"/>
    <w:rsid w:val="00C5641A"/>
    <w:rsid w:val="00C56BDE"/>
    <w:rsid w:val="00C56F84"/>
    <w:rsid w:val="00C57040"/>
    <w:rsid w:val="00C5705A"/>
    <w:rsid w:val="00C570F8"/>
    <w:rsid w:val="00C571FE"/>
    <w:rsid w:val="00C5757B"/>
    <w:rsid w:val="00C60682"/>
    <w:rsid w:val="00C60B25"/>
    <w:rsid w:val="00C61620"/>
    <w:rsid w:val="00C6163A"/>
    <w:rsid w:val="00C61A8D"/>
    <w:rsid w:val="00C61C61"/>
    <w:rsid w:val="00C61CDC"/>
    <w:rsid w:val="00C62849"/>
    <w:rsid w:val="00C62B54"/>
    <w:rsid w:val="00C63188"/>
    <w:rsid w:val="00C637A9"/>
    <w:rsid w:val="00C63BFF"/>
    <w:rsid w:val="00C63E05"/>
    <w:rsid w:val="00C64362"/>
    <w:rsid w:val="00C64633"/>
    <w:rsid w:val="00C646EF"/>
    <w:rsid w:val="00C647A9"/>
    <w:rsid w:val="00C64EA1"/>
    <w:rsid w:val="00C652D4"/>
    <w:rsid w:val="00C65416"/>
    <w:rsid w:val="00C65450"/>
    <w:rsid w:val="00C65952"/>
    <w:rsid w:val="00C659A2"/>
    <w:rsid w:val="00C65FAA"/>
    <w:rsid w:val="00C660F5"/>
    <w:rsid w:val="00C664A3"/>
    <w:rsid w:val="00C66B1D"/>
    <w:rsid w:val="00C66F48"/>
    <w:rsid w:val="00C66F7C"/>
    <w:rsid w:val="00C67DE6"/>
    <w:rsid w:val="00C70400"/>
    <w:rsid w:val="00C707C2"/>
    <w:rsid w:val="00C70992"/>
    <w:rsid w:val="00C70A90"/>
    <w:rsid w:val="00C70DD2"/>
    <w:rsid w:val="00C70E7B"/>
    <w:rsid w:val="00C70FB7"/>
    <w:rsid w:val="00C712FD"/>
    <w:rsid w:val="00C7158C"/>
    <w:rsid w:val="00C71A83"/>
    <w:rsid w:val="00C71C93"/>
    <w:rsid w:val="00C71ECC"/>
    <w:rsid w:val="00C7257C"/>
    <w:rsid w:val="00C72624"/>
    <w:rsid w:val="00C72B02"/>
    <w:rsid w:val="00C72F1B"/>
    <w:rsid w:val="00C73121"/>
    <w:rsid w:val="00C73541"/>
    <w:rsid w:val="00C73808"/>
    <w:rsid w:val="00C7384F"/>
    <w:rsid w:val="00C73984"/>
    <w:rsid w:val="00C74044"/>
    <w:rsid w:val="00C74314"/>
    <w:rsid w:val="00C747F6"/>
    <w:rsid w:val="00C74DAC"/>
    <w:rsid w:val="00C75F99"/>
    <w:rsid w:val="00C76712"/>
    <w:rsid w:val="00C76DEC"/>
    <w:rsid w:val="00C76F0B"/>
    <w:rsid w:val="00C772BA"/>
    <w:rsid w:val="00C77324"/>
    <w:rsid w:val="00C77A13"/>
    <w:rsid w:val="00C80BC1"/>
    <w:rsid w:val="00C80C93"/>
    <w:rsid w:val="00C80F1A"/>
    <w:rsid w:val="00C813BD"/>
    <w:rsid w:val="00C818E7"/>
    <w:rsid w:val="00C81F7E"/>
    <w:rsid w:val="00C823FA"/>
    <w:rsid w:val="00C828FC"/>
    <w:rsid w:val="00C82AA2"/>
    <w:rsid w:val="00C82AD3"/>
    <w:rsid w:val="00C83494"/>
    <w:rsid w:val="00C83498"/>
    <w:rsid w:val="00C83B92"/>
    <w:rsid w:val="00C846DA"/>
    <w:rsid w:val="00C84733"/>
    <w:rsid w:val="00C84919"/>
    <w:rsid w:val="00C853E8"/>
    <w:rsid w:val="00C85452"/>
    <w:rsid w:val="00C8601A"/>
    <w:rsid w:val="00C860D0"/>
    <w:rsid w:val="00C8701E"/>
    <w:rsid w:val="00C873BC"/>
    <w:rsid w:val="00C87725"/>
    <w:rsid w:val="00C87E68"/>
    <w:rsid w:val="00C87F8A"/>
    <w:rsid w:val="00C9046A"/>
    <w:rsid w:val="00C9048F"/>
    <w:rsid w:val="00C90693"/>
    <w:rsid w:val="00C909DB"/>
    <w:rsid w:val="00C90F2E"/>
    <w:rsid w:val="00C910DB"/>
    <w:rsid w:val="00C91166"/>
    <w:rsid w:val="00C913C1"/>
    <w:rsid w:val="00C917EE"/>
    <w:rsid w:val="00C9192D"/>
    <w:rsid w:val="00C91A45"/>
    <w:rsid w:val="00C92174"/>
    <w:rsid w:val="00C92347"/>
    <w:rsid w:val="00C92EDF"/>
    <w:rsid w:val="00C93859"/>
    <w:rsid w:val="00C93B71"/>
    <w:rsid w:val="00C942FA"/>
    <w:rsid w:val="00C948AF"/>
    <w:rsid w:val="00C94BBF"/>
    <w:rsid w:val="00C94EC9"/>
    <w:rsid w:val="00C956DB"/>
    <w:rsid w:val="00C95C27"/>
    <w:rsid w:val="00C95DF8"/>
    <w:rsid w:val="00C95E32"/>
    <w:rsid w:val="00C9617A"/>
    <w:rsid w:val="00C96244"/>
    <w:rsid w:val="00C9678B"/>
    <w:rsid w:val="00C9680B"/>
    <w:rsid w:val="00C96981"/>
    <w:rsid w:val="00C96D21"/>
    <w:rsid w:val="00C96F1F"/>
    <w:rsid w:val="00C96FF7"/>
    <w:rsid w:val="00C977E8"/>
    <w:rsid w:val="00C97F61"/>
    <w:rsid w:val="00CA0557"/>
    <w:rsid w:val="00CA0B2C"/>
    <w:rsid w:val="00CA0F20"/>
    <w:rsid w:val="00CA179F"/>
    <w:rsid w:val="00CA17BD"/>
    <w:rsid w:val="00CA1A2A"/>
    <w:rsid w:val="00CA1D02"/>
    <w:rsid w:val="00CA1DC5"/>
    <w:rsid w:val="00CA1DCF"/>
    <w:rsid w:val="00CA22C4"/>
    <w:rsid w:val="00CA2753"/>
    <w:rsid w:val="00CA2BE7"/>
    <w:rsid w:val="00CA2C14"/>
    <w:rsid w:val="00CA2D3F"/>
    <w:rsid w:val="00CA2F18"/>
    <w:rsid w:val="00CA34CE"/>
    <w:rsid w:val="00CA34ED"/>
    <w:rsid w:val="00CA3F79"/>
    <w:rsid w:val="00CA413E"/>
    <w:rsid w:val="00CA4187"/>
    <w:rsid w:val="00CA41AB"/>
    <w:rsid w:val="00CA45AD"/>
    <w:rsid w:val="00CA46B8"/>
    <w:rsid w:val="00CA48B0"/>
    <w:rsid w:val="00CA4B97"/>
    <w:rsid w:val="00CA4D46"/>
    <w:rsid w:val="00CA4EF0"/>
    <w:rsid w:val="00CA5088"/>
    <w:rsid w:val="00CA56AC"/>
    <w:rsid w:val="00CA5E8D"/>
    <w:rsid w:val="00CA6765"/>
    <w:rsid w:val="00CA680E"/>
    <w:rsid w:val="00CA68C9"/>
    <w:rsid w:val="00CA69AE"/>
    <w:rsid w:val="00CA6B7A"/>
    <w:rsid w:val="00CA71A3"/>
    <w:rsid w:val="00CA75AB"/>
    <w:rsid w:val="00CA78F9"/>
    <w:rsid w:val="00CA7C01"/>
    <w:rsid w:val="00CA7CA8"/>
    <w:rsid w:val="00CA7EB4"/>
    <w:rsid w:val="00CB019A"/>
    <w:rsid w:val="00CB0395"/>
    <w:rsid w:val="00CB0BED"/>
    <w:rsid w:val="00CB0ED7"/>
    <w:rsid w:val="00CB15CA"/>
    <w:rsid w:val="00CB19A5"/>
    <w:rsid w:val="00CB1B71"/>
    <w:rsid w:val="00CB1C7E"/>
    <w:rsid w:val="00CB2A79"/>
    <w:rsid w:val="00CB2E15"/>
    <w:rsid w:val="00CB2E79"/>
    <w:rsid w:val="00CB2FA2"/>
    <w:rsid w:val="00CB3013"/>
    <w:rsid w:val="00CB312F"/>
    <w:rsid w:val="00CB39AF"/>
    <w:rsid w:val="00CB3AA1"/>
    <w:rsid w:val="00CB3CB9"/>
    <w:rsid w:val="00CB4730"/>
    <w:rsid w:val="00CB477E"/>
    <w:rsid w:val="00CB49E4"/>
    <w:rsid w:val="00CB4A79"/>
    <w:rsid w:val="00CB54D4"/>
    <w:rsid w:val="00CB5547"/>
    <w:rsid w:val="00CB57A1"/>
    <w:rsid w:val="00CB57D8"/>
    <w:rsid w:val="00CB59ED"/>
    <w:rsid w:val="00CB5A40"/>
    <w:rsid w:val="00CB5EAF"/>
    <w:rsid w:val="00CB5FC6"/>
    <w:rsid w:val="00CB657C"/>
    <w:rsid w:val="00CB6ED8"/>
    <w:rsid w:val="00CB73F9"/>
    <w:rsid w:val="00CB7771"/>
    <w:rsid w:val="00CB7A7A"/>
    <w:rsid w:val="00CB7FEE"/>
    <w:rsid w:val="00CC0133"/>
    <w:rsid w:val="00CC0687"/>
    <w:rsid w:val="00CC0B06"/>
    <w:rsid w:val="00CC181C"/>
    <w:rsid w:val="00CC1AAA"/>
    <w:rsid w:val="00CC1E51"/>
    <w:rsid w:val="00CC1F5F"/>
    <w:rsid w:val="00CC20C0"/>
    <w:rsid w:val="00CC22C9"/>
    <w:rsid w:val="00CC2732"/>
    <w:rsid w:val="00CC2882"/>
    <w:rsid w:val="00CC2F61"/>
    <w:rsid w:val="00CC3186"/>
    <w:rsid w:val="00CC341C"/>
    <w:rsid w:val="00CC4022"/>
    <w:rsid w:val="00CC404A"/>
    <w:rsid w:val="00CC4187"/>
    <w:rsid w:val="00CC4216"/>
    <w:rsid w:val="00CC449A"/>
    <w:rsid w:val="00CC45A4"/>
    <w:rsid w:val="00CC4BE9"/>
    <w:rsid w:val="00CC4D42"/>
    <w:rsid w:val="00CC51BE"/>
    <w:rsid w:val="00CC52AC"/>
    <w:rsid w:val="00CC564F"/>
    <w:rsid w:val="00CC5B57"/>
    <w:rsid w:val="00CC5BFC"/>
    <w:rsid w:val="00CC5F6E"/>
    <w:rsid w:val="00CC7420"/>
    <w:rsid w:val="00CC75BE"/>
    <w:rsid w:val="00CC75D4"/>
    <w:rsid w:val="00CC79D5"/>
    <w:rsid w:val="00CC7D7B"/>
    <w:rsid w:val="00CC7D8F"/>
    <w:rsid w:val="00CD031C"/>
    <w:rsid w:val="00CD03D6"/>
    <w:rsid w:val="00CD070B"/>
    <w:rsid w:val="00CD157C"/>
    <w:rsid w:val="00CD1BF5"/>
    <w:rsid w:val="00CD1C94"/>
    <w:rsid w:val="00CD22D3"/>
    <w:rsid w:val="00CD2767"/>
    <w:rsid w:val="00CD2A1F"/>
    <w:rsid w:val="00CD2F95"/>
    <w:rsid w:val="00CD3064"/>
    <w:rsid w:val="00CD3441"/>
    <w:rsid w:val="00CD35CC"/>
    <w:rsid w:val="00CD390B"/>
    <w:rsid w:val="00CD394B"/>
    <w:rsid w:val="00CD4152"/>
    <w:rsid w:val="00CD43A3"/>
    <w:rsid w:val="00CD4483"/>
    <w:rsid w:val="00CD46ED"/>
    <w:rsid w:val="00CD477E"/>
    <w:rsid w:val="00CD4B7F"/>
    <w:rsid w:val="00CD4C41"/>
    <w:rsid w:val="00CD5348"/>
    <w:rsid w:val="00CD5355"/>
    <w:rsid w:val="00CD5CE1"/>
    <w:rsid w:val="00CD5D72"/>
    <w:rsid w:val="00CD60FA"/>
    <w:rsid w:val="00CD61A5"/>
    <w:rsid w:val="00CD628F"/>
    <w:rsid w:val="00CD62FE"/>
    <w:rsid w:val="00CD766B"/>
    <w:rsid w:val="00CD7D58"/>
    <w:rsid w:val="00CD7EB6"/>
    <w:rsid w:val="00CD7FBB"/>
    <w:rsid w:val="00CE0350"/>
    <w:rsid w:val="00CE04DE"/>
    <w:rsid w:val="00CE09A2"/>
    <w:rsid w:val="00CE0E84"/>
    <w:rsid w:val="00CE10B1"/>
    <w:rsid w:val="00CE14D6"/>
    <w:rsid w:val="00CE153D"/>
    <w:rsid w:val="00CE1D7B"/>
    <w:rsid w:val="00CE2118"/>
    <w:rsid w:val="00CE243F"/>
    <w:rsid w:val="00CE2551"/>
    <w:rsid w:val="00CE25FD"/>
    <w:rsid w:val="00CE2CE7"/>
    <w:rsid w:val="00CE3175"/>
    <w:rsid w:val="00CE3293"/>
    <w:rsid w:val="00CE3C6D"/>
    <w:rsid w:val="00CE3C82"/>
    <w:rsid w:val="00CE43B1"/>
    <w:rsid w:val="00CE45DB"/>
    <w:rsid w:val="00CE4964"/>
    <w:rsid w:val="00CE4BCF"/>
    <w:rsid w:val="00CE537D"/>
    <w:rsid w:val="00CE5414"/>
    <w:rsid w:val="00CE55AA"/>
    <w:rsid w:val="00CE55C9"/>
    <w:rsid w:val="00CE5E44"/>
    <w:rsid w:val="00CE62B0"/>
    <w:rsid w:val="00CE6540"/>
    <w:rsid w:val="00CE6D9E"/>
    <w:rsid w:val="00CE6DB4"/>
    <w:rsid w:val="00CE70AB"/>
    <w:rsid w:val="00CE7426"/>
    <w:rsid w:val="00CE794B"/>
    <w:rsid w:val="00CE7C39"/>
    <w:rsid w:val="00CF0402"/>
    <w:rsid w:val="00CF05EA"/>
    <w:rsid w:val="00CF088B"/>
    <w:rsid w:val="00CF0FB9"/>
    <w:rsid w:val="00CF21A8"/>
    <w:rsid w:val="00CF2311"/>
    <w:rsid w:val="00CF248F"/>
    <w:rsid w:val="00CF2AB7"/>
    <w:rsid w:val="00CF3061"/>
    <w:rsid w:val="00CF3394"/>
    <w:rsid w:val="00CF3522"/>
    <w:rsid w:val="00CF370F"/>
    <w:rsid w:val="00CF3F37"/>
    <w:rsid w:val="00CF4A46"/>
    <w:rsid w:val="00CF4BD8"/>
    <w:rsid w:val="00CF581A"/>
    <w:rsid w:val="00CF6248"/>
    <w:rsid w:val="00CF63D1"/>
    <w:rsid w:val="00CF734B"/>
    <w:rsid w:val="00CF74C0"/>
    <w:rsid w:val="00CF75DB"/>
    <w:rsid w:val="00CF7897"/>
    <w:rsid w:val="00CF7997"/>
    <w:rsid w:val="00CF7BFA"/>
    <w:rsid w:val="00CF7C9E"/>
    <w:rsid w:val="00D004E3"/>
    <w:rsid w:val="00D009E0"/>
    <w:rsid w:val="00D00DD6"/>
    <w:rsid w:val="00D01230"/>
    <w:rsid w:val="00D013D9"/>
    <w:rsid w:val="00D017A2"/>
    <w:rsid w:val="00D019BF"/>
    <w:rsid w:val="00D01CAD"/>
    <w:rsid w:val="00D01E38"/>
    <w:rsid w:val="00D022BA"/>
    <w:rsid w:val="00D026AB"/>
    <w:rsid w:val="00D0283B"/>
    <w:rsid w:val="00D02ABB"/>
    <w:rsid w:val="00D03A98"/>
    <w:rsid w:val="00D03BB9"/>
    <w:rsid w:val="00D03D4D"/>
    <w:rsid w:val="00D03D9A"/>
    <w:rsid w:val="00D03E69"/>
    <w:rsid w:val="00D03F6C"/>
    <w:rsid w:val="00D0415C"/>
    <w:rsid w:val="00D04983"/>
    <w:rsid w:val="00D05778"/>
    <w:rsid w:val="00D06937"/>
    <w:rsid w:val="00D06B06"/>
    <w:rsid w:val="00D070FF"/>
    <w:rsid w:val="00D075A4"/>
    <w:rsid w:val="00D07798"/>
    <w:rsid w:val="00D07D94"/>
    <w:rsid w:val="00D10407"/>
    <w:rsid w:val="00D1058E"/>
    <w:rsid w:val="00D10AE5"/>
    <w:rsid w:val="00D11433"/>
    <w:rsid w:val="00D11542"/>
    <w:rsid w:val="00D11573"/>
    <w:rsid w:val="00D11874"/>
    <w:rsid w:val="00D11EC5"/>
    <w:rsid w:val="00D12059"/>
    <w:rsid w:val="00D122E6"/>
    <w:rsid w:val="00D1239D"/>
    <w:rsid w:val="00D125DE"/>
    <w:rsid w:val="00D12DF5"/>
    <w:rsid w:val="00D13777"/>
    <w:rsid w:val="00D13BB6"/>
    <w:rsid w:val="00D13C2D"/>
    <w:rsid w:val="00D140A1"/>
    <w:rsid w:val="00D1459C"/>
    <w:rsid w:val="00D14795"/>
    <w:rsid w:val="00D14E96"/>
    <w:rsid w:val="00D151F0"/>
    <w:rsid w:val="00D156B6"/>
    <w:rsid w:val="00D15F8E"/>
    <w:rsid w:val="00D1690E"/>
    <w:rsid w:val="00D172D8"/>
    <w:rsid w:val="00D173A5"/>
    <w:rsid w:val="00D173FA"/>
    <w:rsid w:val="00D178E9"/>
    <w:rsid w:val="00D17AB7"/>
    <w:rsid w:val="00D17B3F"/>
    <w:rsid w:val="00D17BE1"/>
    <w:rsid w:val="00D17E74"/>
    <w:rsid w:val="00D17F1D"/>
    <w:rsid w:val="00D2095D"/>
    <w:rsid w:val="00D219D5"/>
    <w:rsid w:val="00D2203E"/>
    <w:rsid w:val="00D2231C"/>
    <w:rsid w:val="00D2254A"/>
    <w:rsid w:val="00D22704"/>
    <w:rsid w:val="00D230FC"/>
    <w:rsid w:val="00D23513"/>
    <w:rsid w:val="00D237C9"/>
    <w:rsid w:val="00D23C31"/>
    <w:rsid w:val="00D242CF"/>
    <w:rsid w:val="00D24573"/>
    <w:rsid w:val="00D245E2"/>
    <w:rsid w:val="00D24A53"/>
    <w:rsid w:val="00D24C69"/>
    <w:rsid w:val="00D25047"/>
    <w:rsid w:val="00D251CF"/>
    <w:rsid w:val="00D252B8"/>
    <w:rsid w:val="00D26621"/>
    <w:rsid w:val="00D267D6"/>
    <w:rsid w:val="00D26BEC"/>
    <w:rsid w:val="00D26E00"/>
    <w:rsid w:val="00D2729A"/>
    <w:rsid w:val="00D27506"/>
    <w:rsid w:val="00D27E6C"/>
    <w:rsid w:val="00D30439"/>
    <w:rsid w:val="00D306E6"/>
    <w:rsid w:val="00D30998"/>
    <w:rsid w:val="00D30F5A"/>
    <w:rsid w:val="00D3198D"/>
    <w:rsid w:val="00D31EC8"/>
    <w:rsid w:val="00D31FC6"/>
    <w:rsid w:val="00D32EAB"/>
    <w:rsid w:val="00D3357B"/>
    <w:rsid w:val="00D337A3"/>
    <w:rsid w:val="00D33C51"/>
    <w:rsid w:val="00D34338"/>
    <w:rsid w:val="00D34688"/>
    <w:rsid w:val="00D35601"/>
    <w:rsid w:val="00D35C7E"/>
    <w:rsid w:val="00D35F3B"/>
    <w:rsid w:val="00D36027"/>
    <w:rsid w:val="00D36337"/>
    <w:rsid w:val="00D363AA"/>
    <w:rsid w:val="00D36522"/>
    <w:rsid w:val="00D366B7"/>
    <w:rsid w:val="00D366CF"/>
    <w:rsid w:val="00D367F5"/>
    <w:rsid w:val="00D36C23"/>
    <w:rsid w:val="00D36FB2"/>
    <w:rsid w:val="00D37072"/>
    <w:rsid w:val="00D375C7"/>
    <w:rsid w:val="00D3769E"/>
    <w:rsid w:val="00D40081"/>
    <w:rsid w:val="00D407D8"/>
    <w:rsid w:val="00D40BC2"/>
    <w:rsid w:val="00D40E3B"/>
    <w:rsid w:val="00D40EAF"/>
    <w:rsid w:val="00D41034"/>
    <w:rsid w:val="00D4117D"/>
    <w:rsid w:val="00D411A8"/>
    <w:rsid w:val="00D413DA"/>
    <w:rsid w:val="00D418A3"/>
    <w:rsid w:val="00D41B99"/>
    <w:rsid w:val="00D42249"/>
    <w:rsid w:val="00D4244A"/>
    <w:rsid w:val="00D42487"/>
    <w:rsid w:val="00D4341B"/>
    <w:rsid w:val="00D43539"/>
    <w:rsid w:val="00D43FBC"/>
    <w:rsid w:val="00D4432C"/>
    <w:rsid w:val="00D44522"/>
    <w:rsid w:val="00D44CC7"/>
    <w:rsid w:val="00D45865"/>
    <w:rsid w:val="00D45867"/>
    <w:rsid w:val="00D458A5"/>
    <w:rsid w:val="00D4595F"/>
    <w:rsid w:val="00D45CE3"/>
    <w:rsid w:val="00D46157"/>
    <w:rsid w:val="00D4646A"/>
    <w:rsid w:val="00D466A8"/>
    <w:rsid w:val="00D46A18"/>
    <w:rsid w:val="00D46BEF"/>
    <w:rsid w:val="00D47187"/>
    <w:rsid w:val="00D47351"/>
    <w:rsid w:val="00D4751A"/>
    <w:rsid w:val="00D477E0"/>
    <w:rsid w:val="00D47805"/>
    <w:rsid w:val="00D47A56"/>
    <w:rsid w:val="00D47DDB"/>
    <w:rsid w:val="00D47FF2"/>
    <w:rsid w:val="00D50011"/>
    <w:rsid w:val="00D500F2"/>
    <w:rsid w:val="00D5017E"/>
    <w:rsid w:val="00D501F5"/>
    <w:rsid w:val="00D50728"/>
    <w:rsid w:val="00D508E4"/>
    <w:rsid w:val="00D50B2C"/>
    <w:rsid w:val="00D50EB3"/>
    <w:rsid w:val="00D50EDE"/>
    <w:rsid w:val="00D519D2"/>
    <w:rsid w:val="00D52284"/>
    <w:rsid w:val="00D528B5"/>
    <w:rsid w:val="00D52C6F"/>
    <w:rsid w:val="00D5322C"/>
    <w:rsid w:val="00D533A1"/>
    <w:rsid w:val="00D533BF"/>
    <w:rsid w:val="00D53841"/>
    <w:rsid w:val="00D53C05"/>
    <w:rsid w:val="00D544C2"/>
    <w:rsid w:val="00D546B8"/>
    <w:rsid w:val="00D55294"/>
    <w:rsid w:val="00D562BC"/>
    <w:rsid w:val="00D567E0"/>
    <w:rsid w:val="00D56ACF"/>
    <w:rsid w:val="00D56BDE"/>
    <w:rsid w:val="00D57109"/>
    <w:rsid w:val="00D57152"/>
    <w:rsid w:val="00D571A7"/>
    <w:rsid w:val="00D57692"/>
    <w:rsid w:val="00D576D7"/>
    <w:rsid w:val="00D57AF1"/>
    <w:rsid w:val="00D57CBB"/>
    <w:rsid w:val="00D60236"/>
    <w:rsid w:val="00D6059D"/>
    <w:rsid w:val="00D6063B"/>
    <w:rsid w:val="00D60B43"/>
    <w:rsid w:val="00D60C45"/>
    <w:rsid w:val="00D613F0"/>
    <w:rsid w:val="00D614C7"/>
    <w:rsid w:val="00D61A0C"/>
    <w:rsid w:val="00D61C6D"/>
    <w:rsid w:val="00D61E9C"/>
    <w:rsid w:val="00D61F3D"/>
    <w:rsid w:val="00D61F93"/>
    <w:rsid w:val="00D623A8"/>
    <w:rsid w:val="00D62472"/>
    <w:rsid w:val="00D62545"/>
    <w:rsid w:val="00D62EEF"/>
    <w:rsid w:val="00D6312F"/>
    <w:rsid w:val="00D633BB"/>
    <w:rsid w:val="00D63A3E"/>
    <w:rsid w:val="00D63D69"/>
    <w:rsid w:val="00D640B7"/>
    <w:rsid w:val="00D640F2"/>
    <w:rsid w:val="00D64236"/>
    <w:rsid w:val="00D642AD"/>
    <w:rsid w:val="00D64A40"/>
    <w:rsid w:val="00D64BD4"/>
    <w:rsid w:val="00D64E02"/>
    <w:rsid w:val="00D654E8"/>
    <w:rsid w:val="00D654FB"/>
    <w:rsid w:val="00D65619"/>
    <w:rsid w:val="00D66229"/>
    <w:rsid w:val="00D667D9"/>
    <w:rsid w:val="00D66C42"/>
    <w:rsid w:val="00D6715C"/>
    <w:rsid w:val="00D671FA"/>
    <w:rsid w:val="00D67216"/>
    <w:rsid w:val="00D67780"/>
    <w:rsid w:val="00D701C2"/>
    <w:rsid w:val="00D7055C"/>
    <w:rsid w:val="00D708CD"/>
    <w:rsid w:val="00D709B0"/>
    <w:rsid w:val="00D71468"/>
    <w:rsid w:val="00D71549"/>
    <w:rsid w:val="00D7160C"/>
    <w:rsid w:val="00D71741"/>
    <w:rsid w:val="00D71A0A"/>
    <w:rsid w:val="00D71A70"/>
    <w:rsid w:val="00D71C1F"/>
    <w:rsid w:val="00D71CE6"/>
    <w:rsid w:val="00D71F03"/>
    <w:rsid w:val="00D72304"/>
    <w:rsid w:val="00D7249D"/>
    <w:rsid w:val="00D727B3"/>
    <w:rsid w:val="00D73210"/>
    <w:rsid w:val="00D73AD4"/>
    <w:rsid w:val="00D73C8C"/>
    <w:rsid w:val="00D744AF"/>
    <w:rsid w:val="00D74862"/>
    <w:rsid w:val="00D75172"/>
    <w:rsid w:val="00D7555D"/>
    <w:rsid w:val="00D756D2"/>
    <w:rsid w:val="00D75879"/>
    <w:rsid w:val="00D75908"/>
    <w:rsid w:val="00D75CD0"/>
    <w:rsid w:val="00D75DA5"/>
    <w:rsid w:val="00D75DFA"/>
    <w:rsid w:val="00D75ECA"/>
    <w:rsid w:val="00D760B5"/>
    <w:rsid w:val="00D764EB"/>
    <w:rsid w:val="00D766A9"/>
    <w:rsid w:val="00D7731C"/>
    <w:rsid w:val="00D7733A"/>
    <w:rsid w:val="00D775CD"/>
    <w:rsid w:val="00D778F2"/>
    <w:rsid w:val="00D77AEE"/>
    <w:rsid w:val="00D77C3E"/>
    <w:rsid w:val="00D8005C"/>
    <w:rsid w:val="00D80539"/>
    <w:rsid w:val="00D808EE"/>
    <w:rsid w:val="00D80A72"/>
    <w:rsid w:val="00D80AF5"/>
    <w:rsid w:val="00D81003"/>
    <w:rsid w:val="00D81129"/>
    <w:rsid w:val="00D8164A"/>
    <w:rsid w:val="00D818D0"/>
    <w:rsid w:val="00D81A7D"/>
    <w:rsid w:val="00D8202C"/>
    <w:rsid w:val="00D82223"/>
    <w:rsid w:val="00D822E5"/>
    <w:rsid w:val="00D82E95"/>
    <w:rsid w:val="00D82F39"/>
    <w:rsid w:val="00D8300D"/>
    <w:rsid w:val="00D8378B"/>
    <w:rsid w:val="00D839CD"/>
    <w:rsid w:val="00D840BF"/>
    <w:rsid w:val="00D846D9"/>
    <w:rsid w:val="00D8480B"/>
    <w:rsid w:val="00D84B62"/>
    <w:rsid w:val="00D84CF1"/>
    <w:rsid w:val="00D84F1E"/>
    <w:rsid w:val="00D859E0"/>
    <w:rsid w:val="00D85CF7"/>
    <w:rsid w:val="00D86076"/>
    <w:rsid w:val="00D86297"/>
    <w:rsid w:val="00D863F7"/>
    <w:rsid w:val="00D87225"/>
    <w:rsid w:val="00D87307"/>
    <w:rsid w:val="00D87322"/>
    <w:rsid w:val="00D8792C"/>
    <w:rsid w:val="00D87974"/>
    <w:rsid w:val="00D87B4D"/>
    <w:rsid w:val="00D87C8F"/>
    <w:rsid w:val="00D87F7F"/>
    <w:rsid w:val="00D90235"/>
    <w:rsid w:val="00D90662"/>
    <w:rsid w:val="00D90712"/>
    <w:rsid w:val="00D9076C"/>
    <w:rsid w:val="00D90F3C"/>
    <w:rsid w:val="00D91043"/>
    <w:rsid w:val="00D911ED"/>
    <w:rsid w:val="00D91651"/>
    <w:rsid w:val="00D91686"/>
    <w:rsid w:val="00D9181C"/>
    <w:rsid w:val="00D91841"/>
    <w:rsid w:val="00D918BC"/>
    <w:rsid w:val="00D9191D"/>
    <w:rsid w:val="00D91A49"/>
    <w:rsid w:val="00D91D95"/>
    <w:rsid w:val="00D91E5A"/>
    <w:rsid w:val="00D92400"/>
    <w:rsid w:val="00D92454"/>
    <w:rsid w:val="00D9270B"/>
    <w:rsid w:val="00D927AB"/>
    <w:rsid w:val="00D92B04"/>
    <w:rsid w:val="00D93CB6"/>
    <w:rsid w:val="00D94506"/>
    <w:rsid w:val="00D947E8"/>
    <w:rsid w:val="00D94C19"/>
    <w:rsid w:val="00D94FA6"/>
    <w:rsid w:val="00D950AF"/>
    <w:rsid w:val="00D95432"/>
    <w:rsid w:val="00D95DD1"/>
    <w:rsid w:val="00D96A20"/>
    <w:rsid w:val="00D96D76"/>
    <w:rsid w:val="00D97020"/>
    <w:rsid w:val="00D9744D"/>
    <w:rsid w:val="00DA10C4"/>
    <w:rsid w:val="00DA123A"/>
    <w:rsid w:val="00DA2813"/>
    <w:rsid w:val="00DA2C32"/>
    <w:rsid w:val="00DA2DF2"/>
    <w:rsid w:val="00DA31ED"/>
    <w:rsid w:val="00DA36B3"/>
    <w:rsid w:val="00DA467B"/>
    <w:rsid w:val="00DA48C5"/>
    <w:rsid w:val="00DA4DDB"/>
    <w:rsid w:val="00DA53B9"/>
    <w:rsid w:val="00DA64C9"/>
    <w:rsid w:val="00DA6B67"/>
    <w:rsid w:val="00DA7371"/>
    <w:rsid w:val="00DA74CE"/>
    <w:rsid w:val="00DA7705"/>
    <w:rsid w:val="00DA7878"/>
    <w:rsid w:val="00DA7D78"/>
    <w:rsid w:val="00DA7F35"/>
    <w:rsid w:val="00DB005E"/>
    <w:rsid w:val="00DB0592"/>
    <w:rsid w:val="00DB0B44"/>
    <w:rsid w:val="00DB17F3"/>
    <w:rsid w:val="00DB1B2D"/>
    <w:rsid w:val="00DB1D21"/>
    <w:rsid w:val="00DB1FA4"/>
    <w:rsid w:val="00DB2589"/>
    <w:rsid w:val="00DB2A05"/>
    <w:rsid w:val="00DB2C57"/>
    <w:rsid w:val="00DB2DF8"/>
    <w:rsid w:val="00DB3023"/>
    <w:rsid w:val="00DB3562"/>
    <w:rsid w:val="00DB3613"/>
    <w:rsid w:val="00DB3DB1"/>
    <w:rsid w:val="00DB3E6A"/>
    <w:rsid w:val="00DB3FDB"/>
    <w:rsid w:val="00DB4274"/>
    <w:rsid w:val="00DB4843"/>
    <w:rsid w:val="00DB4D86"/>
    <w:rsid w:val="00DB4F91"/>
    <w:rsid w:val="00DB514B"/>
    <w:rsid w:val="00DB5712"/>
    <w:rsid w:val="00DB5C0E"/>
    <w:rsid w:val="00DB5E0E"/>
    <w:rsid w:val="00DB6379"/>
    <w:rsid w:val="00DB64AA"/>
    <w:rsid w:val="00DB657F"/>
    <w:rsid w:val="00DB65C2"/>
    <w:rsid w:val="00DB66CE"/>
    <w:rsid w:val="00DB6952"/>
    <w:rsid w:val="00DB6E14"/>
    <w:rsid w:val="00DB70EE"/>
    <w:rsid w:val="00DB715A"/>
    <w:rsid w:val="00DB7503"/>
    <w:rsid w:val="00DB75A4"/>
    <w:rsid w:val="00DB7827"/>
    <w:rsid w:val="00DB7BF9"/>
    <w:rsid w:val="00DC00C7"/>
    <w:rsid w:val="00DC023B"/>
    <w:rsid w:val="00DC0554"/>
    <w:rsid w:val="00DC07EC"/>
    <w:rsid w:val="00DC07F1"/>
    <w:rsid w:val="00DC0AEF"/>
    <w:rsid w:val="00DC128B"/>
    <w:rsid w:val="00DC1828"/>
    <w:rsid w:val="00DC1A6F"/>
    <w:rsid w:val="00DC22AD"/>
    <w:rsid w:val="00DC2DC5"/>
    <w:rsid w:val="00DC2E98"/>
    <w:rsid w:val="00DC30AF"/>
    <w:rsid w:val="00DC30EA"/>
    <w:rsid w:val="00DC33EC"/>
    <w:rsid w:val="00DC3F9B"/>
    <w:rsid w:val="00DC4D22"/>
    <w:rsid w:val="00DC5941"/>
    <w:rsid w:val="00DC5B2D"/>
    <w:rsid w:val="00DC6491"/>
    <w:rsid w:val="00DC6E16"/>
    <w:rsid w:val="00DC7045"/>
    <w:rsid w:val="00DC70CD"/>
    <w:rsid w:val="00DC7601"/>
    <w:rsid w:val="00DC7E6F"/>
    <w:rsid w:val="00DD00EA"/>
    <w:rsid w:val="00DD1635"/>
    <w:rsid w:val="00DD1BD3"/>
    <w:rsid w:val="00DD1EFE"/>
    <w:rsid w:val="00DD20DE"/>
    <w:rsid w:val="00DD229D"/>
    <w:rsid w:val="00DD2A3E"/>
    <w:rsid w:val="00DD2E4E"/>
    <w:rsid w:val="00DD36AA"/>
    <w:rsid w:val="00DD3752"/>
    <w:rsid w:val="00DD3B6A"/>
    <w:rsid w:val="00DD405B"/>
    <w:rsid w:val="00DD428C"/>
    <w:rsid w:val="00DD45BB"/>
    <w:rsid w:val="00DD4974"/>
    <w:rsid w:val="00DD4991"/>
    <w:rsid w:val="00DD553E"/>
    <w:rsid w:val="00DD564B"/>
    <w:rsid w:val="00DD638A"/>
    <w:rsid w:val="00DD64A2"/>
    <w:rsid w:val="00DD64CB"/>
    <w:rsid w:val="00DD6531"/>
    <w:rsid w:val="00DD671F"/>
    <w:rsid w:val="00DD6801"/>
    <w:rsid w:val="00DD6925"/>
    <w:rsid w:val="00DD6E0E"/>
    <w:rsid w:val="00DD6F13"/>
    <w:rsid w:val="00DD7BF9"/>
    <w:rsid w:val="00DD7C13"/>
    <w:rsid w:val="00DD7C7A"/>
    <w:rsid w:val="00DE037E"/>
    <w:rsid w:val="00DE0759"/>
    <w:rsid w:val="00DE0DFB"/>
    <w:rsid w:val="00DE1550"/>
    <w:rsid w:val="00DE176E"/>
    <w:rsid w:val="00DE1EC9"/>
    <w:rsid w:val="00DE23F2"/>
    <w:rsid w:val="00DE24B0"/>
    <w:rsid w:val="00DE28B1"/>
    <w:rsid w:val="00DE2C35"/>
    <w:rsid w:val="00DE38AA"/>
    <w:rsid w:val="00DE4CB8"/>
    <w:rsid w:val="00DE4E7D"/>
    <w:rsid w:val="00DE5A1E"/>
    <w:rsid w:val="00DE5EEE"/>
    <w:rsid w:val="00DE6721"/>
    <w:rsid w:val="00DE6912"/>
    <w:rsid w:val="00DE6E01"/>
    <w:rsid w:val="00DE6F95"/>
    <w:rsid w:val="00DE7140"/>
    <w:rsid w:val="00DE7355"/>
    <w:rsid w:val="00DE77E7"/>
    <w:rsid w:val="00DE7E8B"/>
    <w:rsid w:val="00DF0365"/>
    <w:rsid w:val="00DF04A6"/>
    <w:rsid w:val="00DF0745"/>
    <w:rsid w:val="00DF0790"/>
    <w:rsid w:val="00DF0DF8"/>
    <w:rsid w:val="00DF1011"/>
    <w:rsid w:val="00DF15B6"/>
    <w:rsid w:val="00DF15EC"/>
    <w:rsid w:val="00DF1806"/>
    <w:rsid w:val="00DF1C2D"/>
    <w:rsid w:val="00DF1F17"/>
    <w:rsid w:val="00DF1F85"/>
    <w:rsid w:val="00DF20CE"/>
    <w:rsid w:val="00DF20EA"/>
    <w:rsid w:val="00DF2425"/>
    <w:rsid w:val="00DF2974"/>
    <w:rsid w:val="00DF297F"/>
    <w:rsid w:val="00DF3422"/>
    <w:rsid w:val="00DF34CE"/>
    <w:rsid w:val="00DF3E3B"/>
    <w:rsid w:val="00DF45FF"/>
    <w:rsid w:val="00DF4AC7"/>
    <w:rsid w:val="00DF4CEB"/>
    <w:rsid w:val="00DF52F8"/>
    <w:rsid w:val="00DF7217"/>
    <w:rsid w:val="00DF73CF"/>
    <w:rsid w:val="00DF7557"/>
    <w:rsid w:val="00DF79A3"/>
    <w:rsid w:val="00DF7C8C"/>
    <w:rsid w:val="00E00282"/>
    <w:rsid w:val="00E0043E"/>
    <w:rsid w:val="00E00A75"/>
    <w:rsid w:val="00E00C22"/>
    <w:rsid w:val="00E0156F"/>
    <w:rsid w:val="00E016DD"/>
    <w:rsid w:val="00E019C8"/>
    <w:rsid w:val="00E01C97"/>
    <w:rsid w:val="00E01CF0"/>
    <w:rsid w:val="00E027C2"/>
    <w:rsid w:val="00E02A72"/>
    <w:rsid w:val="00E02AD1"/>
    <w:rsid w:val="00E02F4E"/>
    <w:rsid w:val="00E031F0"/>
    <w:rsid w:val="00E0320F"/>
    <w:rsid w:val="00E04064"/>
    <w:rsid w:val="00E045EF"/>
    <w:rsid w:val="00E04A00"/>
    <w:rsid w:val="00E04E2B"/>
    <w:rsid w:val="00E0514D"/>
    <w:rsid w:val="00E052C4"/>
    <w:rsid w:val="00E05CBA"/>
    <w:rsid w:val="00E06166"/>
    <w:rsid w:val="00E0621A"/>
    <w:rsid w:val="00E06387"/>
    <w:rsid w:val="00E06561"/>
    <w:rsid w:val="00E06583"/>
    <w:rsid w:val="00E0682A"/>
    <w:rsid w:val="00E06C17"/>
    <w:rsid w:val="00E07228"/>
    <w:rsid w:val="00E0766D"/>
    <w:rsid w:val="00E10090"/>
    <w:rsid w:val="00E102DD"/>
    <w:rsid w:val="00E10331"/>
    <w:rsid w:val="00E10935"/>
    <w:rsid w:val="00E10B43"/>
    <w:rsid w:val="00E10C1D"/>
    <w:rsid w:val="00E10D76"/>
    <w:rsid w:val="00E11A6C"/>
    <w:rsid w:val="00E11AE0"/>
    <w:rsid w:val="00E12585"/>
    <w:rsid w:val="00E12613"/>
    <w:rsid w:val="00E126E5"/>
    <w:rsid w:val="00E13C3D"/>
    <w:rsid w:val="00E13CC6"/>
    <w:rsid w:val="00E1421F"/>
    <w:rsid w:val="00E1436D"/>
    <w:rsid w:val="00E14415"/>
    <w:rsid w:val="00E1449F"/>
    <w:rsid w:val="00E14A2C"/>
    <w:rsid w:val="00E14C3C"/>
    <w:rsid w:val="00E15157"/>
    <w:rsid w:val="00E15484"/>
    <w:rsid w:val="00E15680"/>
    <w:rsid w:val="00E15BCB"/>
    <w:rsid w:val="00E1644C"/>
    <w:rsid w:val="00E16730"/>
    <w:rsid w:val="00E16852"/>
    <w:rsid w:val="00E168FA"/>
    <w:rsid w:val="00E16AF6"/>
    <w:rsid w:val="00E16DB7"/>
    <w:rsid w:val="00E177F1"/>
    <w:rsid w:val="00E17D33"/>
    <w:rsid w:val="00E202FC"/>
    <w:rsid w:val="00E203ED"/>
    <w:rsid w:val="00E20A78"/>
    <w:rsid w:val="00E20CD7"/>
    <w:rsid w:val="00E20D09"/>
    <w:rsid w:val="00E2106E"/>
    <w:rsid w:val="00E21495"/>
    <w:rsid w:val="00E21AD7"/>
    <w:rsid w:val="00E22183"/>
    <w:rsid w:val="00E22A38"/>
    <w:rsid w:val="00E22D0F"/>
    <w:rsid w:val="00E23557"/>
    <w:rsid w:val="00E235D5"/>
    <w:rsid w:val="00E23D4C"/>
    <w:rsid w:val="00E23E7D"/>
    <w:rsid w:val="00E24B81"/>
    <w:rsid w:val="00E24C2A"/>
    <w:rsid w:val="00E24F41"/>
    <w:rsid w:val="00E24FFE"/>
    <w:rsid w:val="00E25009"/>
    <w:rsid w:val="00E251C3"/>
    <w:rsid w:val="00E252E5"/>
    <w:rsid w:val="00E25EB1"/>
    <w:rsid w:val="00E2604C"/>
    <w:rsid w:val="00E260B0"/>
    <w:rsid w:val="00E26382"/>
    <w:rsid w:val="00E264C0"/>
    <w:rsid w:val="00E264F9"/>
    <w:rsid w:val="00E267AA"/>
    <w:rsid w:val="00E26870"/>
    <w:rsid w:val="00E268C3"/>
    <w:rsid w:val="00E270EA"/>
    <w:rsid w:val="00E273E5"/>
    <w:rsid w:val="00E27558"/>
    <w:rsid w:val="00E278E8"/>
    <w:rsid w:val="00E27FB8"/>
    <w:rsid w:val="00E30064"/>
    <w:rsid w:val="00E301E4"/>
    <w:rsid w:val="00E3078A"/>
    <w:rsid w:val="00E31099"/>
    <w:rsid w:val="00E31801"/>
    <w:rsid w:val="00E319E0"/>
    <w:rsid w:val="00E32209"/>
    <w:rsid w:val="00E3275C"/>
    <w:rsid w:val="00E327B1"/>
    <w:rsid w:val="00E327B9"/>
    <w:rsid w:val="00E32A5A"/>
    <w:rsid w:val="00E32A5E"/>
    <w:rsid w:val="00E32E66"/>
    <w:rsid w:val="00E3307A"/>
    <w:rsid w:val="00E331E4"/>
    <w:rsid w:val="00E3328F"/>
    <w:rsid w:val="00E336AB"/>
    <w:rsid w:val="00E337D1"/>
    <w:rsid w:val="00E33C15"/>
    <w:rsid w:val="00E3413D"/>
    <w:rsid w:val="00E34633"/>
    <w:rsid w:val="00E3470A"/>
    <w:rsid w:val="00E34C64"/>
    <w:rsid w:val="00E34CED"/>
    <w:rsid w:val="00E35CBE"/>
    <w:rsid w:val="00E35DC5"/>
    <w:rsid w:val="00E36239"/>
    <w:rsid w:val="00E36C10"/>
    <w:rsid w:val="00E36EB8"/>
    <w:rsid w:val="00E374E2"/>
    <w:rsid w:val="00E37695"/>
    <w:rsid w:val="00E37830"/>
    <w:rsid w:val="00E37F55"/>
    <w:rsid w:val="00E40453"/>
    <w:rsid w:val="00E4059C"/>
    <w:rsid w:val="00E405F0"/>
    <w:rsid w:val="00E40680"/>
    <w:rsid w:val="00E40C1A"/>
    <w:rsid w:val="00E40DE8"/>
    <w:rsid w:val="00E41014"/>
    <w:rsid w:val="00E41601"/>
    <w:rsid w:val="00E421F2"/>
    <w:rsid w:val="00E428CB"/>
    <w:rsid w:val="00E430F9"/>
    <w:rsid w:val="00E43367"/>
    <w:rsid w:val="00E4423D"/>
    <w:rsid w:val="00E44378"/>
    <w:rsid w:val="00E449C3"/>
    <w:rsid w:val="00E45020"/>
    <w:rsid w:val="00E450D8"/>
    <w:rsid w:val="00E4528A"/>
    <w:rsid w:val="00E45835"/>
    <w:rsid w:val="00E4591D"/>
    <w:rsid w:val="00E45C08"/>
    <w:rsid w:val="00E4628D"/>
    <w:rsid w:val="00E464DF"/>
    <w:rsid w:val="00E46502"/>
    <w:rsid w:val="00E46F6A"/>
    <w:rsid w:val="00E471E6"/>
    <w:rsid w:val="00E473AE"/>
    <w:rsid w:val="00E474CE"/>
    <w:rsid w:val="00E476E0"/>
    <w:rsid w:val="00E47B74"/>
    <w:rsid w:val="00E47DDE"/>
    <w:rsid w:val="00E50124"/>
    <w:rsid w:val="00E5134D"/>
    <w:rsid w:val="00E519D8"/>
    <w:rsid w:val="00E51DD3"/>
    <w:rsid w:val="00E5209E"/>
    <w:rsid w:val="00E522CD"/>
    <w:rsid w:val="00E5241D"/>
    <w:rsid w:val="00E5271E"/>
    <w:rsid w:val="00E52BC4"/>
    <w:rsid w:val="00E53315"/>
    <w:rsid w:val="00E53330"/>
    <w:rsid w:val="00E5334A"/>
    <w:rsid w:val="00E53532"/>
    <w:rsid w:val="00E536C6"/>
    <w:rsid w:val="00E53B8E"/>
    <w:rsid w:val="00E53BBA"/>
    <w:rsid w:val="00E542AA"/>
    <w:rsid w:val="00E543EE"/>
    <w:rsid w:val="00E54836"/>
    <w:rsid w:val="00E548D1"/>
    <w:rsid w:val="00E54D9C"/>
    <w:rsid w:val="00E54DFF"/>
    <w:rsid w:val="00E54E59"/>
    <w:rsid w:val="00E55B02"/>
    <w:rsid w:val="00E55D1D"/>
    <w:rsid w:val="00E55EA3"/>
    <w:rsid w:val="00E55FA0"/>
    <w:rsid w:val="00E55FAC"/>
    <w:rsid w:val="00E56130"/>
    <w:rsid w:val="00E563F0"/>
    <w:rsid w:val="00E56574"/>
    <w:rsid w:val="00E565B4"/>
    <w:rsid w:val="00E56D19"/>
    <w:rsid w:val="00E57012"/>
    <w:rsid w:val="00E5737A"/>
    <w:rsid w:val="00E57481"/>
    <w:rsid w:val="00E57704"/>
    <w:rsid w:val="00E5776E"/>
    <w:rsid w:val="00E57954"/>
    <w:rsid w:val="00E57AA2"/>
    <w:rsid w:val="00E57C07"/>
    <w:rsid w:val="00E57D82"/>
    <w:rsid w:val="00E57EE7"/>
    <w:rsid w:val="00E604CA"/>
    <w:rsid w:val="00E60D04"/>
    <w:rsid w:val="00E612CC"/>
    <w:rsid w:val="00E617FF"/>
    <w:rsid w:val="00E62268"/>
    <w:rsid w:val="00E6294C"/>
    <w:rsid w:val="00E62B0B"/>
    <w:rsid w:val="00E63504"/>
    <w:rsid w:val="00E635B9"/>
    <w:rsid w:val="00E638BA"/>
    <w:rsid w:val="00E6426E"/>
    <w:rsid w:val="00E64509"/>
    <w:rsid w:val="00E646E7"/>
    <w:rsid w:val="00E649FC"/>
    <w:rsid w:val="00E64AAF"/>
    <w:rsid w:val="00E64B6D"/>
    <w:rsid w:val="00E64EDF"/>
    <w:rsid w:val="00E65191"/>
    <w:rsid w:val="00E65903"/>
    <w:rsid w:val="00E65958"/>
    <w:rsid w:val="00E65DDD"/>
    <w:rsid w:val="00E65EFB"/>
    <w:rsid w:val="00E6668F"/>
    <w:rsid w:val="00E666DD"/>
    <w:rsid w:val="00E66856"/>
    <w:rsid w:val="00E66B4A"/>
    <w:rsid w:val="00E670C5"/>
    <w:rsid w:val="00E671F0"/>
    <w:rsid w:val="00E67B43"/>
    <w:rsid w:val="00E70402"/>
    <w:rsid w:val="00E707EA"/>
    <w:rsid w:val="00E70C62"/>
    <w:rsid w:val="00E7123B"/>
    <w:rsid w:val="00E712EA"/>
    <w:rsid w:val="00E71813"/>
    <w:rsid w:val="00E71D96"/>
    <w:rsid w:val="00E722A5"/>
    <w:rsid w:val="00E72478"/>
    <w:rsid w:val="00E726BE"/>
    <w:rsid w:val="00E7292C"/>
    <w:rsid w:val="00E72DBA"/>
    <w:rsid w:val="00E73482"/>
    <w:rsid w:val="00E73537"/>
    <w:rsid w:val="00E740DA"/>
    <w:rsid w:val="00E7455D"/>
    <w:rsid w:val="00E745C0"/>
    <w:rsid w:val="00E747EA"/>
    <w:rsid w:val="00E747EE"/>
    <w:rsid w:val="00E74802"/>
    <w:rsid w:val="00E74B06"/>
    <w:rsid w:val="00E74D9F"/>
    <w:rsid w:val="00E74FA2"/>
    <w:rsid w:val="00E74FCB"/>
    <w:rsid w:val="00E75AAC"/>
    <w:rsid w:val="00E75D1F"/>
    <w:rsid w:val="00E76345"/>
    <w:rsid w:val="00E76625"/>
    <w:rsid w:val="00E76659"/>
    <w:rsid w:val="00E76C41"/>
    <w:rsid w:val="00E76F7A"/>
    <w:rsid w:val="00E775FB"/>
    <w:rsid w:val="00E77687"/>
    <w:rsid w:val="00E776F4"/>
    <w:rsid w:val="00E7775E"/>
    <w:rsid w:val="00E77DAA"/>
    <w:rsid w:val="00E80094"/>
    <w:rsid w:val="00E804A3"/>
    <w:rsid w:val="00E80681"/>
    <w:rsid w:val="00E8086C"/>
    <w:rsid w:val="00E80B98"/>
    <w:rsid w:val="00E80F1E"/>
    <w:rsid w:val="00E813F4"/>
    <w:rsid w:val="00E819A8"/>
    <w:rsid w:val="00E819BE"/>
    <w:rsid w:val="00E81A7F"/>
    <w:rsid w:val="00E81E34"/>
    <w:rsid w:val="00E826D1"/>
    <w:rsid w:val="00E82815"/>
    <w:rsid w:val="00E828CB"/>
    <w:rsid w:val="00E83A5E"/>
    <w:rsid w:val="00E83AFD"/>
    <w:rsid w:val="00E844C3"/>
    <w:rsid w:val="00E845F8"/>
    <w:rsid w:val="00E846DB"/>
    <w:rsid w:val="00E85157"/>
    <w:rsid w:val="00E8521F"/>
    <w:rsid w:val="00E863AA"/>
    <w:rsid w:val="00E86555"/>
    <w:rsid w:val="00E86608"/>
    <w:rsid w:val="00E8695C"/>
    <w:rsid w:val="00E86EAF"/>
    <w:rsid w:val="00E86FEA"/>
    <w:rsid w:val="00E87559"/>
    <w:rsid w:val="00E87A01"/>
    <w:rsid w:val="00E87DDD"/>
    <w:rsid w:val="00E9006C"/>
    <w:rsid w:val="00E9023B"/>
    <w:rsid w:val="00E9047A"/>
    <w:rsid w:val="00E90609"/>
    <w:rsid w:val="00E90B22"/>
    <w:rsid w:val="00E90B5E"/>
    <w:rsid w:val="00E90C89"/>
    <w:rsid w:val="00E913B3"/>
    <w:rsid w:val="00E918B7"/>
    <w:rsid w:val="00E92565"/>
    <w:rsid w:val="00E925EA"/>
    <w:rsid w:val="00E9260C"/>
    <w:rsid w:val="00E9266C"/>
    <w:rsid w:val="00E926CD"/>
    <w:rsid w:val="00E932D1"/>
    <w:rsid w:val="00E93B8A"/>
    <w:rsid w:val="00E93C7E"/>
    <w:rsid w:val="00E93EB9"/>
    <w:rsid w:val="00E94084"/>
    <w:rsid w:val="00E94113"/>
    <w:rsid w:val="00E943D4"/>
    <w:rsid w:val="00E948BF"/>
    <w:rsid w:val="00E94DAA"/>
    <w:rsid w:val="00E9526E"/>
    <w:rsid w:val="00E962FD"/>
    <w:rsid w:val="00E96468"/>
    <w:rsid w:val="00E96AEB"/>
    <w:rsid w:val="00E96F68"/>
    <w:rsid w:val="00E970D7"/>
    <w:rsid w:val="00E972EE"/>
    <w:rsid w:val="00E97779"/>
    <w:rsid w:val="00E978CC"/>
    <w:rsid w:val="00E97B84"/>
    <w:rsid w:val="00E97C7D"/>
    <w:rsid w:val="00E97F38"/>
    <w:rsid w:val="00EA0289"/>
    <w:rsid w:val="00EA02D7"/>
    <w:rsid w:val="00EA08EC"/>
    <w:rsid w:val="00EA0FCE"/>
    <w:rsid w:val="00EA18A8"/>
    <w:rsid w:val="00EA1FE5"/>
    <w:rsid w:val="00EA2142"/>
    <w:rsid w:val="00EA2D29"/>
    <w:rsid w:val="00EA3542"/>
    <w:rsid w:val="00EA3749"/>
    <w:rsid w:val="00EA3CF5"/>
    <w:rsid w:val="00EA3D21"/>
    <w:rsid w:val="00EA409C"/>
    <w:rsid w:val="00EA48C9"/>
    <w:rsid w:val="00EA4BB6"/>
    <w:rsid w:val="00EA538B"/>
    <w:rsid w:val="00EA59B0"/>
    <w:rsid w:val="00EA6094"/>
    <w:rsid w:val="00EA6224"/>
    <w:rsid w:val="00EA69A5"/>
    <w:rsid w:val="00EA6D93"/>
    <w:rsid w:val="00EA70F7"/>
    <w:rsid w:val="00EA7446"/>
    <w:rsid w:val="00EA7657"/>
    <w:rsid w:val="00EB004D"/>
    <w:rsid w:val="00EB0146"/>
    <w:rsid w:val="00EB02C1"/>
    <w:rsid w:val="00EB0322"/>
    <w:rsid w:val="00EB05F5"/>
    <w:rsid w:val="00EB0ACA"/>
    <w:rsid w:val="00EB126D"/>
    <w:rsid w:val="00EB153B"/>
    <w:rsid w:val="00EB159C"/>
    <w:rsid w:val="00EB17F3"/>
    <w:rsid w:val="00EB1BE8"/>
    <w:rsid w:val="00EB21DE"/>
    <w:rsid w:val="00EB292B"/>
    <w:rsid w:val="00EB2D5C"/>
    <w:rsid w:val="00EB3802"/>
    <w:rsid w:val="00EB3EAF"/>
    <w:rsid w:val="00EB4010"/>
    <w:rsid w:val="00EB46FA"/>
    <w:rsid w:val="00EB48F6"/>
    <w:rsid w:val="00EB4BEB"/>
    <w:rsid w:val="00EB4D75"/>
    <w:rsid w:val="00EB5287"/>
    <w:rsid w:val="00EB6405"/>
    <w:rsid w:val="00EB6587"/>
    <w:rsid w:val="00EB6599"/>
    <w:rsid w:val="00EB66AC"/>
    <w:rsid w:val="00EB69B4"/>
    <w:rsid w:val="00EB6A0D"/>
    <w:rsid w:val="00EB7059"/>
    <w:rsid w:val="00EB75D2"/>
    <w:rsid w:val="00EB7932"/>
    <w:rsid w:val="00EB7E38"/>
    <w:rsid w:val="00EC0214"/>
    <w:rsid w:val="00EC05BA"/>
    <w:rsid w:val="00EC0B35"/>
    <w:rsid w:val="00EC0BAA"/>
    <w:rsid w:val="00EC0D64"/>
    <w:rsid w:val="00EC104C"/>
    <w:rsid w:val="00EC178C"/>
    <w:rsid w:val="00EC17E3"/>
    <w:rsid w:val="00EC1A16"/>
    <w:rsid w:val="00EC1D75"/>
    <w:rsid w:val="00EC20DA"/>
    <w:rsid w:val="00EC2127"/>
    <w:rsid w:val="00EC238B"/>
    <w:rsid w:val="00EC2722"/>
    <w:rsid w:val="00EC3117"/>
    <w:rsid w:val="00EC3329"/>
    <w:rsid w:val="00EC33EC"/>
    <w:rsid w:val="00EC3C44"/>
    <w:rsid w:val="00EC478C"/>
    <w:rsid w:val="00EC517B"/>
    <w:rsid w:val="00EC58C7"/>
    <w:rsid w:val="00EC5B0D"/>
    <w:rsid w:val="00EC5BB4"/>
    <w:rsid w:val="00EC6364"/>
    <w:rsid w:val="00EC7114"/>
    <w:rsid w:val="00EC7D15"/>
    <w:rsid w:val="00EC7DAA"/>
    <w:rsid w:val="00EC7DB0"/>
    <w:rsid w:val="00EC7EDB"/>
    <w:rsid w:val="00ED024A"/>
    <w:rsid w:val="00ED0545"/>
    <w:rsid w:val="00ED0F1A"/>
    <w:rsid w:val="00ED12B0"/>
    <w:rsid w:val="00ED18E9"/>
    <w:rsid w:val="00ED1D36"/>
    <w:rsid w:val="00ED1F83"/>
    <w:rsid w:val="00ED213F"/>
    <w:rsid w:val="00ED2540"/>
    <w:rsid w:val="00ED2B9A"/>
    <w:rsid w:val="00ED2DB8"/>
    <w:rsid w:val="00ED379B"/>
    <w:rsid w:val="00ED3A92"/>
    <w:rsid w:val="00ED4060"/>
    <w:rsid w:val="00ED40F6"/>
    <w:rsid w:val="00ED45E3"/>
    <w:rsid w:val="00ED4783"/>
    <w:rsid w:val="00ED49B3"/>
    <w:rsid w:val="00ED51DE"/>
    <w:rsid w:val="00ED52CD"/>
    <w:rsid w:val="00ED539C"/>
    <w:rsid w:val="00ED53CB"/>
    <w:rsid w:val="00ED5447"/>
    <w:rsid w:val="00ED54B4"/>
    <w:rsid w:val="00ED5993"/>
    <w:rsid w:val="00ED5A24"/>
    <w:rsid w:val="00ED5A5D"/>
    <w:rsid w:val="00ED5AC4"/>
    <w:rsid w:val="00ED601F"/>
    <w:rsid w:val="00ED6222"/>
    <w:rsid w:val="00ED63E1"/>
    <w:rsid w:val="00ED689C"/>
    <w:rsid w:val="00ED6D5F"/>
    <w:rsid w:val="00ED6F3C"/>
    <w:rsid w:val="00ED74B3"/>
    <w:rsid w:val="00ED74C3"/>
    <w:rsid w:val="00ED79B4"/>
    <w:rsid w:val="00ED7E44"/>
    <w:rsid w:val="00EE0456"/>
    <w:rsid w:val="00EE08CA"/>
    <w:rsid w:val="00EE0A57"/>
    <w:rsid w:val="00EE0C9C"/>
    <w:rsid w:val="00EE1B4A"/>
    <w:rsid w:val="00EE1C17"/>
    <w:rsid w:val="00EE1D56"/>
    <w:rsid w:val="00EE1F84"/>
    <w:rsid w:val="00EE20B1"/>
    <w:rsid w:val="00EE2249"/>
    <w:rsid w:val="00EE235A"/>
    <w:rsid w:val="00EE294E"/>
    <w:rsid w:val="00EE35B8"/>
    <w:rsid w:val="00EE3632"/>
    <w:rsid w:val="00EE394D"/>
    <w:rsid w:val="00EE3EC0"/>
    <w:rsid w:val="00EE4129"/>
    <w:rsid w:val="00EE427C"/>
    <w:rsid w:val="00EE4392"/>
    <w:rsid w:val="00EE43C1"/>
    <w:rsid w:val="00EE4B3F"/>
    <w:rsid w:val="00EE4DCC"/>
    <w:rsid w:val="00EE5425"/>
    <w:rsid w:val="00EE559E"/>
    <w:rsid w:val="00EE5BB3"/>
    <w:rsid w:val="00EE620B"/>
    <w:rsid w:val="00EE6D82"/>
    <w:rsid w:val="00EE715D"/>
    <w:rsid w:val="00EE7273"/>
    <w:rsid w:val="00EE74FC"/>
    <w:rsid w:val="00EE7916"/>
    <w:rsid w:val="00EE793A"/>
    <w:rsid w:val="00EE7A69"/>
    <w:rsid w:val="00EE7C99"/>
    <w:rsid w:val="00EF0A64"/>
    <w:rsid w:val="00EF0F4F"/>
    <w:rsid w:val="00EF132F"/>
    <w:rsid w:val="00EF1392"/>
    <w:rsid w:val="00EF1464"/>
    <w:rsid w:val="00EF150A"/>
    <w:rsid w:val="00EF18AD"/>
    <w:rsid w:val="00EF19D9"/>
    <w:rsid w:val="00EF2467"/>
    <w:rsid w:val="00EF43DB"/>
    <w:rsid w:val="00EF4844"/>
    <w:rsid w:val="00EF4853"/>
    <w:rsid w:val="00EF4A5A"/>
    <w:rsid w:val="00EF4E5E"/>
    <w:rsid w:val="00EF5112"/>
    <w:rsid w:val="00EF5132"/>
    <w:rsid w:val="00EF5667"/>
    <w:rsid w:val="00EF5D5A"/>
    <w:rsid w:val="00EF5D5C"/>
    <w:rsid w:val="00EF63BB"/>
    <w:rsid w:val="00EF6662"/>
    <w:rsid w:val="00EF6786"/>
    <w:rsid w:val="00EF6D04"/>
    <w:rsid w:val="00EF6D93"/>
    <w:rsid w:val="00EF6EEB"/>
    <w:rsid w:val="00EF72DF"/>
    <w:rsid w:val="00EF73C5"/>
    <w:rsid w:val="00EF760F"/>
    <w:rsid w:val="00EF7671"/>
    <w:rsid w:val="00EF77F0"/>
    <w:rsid w:val="00EF7E34"/>
    <w:rsid w:val="00F00002"/>
    <w:rsid w:val="00F001EC"/>
    <w:rsid w:val="00F003C1"/>
    <w:rsid w:val="00F00918"/>
    <w:rsid w:val="00F009C1"/>
    <w:rsid w:val="00F00EA8"/>
    <w:rsid w:val="00F01186"/>
    <w:rsid w:val="00F011DB"/>
    <w:rsid w:val="00F01A4D"/>
    <w:rsid w:val="00F01EB1"/>
    <w:rsid w:val="00F021AC"/>
    <w:rsid w:val="00F0223F"/>
    <w:rsid w:val="00F029BC"/>
    <w:rsid w:val="00F02BBD"/>
    <w:rsid w:val="00F02C66"/>
    <w:rsid w:val="00F02F44"/>
    <w:rsid w:val="00F0307D"/>
    <w:rsid w:val="00F031F5"/>
    <w:rsid w:val="00F033C6"/>
    <w:rsid w:val="00F036A3"/>
    <w:rsid w:val="00F0373C"/>
    <w:rsid w:val="00F03AD8"/>
    <w:rsid w:val="00F03B42"/>
    <w:rsid w:val="00F042BD"/>
    <w:rsid w:val="00F04921"/>
    <w:rsid w:val="00F04E78"/>
    <w:rsid w:val="00F04FEF"/>
    <w:rsid w:val="00F05361"/>
    <w:rsid w:val="00F05D9F"/>
    <w:rsid w:val="00F05F8B"/>
    <w:rsid w:val="00F0636F"/>
    <w:rsid w:val="00F06854"/>
    <w:rsid w:val="00F07604"/>
    <w:rsid w:val="00F07613"/>
    <w:rsid w:val="00F0767F"/>
    <w:rsid w:val="00F077B6"/>
    <w:rsid w:val="00F0785A"/>
    <w:rsid w:val="00F078EC"/>
    <w:rsid w:val="00F07B9B"/>
    <w:rsid w:val="00F07C18"/>
    <w:rsid w:val="00F11356"/>
    <w:rsid w:val="00F1162C"/>
    <w:rsid w:val="00F116D0"/>
    <w:rsid w:val="00F11778"/>
    <w:rsid w:val="00F11D75"/>
    <w:rsid w:val="00F121D1"/>
    <w:rsid w:val="00F12629"/>
    <w:rsid w:val="00F12B69"/>
    <w:rsid w:val="00F1308B"/>
    <w:rsid w:val="00F134C6"/>
    <w:rsid w:val="00F1354C"/>
    <w:rsid w:val="00F138FD"/>
    <w:rsid w:val="00F143DE"/>
    <w:rsid w:val="00F1440B"/>
    <w:rsid w:val="00F14777"/>
    <w:rsid w:val="00F147E6"/>
    <w:rsid w:val="00F14FD5"/>
    <w:rsid w:val="00F152D3"/>
    <w:rsid w:val="00F15440"/>
    <w:rsid w:val="00F15E67"/>
    <w:rsid w:val="00F15EFD"/>
    <w:rsid w:val="00F15EFE"/>
    <w:rsid w:val="00F164DE"/>
    <w:rsid w:val="00F16634"/>
    <w:rsid w:val="00F1663E"/>
    <w:rsid w:val="00F167B3"/>
    <w:rsid w:val="00F16853"/>
    <w:rsid w:val="00F171F9"/>
    <w:rsid w:val="00F1730F"/>
    <w:rsid w:val="00F178D2"/>
    <w:rsid w:val="00F17A79"/>
    <w:rsid w:val="00F17C66"/>
    <w:rsid w:val="00F202DD"/>
    <w:rsid w:val="00F209F8"/>
    <w:rsid w:val="00F20C34"/>
    <w:rsid w:val="00F211A1"/>
    <w:rsid w:val="00F2147E"/>
    <w:rsid w:val="00F21609"/>
    <w:rsid w:val="00F21A45"/>
    <w:rsid w:val="00F21B53"/>
    <w:rsid w:val="00F21EB0"/>
    <w:rsid w:val="00F2201B"/>
    <w:rsid w:val="00F22343"/>
    <w:rsid w:val="00F22404"/>
    <w:rsid w:val="00F226B6"/>
    <w:rsid w:val="00F22D6E"/>
    <w:rsid w:val="00F234AC"/>
    <w:rsid w:val="00F236D5"/>
    <w:rsid w:val="00F238EF"/>
    <w:rsid w:val="00F23EBE"/>
    <w:rsid w:val="00F248C7"/>
    <w:rsid w:val="00F24B8E"/>
    <w:rsid w:val="00F24D6A"/>
    <w:rsid w:val="00F24FFD"/>
    <w:rsid w:val="00F2519E"/>
    <w:rsid w:val="00F2574A"/>
    <w:rsid w:val="00F25763"/>
    <w:rsid w:val="00F2594A"/>
    <w:rsid w:val="00F25CA3"/>
    <w:rsid w:val="00F25F64"/>
    <w:rsid w:val="00F25FC7"/>
    <w:rsid w:val="00F2630A"/>
    <w:rsid w:val="00F263AD"/>
    <w:rsid w:val="00F264B8"/>
    <w:rsid w:val="00F26A5A"/>
    <w:rsid w:val="00F26D06"/>
    <w:rsid w:val="00F26D38"/>
    <w:rsid w:val="00F26E72"/>
    <w:rsid w:val="00F27536"/>
    <w:rsid w:val="00F27880"/>
    <w:rsid w:val="00F27B76"/>
    <w:rsid w:val="00F3040E"/>
    <w:rsid w:val="00F304A8"/>
    <w:rsid w:val="00F309CA"/>
    <w:rsid w:val="00F30B91"/>
    <w:rsid w:val="00F30F5D"/>
    <w:rsid w:val="00F31206"/>
    <w:rsid w:val="00F31532"/>
    <w:rsid w:val="00F3173A"/>
    <w:rsid w:val="00F31861"/>
    <w:rsid w:val="00F32088"/>
    <w:rsid w:val="00F32913"/>
    <w:rsid w:val="00F32A66"/>
    <w:rsid w:val="00F3324D"/>
    <w:rsid w:val="00F33C64"/>
    <w:rsid w:val="00F34210"/>
    <w:rsid w:val="00F34F66"/>
    <w:rsid w:val="00F350C6"/>
    <w:rsid w:val="00F351F7"/>
    <w:rsid w:val="00F3525E"/>
    <w:rsid w:val="00F35885"/>
    <w:rsid w:val="00F35CC0"/>
    <w:rsid w:val="00F36019"/>
    <w:rsid w:val="00F36605"/>
    <w:rsid w:val="00F366FB"/>
    <w:rsid w:val="00F36C9F"/>
    <w:rsid w:val="00F36F2B"/>
    <w:rsid w:val="00F3732D"/>
    <w:rsid w:val="00F375F4"/>
    <w:rsid w:val="00F378A6"/>
    <w:rsid w:val="00F3796D"/>
    <w:rsid w:val="00F37B52"/>
    <w:rsid w:val="00F40202"/>
    <w:rsid w:val="00F40BE9"/>
    <w:rsid w:val="00F40ED3"/>
    <w:rsid w:val="00F411C1"/>
    <w:rsid w:val="00F4123C"/>
    <w:rsid w:val="00F4131E"/>
    <w:rsid w:val="00F4135A"/>
    <w:rsid w:val="00F42164"/>
    <w:rsid w:val="00F42AC0"/>
    <w:rsid w:val="00F43A56"/>
    <w:rsid w:val="00F43DD0"/>
    <w:rsid w:val="00F44203"/>
    <w:rsid w:val="00F445FF"/>
    <w:rsid w:val="00F4463B"/>
    <w:rsid w:val="00F44AF1"/>
    <w:rsid w:val="00F451D4"/>
    <w:rsid w:val="00F4541A"/>
    <w:rsid w:val="00F45AE2"/>
    <w:rsid w:val="00F45BD4"/>
    <w:rsid w:val="00F45EDF"/>
    <w:rsid w:val="00F46184"/>
    <w:rsid w:val="00F4625D"/>
    <w:rsid w:val="00F4638F"/>
    <w:rsid w:val="00F466B3"/>
    <w:rsid w:val="00F467AF"/>
    <w:rsid w:val="00F468E9"/>
    <w:rsid w:val="00F470D0"/>
    <w:rsid w:val="00F473D8"/>
    <w:rsid w:val="00F47643"/>
    <w:rsid w:val="00F47788"/>
    <w:rsid w:val="00F47849"/>
    <w:rsid w:val="00F478EB"/>
    <w:rsid w:val="00F47DD5"/>
    <w:rsid w:val="00F50BA3"/>
    <w:rsid w:val="00F51106"/>
    <w:rsid w:val="00F514E3"/>
    <w:rsid w:val="00F51A14"/>
    <w:rsid w:val="00F521AA"/>
    <w:rsid w:val="00F52501"/>
    <w:rsid w:val="00F52838"/>
    <w:rsid w:val="00F531C9"/>
    <w:rsid w:val="00F53406"/>
    <w:rsid w:val="00F53B78"/>
    <w:rsid w:val="00F53BB4"/>
    <w:rsid w:val="00F54251"/>
    <w:rsid w:val="00F5455E"/>
    <w:rsid w:val="00F547A4"/>
    <w:rsid w:val="00F54897"/>
    <w:rsid w:val="00F548B6"/>
    <w:rsid w:val="00F54D38"/>
    <w:rsid w:val="00F55082"/>
    <w:rsid w:val="00F553BF"/>
    <w:rsid w:val="00F558E6"/>
    <w:rsid w:val="00F55EAA"/>
    <w:rsid w:val="00F5629A"/>
    <w:rsid w:val="00F562A2"/>
    <w:rsid w:val="00F56A10"/>
    <w:rsid w:val="00F56BF1"/>
    <w:rsid w:val="00F57054"/>
    <w:rsid w:val="00F571DB"/>
    <w:rsid w:val="00F572FE"/>
    <w:rsid w:val="00F5769E"/>
    <w:rsid w:val="00F5774F"/>
    <w:rsid w:val="00F579D5"/>
    <w:rsid w:val="00F57E50"/>
    <w:rsid w:val="00F57F20"/>
    <w:rsid w:val="00F60617"/>
    <w:rsid w:val="00F60639"/>
    <w:rsid w:val="00F60C47"/>
    <w:rsid w:val="00F60F0A"/>
    <w:rsid w:val="00F6140D"/>
    <w:rsid w:val="00F61C2B"/>
    <w:rsid w:val="00F62348"/>
    <w:rsid w:val="00F625E6"/>
    <w:rsid w:val="00F62660"/>
    <w:rsid w:val="00F6281D"/>
    <w:rsid w:val="00F62D25"/>
    <w:rsid w:val="00F62FEE"/>
    <w:rsid w:val="00F630ED"/>
    <w:rsid w:val="00F6367D"/>
    <w:rsid w:val="00F6436A"/>
    <w:rsid w:val="00F6480B"/>
    <w:rsid w:val="00F64A00"/>
    <w:rsid w:val="00F64B26"/>
    <w:rsid w:val="00F64BC9"/>
    <w:rsid w:val="00F6514B"/>
    <w:rsid w:val="00F651FB"/>
    <w:rsid w:val="00F655F5"/>
    <w:rsid w:val="00F65886"/>
    <w:rsid w:val="00F65A67"/>
    <w:rsid w:val="00F65BDC"/>
    <w:rsid w:val="00F66042"/>
    <w:rsid w:val="00F663E4"/>
    <w:rsid w:val="00F6670F"/>
    <w:rsid w:val="00F66822"/>
    <w:rsid w:val="00F66A6E"/>
    <w:rsid w:val="00F66D44"/>
    <w:rsid w:val="00F6725F"/>
    <w:rsid w:val="00F67329"/>
    <w:rsid w:val="00F674DA"/>
    <w:rsid w:val="00F67D3F"/>
    <w:rsid w:val="00F67EE8"/>
    <w:rsid w:val="00F7002C"/>
    <w:rsid w:val="00F700D8"/>
    <w:rsid w:val="00F708F1"/>
    <w:rsid w:val="00F70FDD"/>
    <w:rsid w:val="00F71320"/>
    <w:rsid w:val="00F7145C"/>
    <w:rsid w:val="00F715E5"/>
    <w:rsid w:val="00F71ADC"/>
    <w:rsid w:val="00F72109"/>
    <w:rsid w:val="00F722BE"/>
    <w:rsid w:val="00F72844"/>
    <w:rsid w:val="00F729DC"/>
    <w:rsid w:val="00F729F1"/>
    <w:rsid w:val="00F72B73"/>
    <w:rsid w:val="00F731D7"/>
    <w:rsid w:val="00F73702"/>
    <w:rsid w:val="00F7395E"/>
    <w:rsid w:val="00F73BCF"/>
    <w:rsid w:val="00F74166"/>
    <w:rsid w:val="00F752A2"/>
    <w:rsid w:val="00F75776"/>
    <w:rsid w:val="00F75AC3"/>
    <w:rsid w:val="00F75ADB"/>
    <w:rsid w:val="00F75EF5"/>
    <w:rsid w:val="00F7602D"/>
    <w:rsid w:val="00F76363"/>
    <w:rsid w:val="00F7685D"/>
    <w:rsid w:val="00F76C6C"/>
    <w:rsid w:val="00F76D4A"/>
    <w:rsid w:val="00F77119"/>
    <w:rsid w:val="00F77328"/>
    <w:rsid w:val="00F77552"/>
    <w:rsid w:val="00F77E63"/>
    <w:rsid w:val="00F8037E"/>
    <w:rsid w:val="00F803B7"/>
    <w:rsid w:val="00F806C9"/>
    <w:rsid w:val="00F807F7"/>
    <w:rsid w:val="00F8099F"/>
    <w:rsid w:val="00F816F6"/>
    <w:rsid w:val="00F82D8A"/>
    <w:rsid w:val="00F8324B"/>
    <w:rsid w:val="00F83681"/>
    <w:rsid w:val="00F838A8"/>
    <w:rsid w:val="00F83A8A"/>
    <w:rsid w:val="00F84A5A"/>
    <w:rsid w:val="00F85A9D"/>
    <w:rsid w:val="00F85B83"/>
    <w:rsid w:val="00F860D8"/>
    <w:rsid w:val="00F86914"/>
    <w:rsid w:val="00F86B73"/>
    <w:rsid w:val="00F870BF"/>
    <w:rsid w:val="00F8754B"/>
    <w:rsid w:val="00F9012C"/>
    <w:rsid w:val="00F90377"/>
    <w:rsid w:val="00F90ADE"/>
    <w:rsid w:val="00F9176D"/>
    <w:rsid w:val="00F91D3B"/>
    <w:rsid w:val="00F91D8E"/>
    <w:rsid w:val="00F91FB6"/>
    <w:rsid w:val="00F923B9"/>
    <w:rsid w:val="00F927E3"/>
    <w:rsid w:val="00F92F2C"/>
    <w:rsid w:val="00F934BB"/>
    <w:rsid w:val="00F939B6"/>
    <w:rsid w:val="00F93EC8"/>
    <w:rsid w:val="00F9440D"/>
    <w:rsid w:val="00F94A68"/>
    <w:rsid w:val="00F94BC6"/>
    <w:rsid w:val="00F94BC8"/>
    <w:rsid w:val="00F94C99"/>
    <w:rsid w:val="00F96019"/>
    <w:rsid w:val="00F9640C"/>
    <w:rsid w:val="00F9667A"/>
    <w:rsid w:val="00F971A6"/>
    <w:rsid w:val="00F9727D"/>
    <w:rsid w:val="00F97B70"/>
    <w:rsid w:val="00F97BCC"/>
    <w:rsid w:val="00FA057A"/>
    <w:rsid w:val="00FA0665"/>
    <w:rsid w:val="00FA0A8E"/>
    <w:rsid w:val="00FA189A"/>
    <w:rsid w:val="00FA1A50"/>
    <w:rsid w:val="00FA1D9A"/>
    <w:rsid w:val="00FA1F76"/>
    <w:rsid w:val="00FA26F8"/>
    <w:rsid w:val="00FA276F"/>
    <w:rsid w:val="00FA3509"/>
    <w:rsid w:val="00FA357D"/>
    <w:rsid w:val="00FA3AE6"/>
    <w:rsid w:val="00FA3DDE"/>
    <w:rsid w:val="00FA3E60"/>
    <w:rsid w:val="00FA3EC1"/>
    <w:rsid w:val="00FA40E6"/>
    <w:rsid w:val="00FA4628"/>
    <w:rsid w:val="00FA49E0"/>
    <w:rsid w:val="00FA5819"/>
    <w:rsid w:val="00FA5C9E"/>
    <w:rsid w:val="00FA5D5F"/>
    <w:rsid w:val="00FA66C6"/>
    <w:rsid w:val="00FA6BBE"/>
    <w:rsid w:val="00FA6F3D"/>
    <w:rsid w:val="00FA77FB"/>
    <w:rsid w:val="00FA7D36"/>
    <w:rsid w:val="00FB016A"/>
    <w:rsid w:val="00FB055C"/>
    <w:rsid w:val="00FB0C77"/>
    <w:rsid w:val="00FB0D77"/>
    <w:rsid w:val="00FB0D91"/>
    <w:rsid w:val="00FB0E86"/>
    <w:rsid w:val="00FB0EB0"/>
    <w:rsid w:val="00FB0F89"/>
    <w:rsid w:val="00FB172B"/>
    <w:rsid w:val="00FB1DC9"/>
    <w:rsid w:val="00FB215F"/>
    <w:rsid w:val="00FB274B"/>
    <w:rsid w:val="00FB2A5E"/>
    <w:rsid w:val="00FB39F2"/>
    <w:rsid w:val="00FB3FE2"/>
    <w:rsid w:val="00FB3FEE"/>
    <w:rsid w:val="00FB4372"/>
    <w:rsid w:val="00FB568A"/>
    <w:rsid w:val="00FB5967"/>
    <w:rsid w:val="00FB5AFD"/>
    <w:rsid w:val="00FB5B5B"/>
    <w:rsid w:val="00FB5C64"/>
    <w:rsid w:val="00FB5D5B"/>
    <w:rsid w:val="00FB6CE2"/>
    <w:rsid w:val="00FB7401"/>
    <w:rsid w:val="00FB77CF"/>
    <w:rsid w:val="00FB7A8F"/>
    <w:rsid w:val="00FB7ACB"/>
    <w:rsid w:val="00FB7F03"/>
    <w:rsid w:val="00FC01EC"/>
    <w:rsid w:val="00FC051A"/>
    <w:rsid w:val="00FC0E47"/>
    <w:rsid w:val="00FC1402"/>
    <w:rsid w:val="00FC15F6"/>
    <w:rsid w:val="00FC194F"/>
    <w:rsid w:val="00FC1B18"/>
    <w:rsid w:val="00FC2244"/>
    <w:rsid w:val="00FC2295"/>
    <w:rsid w:val="00FC275F"/>
    <w:rsid w:val="00FC29D5"/>
    <w:rsid w:val="00FC2AF3"/>
    <w:rsid w:val="00FC2DCC"/>
    <w:rsid w:val="00FC35FA"/>
    <w:rsid w:val="00FC370E"/>
    <w:rsid w:val="00FC3D15"/>
    <w:rsid w:val="00FC3D4C"/>
    <w:rsid w:val="00FC40E0"/>
    <w:rsid w:val="00FC4846"/>
    <w:rsid w:val="00FC5486"/>
    <w:rsid w:val="00FC58D3"/>
    <w:rsid w:val="00FC6222"/>
    <w:rsid w:val="00FC6EC0"/>
    <w:rsid w:val="00FC7770"/>
    <w:rsid w:val="00FC77C7"/>
    <w:rsid w:val="00FC7F65"/>
    <w:rsid w:val="00FD0D3F"/>
    <w:rsid w:val="00FD0F5C"/>
    <w:rsid w:val="00FD1298"/>
    <w:rsid w:val="00FD1CCA"/>
    <w:rsid w:val="00FD277B"/>
    <w:rsid w:val="00FD2865"/>
    <w:rsid w:val="00FD2CBA"/>
    <w:rsid w:val="00FD362E"/>
    <w:rsid w:val="00FD3816"/>
    <w:rsid w:val="00FD3AEE"/>
    <w:rsid w:val="00FD4281"/>
    <w:rsid w:val="00FD510F"/>
    <w:rsid w:val="00FD56F6"/>
    <w:rsid w:val="00FD5DF2"/>
    <w:rsid w:val="00FD5E28"/>
    <w:rsid w:val="00FD5E9E"/>
    <w:rsid w:val="00FD675A"/>
    <w:rsid w:val="00FD6EA3"/>
    <w:rsid w:val="00FD6F5E"/>
    <w:rsid w:val="00FD7514"/>
    <w:rsid w:val="00FD77A4"/>
    <w:rsid w:val="00FE03DA"/>
    <w:rsid w:val="00FE0897"/>
    <w:rsid w:val="00FE0940"/>
    <w:rsid w:val="00FE0989"/>
    <w:rsid w:val="00FE0E36"/>
    <w:rsid w:val="00FE102E"/>
    <w:rsid w:val="00FE1A57"/>
    <w:rsid w:val="00FE1FB4"/>
    <w:rsid w:val="00FE23B0"/>
    <w:rsid w:val="00FE24A9"/>
    <w:rsid w:val="00FE28C4"/>
    <w:rsid w:val="00FE34DC"/>
    <w:rsid w:val="00FE354B"/>
    <w:rsid w:val="00FE371A"/>
    <w:rsid w:val="00FE37E9"/>
    <w:rsid w:val="00FE3A7E"/>
    <w:rsid w:val="00FE3D93"/>
    <w:rsid w:val="00FE4329"/>
    <w:rsid w:val="00FE44CB"/>
    <w:rsid w:val="00FE45BD"/>
    <w:rsid w:val="00FE4D06"/>
    <w:rsid w:val="00FE574B"/>
    <w:rsid w:val="00FE655B"/>
    <w:rsid w:val="00FE6632"/>
    <w:rsid w:val="00FE66ED"/>
    <w:rsid w:val="00FE68E7"/>
    <w:rsid w:val="00FE6C64"/>
    <w:rsid w:val="00FE6F3D"/>
    <w:rsid w:val="00FE76FA"/>
    <w:rsid w:val="00FE77D3"/>
    <w:rsid w:val="00FF02F7"/>
    <w:rsid w:val="00FF062D"/>
    <w:rsid w:val="00FF0D5B"/>
    <w:rsid w:val="00FF1329"/>
    <w:rsid w:val="00FF1643"/>
    <w:rsid w:val="00FF1B15"/>
    <w:rsid w:val="00FF1CE1"/>
    <w:rsid w:val="00FF1E0B"/>
    <w:rsid w:val="00FF2021"/>
    <w:rsid w:val="00FF24A7"/>
    <w:rsid w:val="00FF2948"/>
    <w:rsid w:val="00FF2A25"/>
    <w:rsid w:val="00FF2A98"/>
    <w:rsid w:val="00FF2C48"/>
    <w:rsid w:val="00FF2F44"/>
    <w:rsid w:val="00FF314A"/>
    <w:rsid w:val="00FF34CD"/>
    <w:rsid w:val="00FF352D"/>
    <w:rsid w:val="00FF360F"/>
    <w:rsid w:val="00FF3965"/>
    <w:rsid w:val="00FF396F"/>
    <w:rsid w:val="00FF3AA1"/>
    <w:rsid w:val="00FF4397"/>
    <w:rsid w:val="00FF463E"/>
    <w:rsid w:val="00FF4BAF"/>
    <w:rsid w:val="00FF4ED3"/>
    <w:rsid w:val="00FF50D5"/>
    <w:rsid w:val="00FF537D"/>
    <w:rsid w:val="00FF6118"/>
    <w:rsid w:val="00FF64E9"/>
    <w:rsid w:val="00FF6D0A"/>
    <w:rsid w:val="00FF6E50"/>
    <w:rsid w:val="00FF6E89"/>
    <w:rsid w:val="00FF7965"/>
    <w:rsid w:val="00FF799E"/>
    <w:rsid w:val="00FF7AC5"/>
    <w:rsid w:val="00FF7C0E"/>
    <w:rsid w:val="00FF7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8E2BC8F-6FB4-4548-B088-AE9AB2449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3E15"/>
    <w:rPr>
      <w:sz w:val="24"/>
      <w:szCs w:val="24"/>
      <w:lang w:val="bg-BG"/>
    </w:rPr>
  </w:style>
  <w:style w:type="paragraph" w:styleId="Heading1">
    <w:name w:val="heading 1"/>
    <w:basedOn w:val="Normal"/>
    <w:next w:val="Normal"/>
    <w:link w:val="Heading1Char"/>
    <w:qFormat/>
    <w:rsid w:val="00063E15"/>
    <w:pPr>
      <w:keepNext/>
      <w:jc w:val="center"/>
      <w:outlineLvl w:val="0"/>
    </w:pPr>
    <w:rPr>
      <w:b/>
      <w:bCs/>
      <w:sz w:val="28"/>
    </w:rPr>
  </w:style>
  <w:style w:type="paragraph" w:styleId="Heading2">
    <w:name w:val="heading 2"/>
    <w:basedOn w:val="Normal"/>
    <w:next w:val="Normal"/>
    <w:link w:val="Heading2Char"/>
    <w:uiPriority w:val="99"/>
    <w:qFormat/>
    <w:rsid w:val="00C26FED"/>
    <w:pPr>
      <w:keepNext/>
      <w:spacing w:before="240" w:after="60"/>
      <w:outlineLvl w:val="1"/>
    </w:pPr>
    <w:rPr>
      <w:rFonts w:ascii="Arial" w:hAnsi="Arial" w:cs="Arial"/>
      <w:b/>
      <w:bCs/>
      <w:i/>
      <w:iCs/>
      <w:sz w:val="28"/>
      <w:szCs w:val="28"/>
    </w:rPr>
  </w:style>
  <w:style w:type="paragraph" w:styleId="Heading3">
    <w:name w:val="heading 3"/>
    <w:basedOn w:val="Normal"/>
    <w:next w:val="Normal"/>
    <w:uiPriority w:val="99"/>
    <w:qFormat/>
    <w:rsid w:val="0026239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63E15"/>
    <w:pPr>
      <w:jc w:val="center"/>
    </w:pPr>
    <w:rPr>
      <w:b/>
      <w:szCs w:val="20"/>
    </w:rPr>
  </w:style>
  <w:style w:type="paragraph" w:customStyle="1" w:styleId="ParagraphNumbering">
    <w:name w:val="Paragraph Numbering"/>
    <w:basedOn w:val="Normal"/>
    <w:rsid w:val="0028159B"/>
    <w:pPr>
      <w:numPr>
        <w:numId w:val="1"/>
      </w:numPr>
      <w:spacing w:after="240"/>
    </w:pPr>
    <w:rPr>
      <w:lang w:val="en-US"/>
    </w:rPr>
  </w:style>
  <w:style w:type="paragraph" w:styleId="FootnoteText">
    <w:name w:val="footnote text"/>
    <w:aliases w:val="Fußnotentext arial,Footnote1,Footnote2,Footnote3,stile 1,Footnote4,Footnote5,Footnote6,Footnote7,Footnote8,Footnote9,Footnote10,Footnote11,Footnote21,Footnote31,Footnote41,Footnote51,Footnote61,Footnote71,Footnote81,Footnote91,single spa"/>
    <w:basedOn w:val="Normal"/>
    <w:link w:val="FootnoteTextChar"/>
    <w:uiPriority w:val="99"/>
    <w:qFormat/>
    <w:rsid w:val="003459AC"/>
    <w:rPr>
      <w:sz w:val="20"/>
      <w:szCs w:val="20"/>
      <w:lang w:val="en-US"/>
    </w:rPr>
  </w:style>
  <w:style w:type="character" w:styleId="FootnoteReference">
    <w:name w:val="footnote reference"/>
    <w:aliases w:val="Footnote,Footnote symbol,SUPERS,BVI fnr,Footnote reference number,Times 10 Point,Exposant 3 Point,Ref,de nota al pie,note TESI,EN Footnote text,EN Footnote Reference,Footnote Reference Number,E FNZ,Appel note de bas de p,Nota,BVI fnr1"/>
    <w:uiPriority w:val="99"/>
    <w:qFormat/>
    <w:rsid w:val="003459AC"/>
    <w:rPr>
      <w:vertAlign w:val="superscript"/>
    </w:rPr>
  </w:style>
  <w:style w:type="paragraph" w:styleId="BodyText">
    <w:name w:val="Body Text"/>
    <w:basedOn w:val="Normal"/>
    <w:link w:val="BodyTextChar"/>
    <w:rsid w:val="003459AC"/>
    <w:pPr>
      <w:jc w:val="both"/>
    </w:pPr>
  </w:style>
  <w:style w:type="paragraph" w:styleId="BodyTextIndent">
    <w:name w:val="Body Text Indent"/>
    <w:basedOn w:val="Normal"/>
    <w:link w:val="BodyTextIndentChar"/>
    <w:uiPriority w:val="99"/>
    <w:rsid w:val="003459AC"/>
    <w:pPr>
      <w:spacing w:after="120"/>
      <w:ind w:left="283"/>
    </w:pPr>
  </w:style>
  <w:style w:type="paragraph" w:styleId="BodyText2">
    <w:name w:val="Body Text 2"/>
    <w:basedOn w:val="Normal"/>
    <w:link w:val="BodyText2Char"/>
    <w:rsid w:val="003459AC"/>
    <w:pPr>
      <w:spacing w:after="120" w:line="480" w:lineRule="auto"/>
    </w:pPr>
  </w:style>
  <w:style w:type="paragraph" w:styleId="BlockText">
    <w:name w:val="Block Text"/>
    <w:basedOn w:val="Normal"/>
    <w:rsid w:val="003459AC"/>
    <w:pPr>
      <w:ind w:left="720" w:right="1106"/>
    </w:pPr>
    <w:rPr>
      <w:b/>
      <w:bCs/>
    </w:rPr>
  </w:style>
  <w:style w:type="table" w:styleId="TableGrid">
    <w:name w:val="Table Grid"/>
    <w:basedOn w:val="TableNormal"/>
    <w:rsid w:val="003459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eader Char,Header Char1 Char,Header Char Char Char,Header Char3 Char Char Char,Header Char1 Char Char Char Char1 Char,Header Char Char Char Char Char Char1 Char,Header Char2 Char1 Char Char Char,Header Char2,Header Char1 Char1,Header Char Char1"/>
    <w:basedOn w:val="Normal"/>
    <w:link w:val="HeaderChar1"/>
    <w:rsid w:val="001D40DA"/>
    <w:pPr>
      <w:tabs>
        <w:tab w:val="center" w:pos="4153"/>
        <w:tab w:val="right" w:pos="8306"/>
      </w:tabs>
    </w:pPr>
    <w:rPr>
      <w:lang w:eastAsia="bg-BG"/>
    </w:rPr>
  </w:style>
  <w:style w:type="paragraph" w:styleId="BodyText3">
    <w:name w:val="Body Text 3"/>
    <w:basedOn w:val="Normal"/>
    <w:rsid w:val="00262391"/>
    <w:pPr>
      <w:spacing w:after="120"/>
    </w:pPr>
    <w:rPr>
      <w:sz w:val="16"/>
      <w:szCs w:val="16"/>
    </w:rPr>
  </w:style>
  <w:style w:type="paragraph" w:styleId="Footer">
    <w:name w:val="footer"/>
    <w:basedOn w:val="Normal"/>
    <w:rsid w:val="00A74112"/>
    <w:pPr>
      <w:tabs>
        <w:tab w:val="center" w:pos="4536"/>
        <w:tab w:val="right" w:pos="9072"/>
      </w:tabs>
    </w:pPr>
  </w:style>
  <w:style w:type="character" w:styleId="PageNumber">
    <w:name w:val="page number"/>
    <w:basedOn w:val="DefaultParagraphFont"/>
    <w:rsid w:val="00A74112"/>
  </w:style>
  <w:style w:type="paragraph" w:customStyle="1" w:styleId="CharChar3CharChar">
    <w:name w:val="Char Char3 Char Char"/>
    <w:basedOn w:val="Normal"/>
    <w:semiHidden/>
    <w:rsid w:val="00EE4B3F"/>
    <w:pPr>
      <w:tabs>
        <w:tab w:val="left" w:pos="709"/>
      </w:tabs>
    </w:pPr>
    <w:rPr>
      <w:rFonts w:ascii="Futura Bk" w:hAnsi="Futura Bk"/>
      <w:lang w:val="pl-PL" w:eastAsia="pl-PL"/>
    </w:rPr>
  </w:style>
  <w:style w:type="paragraph" w:customStyle="1" w:styleId="CharCharCharChar">
    <w:name w:val="Char Char Char Char"/>
    <w:basedOn w:val="Normal"/>
    <w:rsid w:val="00A14560"/>
    <w:pPr>
      <w:spacing w:after="160" w:line="240" w:lineRule="exact"/>
    </w:pPr>
    <w:rPr>
      <w:rFonts w:ascii="Tahoma" w:hAnsi="Tahoma"/>
      <w:sz w:val="20"/>
      <w:szCs w:val="20"/>
      <w:lang w:val="en-US"/>
    </w:rPr>
  </w:style>
  <w:style w:type="paragraph" w:styleId="BodyTextIndent2">
    <w:name w:val="Body Text Indent 2"/>
    <w:basedOn w:val="Normal"/>
    <w:rsid w:val="00C32154"/>
    <w:pPr>
      <w:spacing w:after="120" w:line="480" w:lineRule="auto"/>
      <w:ind w:left="283"/>
    </w:pPr>
  </w:style>
  <w:style w:type="paragraph" w:styleId="BalloonText">
    <w:name w:val="Balloon Text"/>
    <w:basedOn w:val="Normal"/>
    <w:link w:val="BalloonTextChar"/>
    <w:semiHidden/>
    <w:rsid w:val="00144BF2"/>
    <w:rPr>
      <w:rFonts w:ascii="Tahoma" w:hAnsi="Tahoma" w:cs="Tahoma"/>
      <w:sz w:val="16"/>
      <w:szCs w:val="16"/>
    </w:rPr>
  </w:style>
  <w:style w:type="paragraph" w:styleId="EndnoteText">
    <w:name w:val="endnote text"/>
    <w:basedOn w:val="Normal"/>
    <w:semiHidden/>
    <w:rsid w:val="00F870BF"/>
    <w:rPr>
      <w:sz w:val="20"/>
      <w:szCs w:val="20"/>
    </w:rPr>
  </w:style>
  <w:style w:type="character" w:styleId="EndnoteReference">
    <w:name w:val="endnote reference"/>
    <w:semiHidden/>
    <w:rsid w:val="00F870BF"/>
    <w:rPr>
      <w:vertAlign w:val="superscript"/>
    </w:rPr>
  </w:style>
  <w:style w:type="character" w:styleId="CommentReference">
    <w:name w:val="annotation reference"/>
    <w:uiPriority w:val="99"/>
    <w:semiHidden/>
    <w:rsid w:val="00A252C3"/>
    <w:rPr>
      <w:sz w:val="16"/>
      <w:szCs w:val="16"/>
    </w:rPr>
  </w:style>
  <w:style w:type="paragraph" w:styleId="CommentText">
    <w:name w:val="annotation text"/>
    <w:basedOn w:val="Normal"/>
    <w:link w:val="CommentTextChar"/>
    <w:uiPriority w:val="99"/>
    <w:semiHidden/>
    <w:rsid w:val="00A252C3"/>
    <w:rPr>
      <w:sz w:val="20"/>
      <w:szCs w:val="20"/>
    </w:rPr>
  </w:style>
  <w:style w:type="character" w:customStyle="1" w:styleId="HeaderChar1">
    <w:name w:val="Header Char1"/>
    <w:aliases w:val="Header Char Char,Header Char1 Char Char,Header Char Char Char Char,Header Char3 Char Char Char Char,Header Char1 Char Char Char Char1 Char Char,Header Char Char Char Char Char Char1 Char Char,Header Char2 Char1 Char Char Char Char"/>
    <w:link w:val="Header"/>
    <w:rsid w:val="00166023"/>
    <w:rPr>
      <w:sz w:val="24"/>
      <w:szCs w:val="24"/>
      <w:lang w:val="bg-BG" w:eastAsia="bg-BG" w:bidi="ar-SA"/>
    </w:rPr>
  </w:style>
  <w:style w:type="paragraph" w:customStyle="1" w:styleId="Char1">
    <w:name w:val="Char1"/>
    <w:basedOn w:val="Normal"/>
    <w:semiHidden/>
    <w:rsid w:val="008138E4"/>
    <w:pPr>
      <w:tabs>
        <w:tab w:val="left" w:pos="709"/>
      </w:tabs>
    </w:pPr>
    <w:rPr>
      <w:rFonts w:ascii="Futura Bk" w:hAnsi="Futura Bk"/>
      <w:lang w:val="pl-PL" w:eastAsia="pl-PL"/>
    </w:rPr>
  </w:style>
  <w:style w:type="paragraph" w:customStyle="1" w:styleId="default">
    <w:name w:val="default"/>
    <w:basedOn w:val="Normal"/>
    <w:rsid w:val="003C14B1"/>
    <w:pPr>
      <w:spacing w:before="100" w:beforeAutospacing="1" w:after="100" w:afterAutospacing="1"/>
    </w:pPr>
    <w:rPr>
      <w:lang w:eastAsia="bg-BG"/>
    </w:rPr>
  </w:style>
  <w:style w:type="character" w:styleId="Strong">
    <w:name w:val="Strong"/>
    <w:uiPriority w:val="99"/>
    <w:qFormat/>
    <w:rsid w:val="003E37A0"/>
    <w:rPr>
      <w:b/>
      <w:bCs/>
    </w:rPr>
  </w:style>
  <w:style w:type="character" w:customStyle="1" w:styleId="BalloonTextChar">
    <w:name w:val="Balloon Text Char"/>
    <w:link w:val="BalloonText"/>
    <w:semiHidden/>
    <w:locked/>
    <w:rsid w:val="00DD1EFE"/>
    <w:rPr>
      <w:rFonts w:ascii="Tahoma" w:hAnsi="Tahoma" w:cs="Tahoma"/>
      <w:sz w:val="16"/>
      <w:szCs w:val="16"/>
      <w:lang w:val="en-GB" w:eastAsia="en-US" w:bidi="ar-SA"/>
    </w:rPr>
  </w:style>
  <w:style w:type="paragraph" w:customStyle="1" w:styleId="Default0">
    <w:name w:val="Default"/>
    <w:rsid w:val="00DD1EFE"/>
    <w:pPr>
      <w:autoSpaceDE w:val="0"/>
      <w:autoSpaceDN w:val="0"/>
      <w:adjustRightInd w:val="0"/>
    </w:pPr>
    <w:rPr>
      <w:rFonts w:ascii="Calibri" w:hAnsi="Calibri" w:cs="Calibri"/>
      <w:color w:val="000000"/>
      <w:sz w:val="24"/>
      <w:szCs w:val="24"/>
      <w:lang w:val="bg-BG"/>
    </w:rPr>
  </w:style>
  <w:style w:type="character" w:customStyle="1" w:styleId="FootnoteTextChar">
    <w:name w:val="Footnote Text Char"/>
    <w:aliases w:val="Fußnotentext arial Char,Footnote1 Char,Footnote2 Char,Footnote3 Char,stile 1 Char,Footnote4 Char,Footnote5 Char,Footnote6 Char,Footnote7 Char,Footnote8 Char,Footnote9 Char,Footnote10 Char,Footnote11 Char,Footnote21 Char"/>
    <w:link w:val="FootnoteText"/>
    <w:uiPriority w:val="99"/>
    <w:rsid w:val="009A3FA1"/>
    <w:rPr>
      <w:lang w:val="en-US" w:eastAsia="en-US" w:bidi="ar-SA"/>
    </w:rPr>
  </w:style>
  <w:style w:type="paragraph" w:customStyle="1" w:styleId="CharCharCharChar1">
    <w:name w:val="Char Char Char Char1"/>
    <w:basedOn w:val="Normal"/>
    <w:semiHidden/>
    <w:rsid w:val="00B20BB9"/>
    <w:pPr>
      <w:tabs>
        <w:tab w:val="left" w:pos="709"/>
      </w:tabs>
    </w:pPr>
    <w:rPr>
      <w:rFonts w:ascii="Futura Bk" w:hAnsi="Futura Bk"/>
      <w:lang w:val="pl-PL" w:eastAsia="pl-PL"/>
    </w:rPr>
  </w:style>
  <w:style w:type="character" w:customStyle="1" w:styleId="BodyText2Char">
    <w:name w:val="Body Text 2 Char"/>
    <w:link w:val="BodyText2"/>
    <w:locked/>
    <w:rsid w:val="002D5811"/>
    <w:rPr>
      <w:sz w:val="24"/>
      <w:szCs w:val="24"/>
      <w:lang w:val="en-GB" w:eastAsia="en-US" w:bidi="ar-SA"/>
    </w:rPr>
  </w:style>
  <w:style w:type="character" w:styleId="Hyperlink">
    <w:name w:val="Hyperlink"/>
    <w:uiPriority w:val="99"/>
    <w:unhideWhenUsed/>
    <w:rsid w:val="00231385"/>
    <w:rPr>
      <w:strike w:val="0"/>
      <w:dstrike w:val="0"/>
      <w:color w:val="004A8F"/>
      <w:u w:val="none"/>
      <w:effect w:val="none"/>
    </w:rPr>
  </w:style>
  <w:style w:type="paragraph" w:styleId="NormalWeb">
    <w:name w:val="Normal (Web)"/>
    <w:basedOn w:val="Normal"/>
    <w:uiPriority w:val="99"/>
    <w:unhideWhenUsed/>
    <w:rsid w:val="00231385"/>
    <w:pPr>
      <w:spacing w:before="100" w:beforeAutospacing="1" w:after="100" w:afterAutospacing="1" w:line="312" w:lineRule="atLeast"/>
      <w:jc w:val="both"/>
    </w:pPr>
    <w:rPr>
      <w:lang w:val="en-US"/>
    </w:rPr>
  </w:style>
  <w:style w:type="character" w:customStyle="1" w:styleId="ala13">
    <w:name w:val="al_a13"/>
    <w:uiPriority w:val="99"/>
    <w:rsid w:val="00B7424D"/>
  </w:style>
  <w:style w:type="paragraph" w:styleId="ListParagraph">
    <w:name w:val="List Paragraph"/>
    <w:aliases w:val="Recommendatio,Párrafo de lista,Recommendation,OBC Bullet,Dot pt,F5 List Paragraph,No Spacing1,List Paragraph Char Char Char,Indicator Text,Numbered Para 1,Bullet 1,Bullet Points,List Paragraph2,L,3,References,Colorful List - Accent 11"/>
    <w:basedOn w:val="Normal"/>
    <w:link w:val="ListParagraphChar"/>
    <w:uiPriority w:val="34"/>
    <w:qFormat/>
    <w:rsid w:val="00C818E7"/>
    <w:pPr>
      <w:spacing w:after="120" w:line="360" w:lineRule="auto"/>
      <w:ind w:left="720" w:firstLine="720"/>
      <w:contextualSpacing/>
      <w:jc w:val="both"/>
    </w:pPr>
    <w:rPr>
      <w:rFonts w:ascii="Arial" w:hAnsi="Arial"/>
      <w:szCs w:val="20"/>
    </w:rPr>
  </w:style>
  <w:style w:type="paragraph" w:customStyle="1" w:styleId="CharChar3">
    <w:name w:val="Char Char3"/>
    <w:basedOn w:val="Normal"/>
    <w:semiHidden/>
    <w:rsid w:val="009269F4"/>
    <w:pPr>
      <w:tabs>
        <w:tab w:val="left" w:pos="709"/>
      </w:tabs>
    </w:pPr>
    <w:rPr>
      <w:rFonts w:ascii="Futura Bk" w:hAnsi="Futura Bk"/>
      <w:lang w:val="pl-PL" w:eastAsia="pl-PL"/>
    </w:rPr>
  </w:style>
  <w:style w:type="character" w:customStyle="1" w:styleId="BodyTextIndentChar">
    <w:name w:val="Body Text Indent Char"/>
    <w:link w:val="BodyTextIndent"/>
    <w:uiPriority w:val="99"/>
    <w:locked/>
    <w:rsid w:val="00DA31ED"/>
    <w:rPr>
      <w:sz w:val="24"/>
      <w:szCs w:val="24"/>
      <w:lang w:val="bg-BG"/>
    </w:rPr>
  </w:style>
  <w:style w:type="paragraph" w:customStyle="1" w:styleId="NormalFirstline">
    <w:name w:val="Normal + First line"/>
    <w:aliases w:val="1.25 cm,After 6 pt"/>
    <w:basedOn w:val="Normal"/>
    <w:rsid w:val="00BD3B54"/>
    <w:rPr>
      <w:sz w:val="20"/>
      <w:szCs w:val="20"/>
    </w:rPr>
  </w:style>
  <w:style w:type="paragraph" w:styleId="CommentSubject">
    <w:name w:val="annotation subject"/>
    <w:basedOn w:val="CommentText"/>
    <w:next w:val="CommentText"/>
    <w:link w:val="CommentSubjectChar"/>
    <w:semiHidden/>
    <w:rsid w:val="00381745"/>
    <w:rPr>
      <w:b/>
      <w:bCs/>
    </w:rPr>
  </w:style>
  <w:style w:type="character" w:customStyle="1" w:styleId="CommentTextChar">
    <w:name w:val="Comment Text Char"/>
    <w:link w:val="CommentText"/>
    <w:uiPriority w:val="99"/>
    <w:semiHidden/>
    <w:rsid w:val="009F38CE"/>
    <w:rPr>
      <w:lang w:eastAsia="en-US"/>
    </w:rPr>
  </w:style>
  <w:style w:type="character" w:customStyle="1" w:styleId="CommentSubjectChar">
    <w:name w:val="Comment Subject Char"/>
    <w:link w:val="CommentSubject"/>
    <w:semiHidden/>
    <w:rsid w:val="009F38CE"/>
    <w:rPr>
      <w:b/>
      <w:bCs/>
      <w:lang w:eastAsia="en-US"/>
    </w:rPr>
  </w:style>
  <w:style w:type="character" w:customStyle="1" w:styleId="TitleChar">
    <w:name w:val="Title Char"/>
    <w:link w:val="Title"/>
    <w:rsid w:val="00C1518C"/>
    <w:rPr>
      <w:b/>
      <w:sz w:val="24"/>
      <w:lang w:eastAsia="en-US"/>
    </w:rPr>
  </w:style>
  <w:style w:type="character" w:customStyle="1" w:styleId="BodyTextChar">
    <w:name w:val="Body Text Char"/>
    <w:link w:val="BodyText"/>
    <w:rsid w:val="00A10AC7"/>
    <w:rPr>
      <w:sz w:val="24"/>
      <w:szCs w:val="24"/>
      <w:lang w:val="bg-BG"/>
    </w:rPr>
  </w:style>
  <w:style w:type="paragraph" w:styleId="Revision">
    <w:name w:val="Revision"/>
    <w:hidden/>
    <w:uiPriority w:val="99"/>
    <w:semiHidden/>
    <w:rsid w:val="00F32913"/>
    <w:rPr>
      <w:sz w:val="24"/>
      <w:szCs w:val="24"/>
      <w:lang w:val="bg-BG"/>
    </w:rPr>
  </w:style>
  <w:style w:type="paragraph" w:customStyle="1" w:styleId="m">
    <w:name w:val="m"/>
    <w:basedOn w:val="Normal"/>
    <w:rsid w:val="00675E99"/>
    <w:pPr>
      <w:spacing w:before="100" w:beforeAutospacing="1" w:after="100" w:afterAutospacing="1"/>
    </w:pPr>
    <w:rPr>
      <w:lang w:eastAsia="bg-BG"/>
    </w:rPr>
  </w:style>
  <w:style w:type="character" w:customStyle="1" w:styleId="Heading1Char">
    <w:name w:val="Heading 1 Char"/>
    <w:basedOn w:val="DefaultParagraphFont"/>
    <w:link w:val="Heading1"/>
    <w:rsid w:val="002E2C27"/>
    <w:rPr>
      <w:b/>
      <w:bCs/>
      <w:sz w:val="28"/>
      <w:szCs w:val="24"/>
      <w:lang w:val="bg-BG"/>
    </w:rPr>
  </w:style>
  <w:style w:type="character" w:customStyle="1" w:styleId="ListParagraphChar">
    <w:name w:val="List Paragraph Char"/>
    <w:aliases w:val="Recommendatio Char,Párrafo de lista Char,Recommendation Char,OBC Bullet Char,Dot pt Char,F5 List Paragraph Char,No Spacing1 Char,List Paragraph Char Char Char Char,Indicator Text Char,Numbered Para 1 Char,Bullet 1 Char,L Char,3 Char"/>
    <w:link w:val="ListParagraph"/>
    <w:uiPriority w:val="34"/>
    <w:qFormat/>
    <w:locked/>
    <w:rsid w:val="00207C9E"/>
    <w:rPr>
      <w:rFonts w:ascii="Arial" w:hAnsi="Arial"/>
      <w:sz w:val="24"/>
      <w:lang w:val="bg-BG"/>
    </w:rPr>
  </w:style>
  <w:style w:type="character" w:customStyle="1" w:styleId="Heading2Char">
    <w:name w:val="Heading 2 Char"/>
    <w:basedOn w:val="DefaultParagraphFont"/>
    <w:link w:val="Heading2"/>
    <w:uiPriority w:val="99"/>
    <w:rsid w:val="0008732B"/>
    <w:rPr>
      <w:rFonts w:ascii="Arial" w:hAnsi="Arial" w:cs="Arial"/>
      <w:b/>
      <w:bCs/>
      <w:i/>
      <w:iCs/>
      <w:sz w:val="28"/>
      <w:szCs w:val="28"/>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20982">
      <w:bodyDiv w:val="1"/>
      <w:marLeft w:val="0"/>
      <w:marRight w:val="0"/>
      <w:marTop w:val="0"/>
      <w:marBottom w:val="0"/>
      <w:divBdr>
        <w:top w:val="none" w:sz="0" w:space="0" w:color="auto"/>
        <w:left w:val="none" w:sz="0" w:space="0" w:color="auto"/>
        <w:bottom w:val="none" w:sz="0" w:space="0" w:color="auto"/>
        <w:right w:val="none" w:sz="0" w:space="0" w:color="auto"/>
      </w:divBdr>
    </w:div>
    <w:div w:id="146098401">
      <w:bodyDiv w:val="1"/>
      <w:marLeft w:val="0"/>
      <w:marRight w:val="0"/>
      <w:marTop w:val="0"/>
      <w:marBottom w:val="0"/>
      <w:divBdr>
        <w:top w:val="none" w:sz="0" w:space="0" w:color="auto"/>
        <w:left w:val="none" w:sz="0" w:space="0" w:color="auto"/>
        <w:bottom w:val="none" w:sz="0" w:space="0" w:color="auto"/>
        <w:right w:val="none" w:sz="0" w:space="0" w:color="auto"/>
      </w:divBdr>
    </w:div>
    <w:div w:id="160004673">
      <w:bodyDiv w:val="1"/>
      <w:marLeft w:val="0"/>
      <w:marRight w:val="0"/>
      <w:marTop w:val="0"/>
      <w:marBottom w:val="0"/>
      <w:divBdr>
        <w:top w:val="none" w:sz="0" w:space="0" w:color="auto"/>
        <w:left w:val="none" w:sz="0" w:space="0" w:color="auto"/>
        <w:bottom w:val="none" w:sz="0" w:space="0" w:color="auto"/>
        <w:right w:val="none" w:sz="0" w:space="0" w:color="auto"/>
      </w:divBdr>
    </w:div>
    <w:div w:id="203295746">
      <w:bodyDiv w:val="1"/>
      <w:marLeft w:val="0"/>
      <w:marRight w:val="0"/>
      <w:marTop w:val="0"/>
      <w:marBottom w:val="0"/>
      <w:divBdr>
        <w:top w:val="none" w:sz="0" w:space="0" w:color="auto"/>
        <w:left w:val="none" w:sz="0" w:space="0" w:color="auto"/>
        <w:bottom w:val="none" w:sz="0" w:space="0" w:color="auto"/>
        <w:right w:val="none" w:sz="0" w:space="0" w:color="auto"/>
      </w:divBdr>
    </w:div>
    <w:div w:id="272128182">
      <w:bodyDiv w:val="1"/>
      <w:marLeft w:val="0"/>
      <w:marRight w:val="0"/>
      <w:marTop w:val="0"/>
      <w:marBottom w:val="0"/>
      <w:divBdr>
        <w:top w:val="none" w:sz="0" w:space="0" w:color="auto"/>
        <w:left w:val="none" w:sz="0" w:space="0" w:color="auto"/>
        <w:bottom w:val="none" w:sz="0" w:space="0" w:color="auto"/>
        <w:right w:val="none" w:sz="0" w:space="0" w:color="auto"/>
      </w:divBdr>
    </w:div>
    <w:div w:id="488985167">
      <w:bodyDiv w:val="1"/>
      <w:marLeft w:val="0"/>
      <w:marRight w:val="0"/>
      <w:marTop w:val="0"/>
      <w:marBottom w:val="0"/>
      <w:divBdr>
        <w:top w:val="none" w:sz="0" w:space="0" w:color="auto"/>
        <w:left w:val="none" w:sz="0" w:space="0" w:color="auto"/>
        <w:bottom w:val="none" w:sz="0" w:space="0" w:color="auto"/>
        <w:right w:val="none" w:sz="0" w:space="0" w:color="auto"/>
      </w:divBdr>
    </w:div>
    <w:div w:id="490483776">
      <w:bodyDiv w:val="1"/>
      <w:marLeft w:val="0"/>
      <w:marRight w:val="0"/>
      <w:marTop w:val="0"/>
      <w:marBottom w:val="0"/>
      <w:divBdr>
        <w:top w:val="none" w:sz="0" w:space="0" w:color="auto"/>
        <w:left w:val="none" w:sz="0" w:space="0" w:color="auto"/>
        <w:bottom w:val="none" w:sz="0" w:space="0" w:color="auto"/>
        <w:right w:val="none" w:sz="0" w:space="0" w:color="auto"/>
      </w:divBdr>
    </w:div>
    <w:div w:id="503279387">
      <w:bodyDiv w:val="1"/>
      <w:marLeft w:val="0"/>
      <w:marRight w:val="0"/>
      <w:marTop w:val="0"/>
      <w:marBottom w:val="0"/>
      <w:divBdr>
        <w:top w:val="none" w:sz="0" w:space="0" w:color="auto"/>
        <w:left w:val="none" w:sz="0" w:space="0" w:color="auto"/>
        <w:bottom w:val="none" w:sz="0" w:space="0" w:color="auto"/>
        <w:right w:val="none" w:sz="0" w:space="0" w:color="auto"/>
      </w:divBdr>
    </w:div>
    <w:div w:id="567035072">
      <w:bodyDiv w:val="1"/>
      <w:marLeft w:val="0"/>
      <w:marRight w:val="0"/>
      <w:marTop w:val="0"/>
      <w:marBottom w:val="0"/>
      <w:divBdr>
        <w:top w:val="none" w:sz="0" w:space="0" w:color="auto"/>
        <w:left w:val="none" w:sz="0" w:space="0" w:color="auto"/>
        <w:bottom w:val="none" w:sz="0" w:space="0" w:color="auto"/>
        <w:right w:val="none" w:sz="0" w:space="0" w:color="auto"/>
      </w:divBdr>
      <w:divsChild>
        <w:div w:id="1294481459">
          <w:marLeft w:val="0"/>
          <w:marRight w:val="0"/>
          <w:marTop w:val="0"/>
          <w:marBottom w:val="0"/>
          <w:divBdr>
            <w:top w:val="none" w:sz="0" w:space="0" w:color="auto"/>
            <w:left w:val="none" w:sz="0" w:space="0" w:color="auto"/>
            <w:bottom w:val="none" w:sz="0" w:space="0" w:color="auto"/>
            <w:right w:val="none" w:sz="0" w:space="0" w:color="auto"/>
          </w:divBdr>
        </w:div>
      </w:divsChild>
    </w:div>
    <w:div w:id="669023205">
      <w:bodyDiv w:val="1"/>
      <w:marLeft w:val="0"/>
      <w:marRight w:val="0"/>
      <w:marTop w:val="0"/>
      <w:marBottom w:val="0"/>
      <w:divBdr>
        <w:top w:val="none" w:sz="0" w:space="0" w:color="auto"/>
        <w:left w:val="none" w:sz="0" w:space="0" w:color="auto"/>
        <w:bottom w:val="none" w:sz="0" w:space="0" w:color="auto"/>
        <w:right w:val="none" w:sz="0" w:space="0" w:color="auto"/>
      </w:divBdr>
    </w:div>
    <w:div w:id="673454420">
      <w:bodyDiv w:val="1"/>
      <w:marLeft w:val="0"/>
      <w:marRight w:val="0"/>
      <w:marTop w:val="0"/>
      <w:marBottom w:val="0"/>
      <w:divBdr>
        <w:top w:val="none" w:sz="0" w:space="0" w:color="auto"/>
        <w:left w:val="none" w:sz="0" w:space="0" w:color="auto"/>
        <w:bottom w:val="none" w:sz="0" w:space="0" w:color="auto"/>
        <w:right w:val="none" w:sz="0" w:space="0" w:color="auto"/>
      </w:divBdr>
    </w:div>
    <w:div w:id="721250821">
      <w:bodyDiv w:val="1"/>
      <w:marLeft w:val="0"/>
      <w:marRight w:val="0"/>
      <w:marTop w:val="0"/>
      <w:marBottom w:val="0"/>
      <w:divBdr>
        <w:top w:val="none" w:sz="0" w:space="0" w:color="auto"/>
        <w:left w:val="none" w:sz="0" w:space="0" w:color="auto"/>
        <w:bottom w:val="none" w:sz="0" w:space="0" w:color="auto"/>
        <w:right w:val="none" w:sz="0" w:space="0" w:color="auto"/>
      </w:divBdr>
    </w:div>
    <w:div w:id="728262616">
      <w:bodyDiv w:val="1"/>
      <w:marLeft w:val="0"/>
      <w:marRight w:val="0"/>
      <w:marTop w:val="0"/>
      <w:marBottom w:val="0"/>
      <w:divBdr>
        <w:top w:val="none" w:sz="0" w:space="0" w:color="auto"/>
        <w:left w:val="none" w:sz="0" w:space="0" w:color="auto"/>
        <w:bottom w:val="none" w:sz="0" w:space="0" w:color="auto"/>
        <w:right w:val="none" w:sz="0" w:space="0" w:color="auto"/>
      </w:divBdr>
    </w:div>
    <w:div w:id="769817748">
      <w:bodyDiv w:val="1"/>
      <w:marLeft w:val="0"/>
      <w:marRight w:val="0"/>
      <w:marTop w:val="0"/>
      <w:marBottom w:val="0"/>
      <w:divBdr>
        <w:top w:val="none" w:sz="0" w:space="0" w:color="auto"/>
        <w:left w:val="none" w:sz="0" w:space="0" w:color="auto"/>
        <w:bottom w:val="none" w:sz="0" w:space="0" w:color="auto"/>
        <w:right w:val="none" w:sz="0" w:space="0" w:color="auto"/>
      </w:divBdr>
    </w:div>
    <w:div w:id="1020425054">
      <w:bodyDiv w:val="1"/>
      <w:marLeft w:val="0"/>
      <w:marRight w:val="0"/>
      <w:marTop w:val="0"/>
      <w:marBottom w:val="0"/>
      <w:divBdr>
        <w:top w:val="none" w:sz="0" w:space="0" w:color="auto"/>
        <w:left w:val="none" w:sz="0" w:space="0" w:color="auto"/>
        <w:bottom w:val="none" w:sz="0" w:space="0" w:color="auto"/>
        <w:right w:val="none" w:sz="0" w:space="0" w:color="auto"/>
      </w:divBdr>
    </w:div>
    <w:div w:id="1059985730">
      <w:bodyDiv w:val="1"/>
      <w:marLeft w:val="0"/>
      <w:marRight w:val="0"/>
      <w:marTop w:val="0"/>
      <w:marBottom w:val="0"/>
      <w:divBdr>
        <w:top w:val="none" w:sz="0" w:space="0" w:color="auto"/>
        <w:left w:val="none" w:sz="0" w:space="0" w:color="auto"/>
        <w:bottom w:val="none" w:sz="0" w:space="0" w:color="auto"/>
        <w:right w:val="none" w:sz="0" w:space="0" w:color="auto"/>
      </w:divBdr>
    </w:div>
    <w:div w:id="1151099104">
      <w:bodyDiv w:val="1"/>
      <w:marLeft w:val="0"/>
      <w:marRight w:val="0"/>
      <w:marTop w:val="0"/>
      <w:marBottom w:val="0"/>
      <w:divBdr>
        <w:top w:val="none" w:sz="0" w:space="0" w:color="auto"/>
        <w:left w:val="none" w:sz="0" w:space="0" w:color="auto"/>
        <w:bottom w:val="none" w:sz="0" w:space="0" w:color="auto"/>
        <w:right w:val="none" w:sz="0" w:space="0" w:color="auto"/>
      </w:divBdr>
    </w:div>
    <w:div w:id="1228757899">
      <w:bodyDiv w:val="1"/>
      <w:marLeft w:val="0"/>
      <w:marRight w:val="0"/>
      <w:marTop w:val="0"/>
      <w:marBottom w:val="0"/>
      <w:divBdr>
        <w:top w:val="none" w:sz="0" w:space="0" w:color="auto"/>
        <w:left w:val="none" w:sz="0" w:space="0" w:color="auto"/>
        <w:bottom w:val="none" w:sz="0" w:space="0" w:color="auto"/>
        <w:right w:val="none" w:sz="0" w:space="0" w:color="auto"/>
      </w:divBdr>
      <w:divsChild>
        <w:div w:id="1764762949">
          <w:marLeft w:val="0"/>
          <w:marRight w:val="0"/>
          <w:marTop w:val="0"/>
          <w:marBottom w:val="0"/>
          <w:divBdr>
            <w:top w:val="none" w:sz="0" w:space="0" w:color="auto"/>
            <w:left w:val="none" w:sz="0" w:space="0" w:color="auto"/>
            <w:bottom w:val="none" w:sz="0" w:space="0" w:color="auto"/>
            <w:right w:val="none" w:sz="0" w:space="0" w:color="auto"/>
          </w:divBdr>
          <w:divsChild>
            <w:div w:id="1689597285">
              <w:marLeft w:val="0"/>
              <w:marRight w:val="0"/>
              <w:marTop w:val="0"/>
              <w:marBottom w:val="0"/>
              <w:divBdr>
                <w:top w:val="none" w:sz="0" w:space="0" w:color="auto"/>
                <w:left w:val="none" w:sz="0" w:space="0" w:color="auto"/>
                <w:bottom w:val="none" w:sz="0" w:space="0" w:color="auto"/>
                <w:right w:val="none" w:sz="0" w:space="0" w:color="auto"/>
              </w:divBdr>
              <w:divsChild>
                <w:div w:id="754782278">
                  <w:marLeft w:val="0"/>
                  <w:marRight w:val="0"/>
                  <w:marTop w:val="0"/>
                  <w:marBottom w:val="0"/>
                  <w:divBdr>
                    <w:top w:val="none" w:sz="0" w:space="0" w:color="auto"/>
                    <w:left w:val="none" w:sz="0" w:space="0" w:color="auto"/>
                    <w:bottom w:val="none" w:sz="0" w:space="0" w:color="auto"/>
                    <w:right w:val="none" w:sz="0" w:space="0" w:color="auto"/>
                  </w:divBdr>
                  <w:divsChild>
                    <w:div w:id="209709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555913">
      <w:bodyDiv w:val="1"/>
      <w:marLeft w:val="0"/>
      <w:marRight w:val="0"/>
      <w:marTop w:val="0"/>
      <w:marBottom w:val="0"/>
      <w:divBdr>
        <w:top w:val="none" w:sz="0" w:space="0" w:color="auto"/>
        <w:left w:val="none" w:sz="0" w:space="0" w:color="auto"/>
        <w:bottom w:val="none" w:sz="0" w:space="0" w:color="auto"/>
        <w:right w:val="none" w:sz="0" w:space="0" w:color="auto"/>
      </w:divBdr>
      <w:divsChild>
        <w:div w:id="1132287915">
          <w:marLeft w:val="240"/>
          <w:marRight w:val="240"/>
          <w:marTop w:val="0"/>
          <w:marBottom w:val="0"/>
          <w:divBdr>
            <w:top w:val="none" w:sz="0" w:space="0" w:color="auto"/>
            <w:left w:val="none" w:sz="0" w:space="0" w:color="auto"/>
            <w:bottom w:val="none" w:sz="0" w:space="0" w:color="auto"/>
            <w:right w:val="none" w:sz="0" w:space="0" w:color="auto"/>
          </w:divBdr>
          <w:divsChild>
            <w:div w:id="2001541574">
              <w:marLeft w:val="0"/>
              <w:marRight w:val="0"/>
              <w:marTop w:val="0"/>
              <w:marBottom w:val="120"/>
              <w:divBdr>
                <w:top w:val="none" w:sz="0" w:space="0" w:color="auto"/>
                <w:left w:val="none" w:sz="0" w:space="0" w:color="auto"/>
                <w:bottom w:val="single" w:sz="6" w:space="0" w:color="A7A9AC"/>
                <w:right w:val="none" w:sz="0" w:space="0" w:color="auto"/>
              </w:divBdr>
            </w:div>
          </w:divsChild>
        </w:div>
      </w:divsChild>
    </w:div>
    <w:div w:id="1305816618">
      <w:bodyDiv w:val="1"/>
      <w:marLeft w:val="0"/>
      <w:marRight w:val="0"/>
      <w:marTop w:val="0"/>
      <w:marBottom w:val="0"/>
      <w:divBdr>
        <w:top w:val="none" w:sz="0" w:space="0" w:color="auto"/>
        <w:left w:val="none" w:sz="0" w:space="0" w:color="auto"/>
        <w:bottom w:val="none" w:sz="0" w:space="0" w:color="auto"/>
        <w:right w:val="none" w:sz="0" w:space="0" w:color="auto"/>
      </w:divBdr>
    </w:div>
    <w:div w:id="1334607600">
      <w:bodyDiv w:val="1"/>
      <w:marLeft w:val="0"/>
      <w:marRight w:val="0"/>
      <w:marTop w:val="0"/>
      <w:marBottom w:val="0"/>
      <w:divBdr>
        <w:top w:val="none" w:sz="0" w:space="0" w:color="auto"/>
        <w:left w:val="none" w:sz="0" w:space="0" w:color="auto"/>
        <w:bottom w:val="none" w:sz="0" w:space="0" w:color="auto"/>
        <w:right w:val="none" w:sz="0" w:space="0" w:color="auto"/>
      </w:divBdr>
    </w:div>
    <w:div w:id="1449738080">
      <w:bodyDiv w:val="1"/>
      <w:marLeft w:val="0"/>
      <w:marRight w:val="0"/>
      <w:marTop w:val="0"/>
      <w:marBottom w:val="0"/>
      <w:divBdr>
        <w:top w:val="none" w:sz="0" w:space="0" w:color="auto"/>
        <w:left w:val="none" w:sz="0" w:space="0" w:color="auto"/>
        <w:bottom w:val="none" w:sz="0" w:space="0" w:color="auto"/>
        <w:right w:val="none" w:sz="0" w:space="0" w:color="auto"/>
      </w:divBdr>
    </w:div>
    <w:div w:id="1465393858">
      <w:bodyDiv w:val="1"/>
      <w:marLeft w:val="0"/>
      <w:marRight w:val="0"/>
      <w:marTop w:val="0"/>
      <w:marBottom w:val="0"/>
      <w:divBdr>
        <w:top w:val="none" w:sz="0" w:space="0" w:color="auto"/>
        <w:left w:val="none" w:sz="0" w:space="0" w:color="auto"/>
        <w:bottom w:val="none" w:sz="0" w:space="0" w:color="auto"/>
        <w:right w:val="none" w:sz="0" w:space="0" w:color="auto"/>
      </w:divBdr>
    </w:div>
    <w:div w:id="1519587241">
      <w:bodyDiv w:val="1"/>
      <w:marLeft w:val="0"/>
      <w:marRight w:val="0"/>
      <w:marTop w:val="0"/>
      <w:marBottom w:val="0"/>
      <w:divBdr>
        <w:top w:val="none" w:sz="0" w:space="0" w:color="auto"/>
        <w:left w:val="none" w:sz="0" w:space="0" w:color="auto"/>
        <w:bottom w:val="none" w:sz="0" w:space="0" w:color="auto"/>
        <w:right w:val="none" w:sz="0" w:space="0" w:color="auto"/>
      </w:divBdr>
    </w:div>
    <w:div w:id="1523275988">
      <w:bodyDiv w:val="1"/>
      <w:marLeft w:val="0"/>
      <w:marRight w:val="0"/>
      <w:marTop w:val="0"/>
      <w:marBottom w:val="0"/>
      <w:divBdr>
        <w:top w:val="none" w:sz="0" w:space="0" w:color="auto"/>
        <w:left w:val="none" w:sz="0" w:space="0" w:color="auto"/>
        <w:bottom w:val="none" w:sz="0" w:space="0" w:color="auto"/>
        <w:right w:val="none" w:sz="0" w:space="0" w:color="auto"/>
      </w:divBdr>
    </w:div>
    <w:div w:id="1556966532">
      <w:bodyDiv w:val="1"/>
      <w:marLeft w:val="0"/>
      <w:marRight w:val="0"/>
      <w:marTop w:val="0"/>
      <w:marBottom w:val="0"/>
      <w:divBdr>
        <w:top w:val="none" w:sz="0" w:space="0" w:color="auto"/>
        <w:left w:val="none" w:sz="0" w:space="0" w:color="auto"/>
        <w:bottom w:val="none" w:sz="0" w:space="0" w:color="auto"/>
        <w:right w:val="none" w:sz="0" w:space="0" w:color="auto"/>
      </w:divBdr>
    </w:div>
    <w:div w:id="1576739552">
      <w:bodyDiv w:val="1"/>
      <w:marLeft w:val="0"/>
      <w:marRight w:val="0"/>
      <w:marTop w:val="0"/>
      <w:marBottom w:val="0"/>
      <w:divBdr>
        <w:top w:val="none" w:sz="0" w:space="0" w:color="auto"/>
        <w:left w:val="none" w:sz="0" w:space="0" w:color="auto"/>
        <w:bottom w:val="none" w:sz="0" w:space="0" w:color="auto"/>
        <w:right w:val="none" w:sz="0" w:space="0" w:color="auto"/>
      </w:divBdr>
    </w:div>
    <w:div w:id="1640960128">
      <w:bodyDiv w:val="1"/>
      <w:marLeft w:val="0"/>
      <w:marRight w:val="0"/>
      <w:marTop w:val="0"/>
      <w:marBottom w:val="0"/>
      <w:divBdr>
        <w:top w:val="none" w:sz="0" w:space="0" w:color="auto"/>
        <w:left w:val="none" w:sz="0" w:space="0" w:color="auto"/>
        <w:bottom w:val="none" w:sz="0" w:space="0" w:color="auto"/>
        <w:right w:val="none" w:sz="0" w:space="0" w:color="auto"/>
      </w:divBdr>
    </w:div>
    <w:div w:id="1736472099">
      <w:bodyDiv w:val="1"/>
      <w:marLeft w:val="0"/>
      <w:marRight w:val="0"/>
      <w:marTop w:val="0"/>
      <w:marBottom w:val="0"/>
      <w:divBdr>
        <w:top w:val="none" w:sz="0" w:space="0" w:color="auto"/>
        <w:left w:val="none" w:sz="0" w:space="0" w:color="auto"/>
        <w:bottom w:val="none" w:sz="0" w:space="0" w:color="auto"/>
        <w:right w:val="none" w:sz="0" w:space="0" w:color="auto"/>
      </w:divBdr>
    </w:div>
    <w:div w:id="1752582637">
      <w:bodyDiv w:val="1"/>
      <w:marLeft w:val="0"/>
      <w:marRight w:val="0"/>
      <w:marTop w:val="0"/>
      <w:marBottom w:val="0"/>
      <w:divBdr>
        <w:top w:val="none" w:sz="0" w:space="0" w:color="auto"/>
        <w:left w:val="none" w:sz="0" w:space="0" w:color="auto"/>
        <w:bottom w:val="none" w:sz="0" w:space="0" w:color="auto"/>
        <w:right w:val="none" w:sz="0" w:space="0" w:color="auto"/>
      </w:divBdr>
    </w:div>
    <w:div w:id="1775712461">
      <w:bodyDiv w:val="1"/>
      <w:marLeft w:val="0"/>
      <w:marRight w:val="0"/>
      <w:marTop w:val="0"/>
      <w:marBottom w:val="0"/>
      <w:divBdr>
        <w:top w:val="none" w:sz="0" w:space="0" w:color="auto"/>
        <w:left w:val="none" w:sz="0" w:space="0" w:color="auto"/>
        <w:bottom w:val="none" w:sz="0" w:space="0" w:color="auto"/>
        <w:right w:val="none" w:sz="0" w:space="0" w:color="auto"/>
      </w:divBdr>
    </w:div>
    <w:div w:id="1821458686">
      <w:bodyDiv w:val="1"/>
      <w:marLeft w:val="0"/>
      <w:marRight w:val="0"/>
      <w:marTop w:val="0"/>
      <w:marBottom w:val="0"/>
      <w:divBdr>
        <w:top w:val="none" w:sz="0" w:space="0" w:color="auto"/>
        <w:left w:val="none" w:sz="0" w:space="0" w:color="auto"/>
        <w:bottom w:val="none" w:sz="0" w:space="0" w:color="auto"/>
        <w:right w:val="none" w:sz="0" w:space="0" w:color="auto"/>
      </w:divBdr>
    </w:div>
    <w:div w:id="1911844698">
      <w:bodyDiv w:val="1"/>
      <w:marLeft w:val="0"/>
      <w:marRight w:val="0"/>
      <w:marTop w:val="0"/>
      <w:marBottom w:val="0"/>
      <w:divBdr>
        <w:top w:val="none" w:sz="0" w:space="0" w:color="auto"/>
        <w:left w:val="none" w:sz="0" w:space="0" w:color="auto"/>
        <w:bottom w:val="none" w:sz="0" w:space="0" w:color="auto"/>
        <w:right w:val="none" w:sz="0" w:space="0" w:color="auto"/>
      </w:divBdr>
    </w:div>
    <w:div w:id="1929189253">
      <w:bodyDiv w:val="1"/>
      <w:marLeft w:val="0"/>
      <w:marRight w:val="0"/>
      <w:marTop w:val="0"/>
      <w:marBottom w:val="0"/>
      <w:divBdr>
        <w:top w:val="none" w:sz="0" w:space="0" w:color="auto"/>
        <w:left w:val="none" w:sz="0" w:space="0" w:color="auto"/>
        <w:bottom w:val="none" w:sz="0" w:space="0" w:color="auto"/>
        <w:right w:val="none" w:sz="0" w:space="0" w:color="auto"/>
      </w:divBdr>
    </w:div>
    <w:div w:id="1999768656">
      <w:bodyDiv w:val="1"/>
      <w:marLeft w:val="0"/>
      <w:marRight w:val="0"/>
      <w:marTop w:val="0"/>
      <w:marBottom w:val="0"/>
      <w:divBdr>
        <w:top w:val="none" w:sz="0" w:space="0" w:color="auto"/>
        <w:left w:val="none" w:sz="0" w:space="0" w:color="auto"/>
        <w:bottom w:val="none" w:sz="0" w:space="0" w:color="auto"/>
        <w:right w:val="none" w:sz="0" w:space="0" w:color="auto"/>
      </w:divBdr>
    </w:div>
    <w:div w:id="2005039560">
      <w:bodyDiv w:val="1"/>
      <w:marLeft w:val="0"/>
      <w:marRight w:val="0"/>
      <w:marTop w:val="0"/>
      <w:marBottom w:val="0"/>
      <w:divBdr>
        <w:top w:val="none" w:sz="0" w:space="0" w:color="auto"/>
        <w:left w:val="none" w:sz="0" w:space="0" w:color="auto"/>
        <w:bottom w:val="none" w:sz="0" w:space="0" w:color="auto"/>
        <w:right w:val="none" w:sz="0" w:space="0" w:color="auto"/>
      </w:divBdr>
    </w:div>
    <w:div w:id="2062440967">
      <w:bodyDiv w:val="1"/>
      <w:marLeft w:val="0"/>
      <w:marRight w:val="0"/>
      <w:marTop w:val="0"/>
      <w:marBottom w:val="0"/>
      <w:divBdr>
        <w:top w:val="none" w:sz="0" w:space="0" w:color="auto"/>
        <w:left w:val="none" w:sz="0" w:space="0" w:color="auto"/>
        <w:bottom w:val="none" w:sz="0" w:space="0" w:color="auto"/>
        <w:right w:val="none" w:sz="0" w:space="0" w:color="auto"/>
      </w:divBdr>
    </w:div>
    <w:div w:id="2072146161">
      <w:bodyDiv w:val="1"/>
      <w:marLeft w:val="0"/>
      <w:marRight w:val="0"/>
      <w:marTop w:val="0"/>
      <w:marBottom w:val="0"/>
      <w:divBdr>
        <w:top w:val="none" w:sz="0" w:space="0" w:color="auto"/>
        <w:left w:val="none" w:sz="0" w:space="0" w:color="auto"/>
        <w:bottom w:val="none" w:sz="0" w:space="0" w:color="auto"/>
        <w:right w:val="none" w:sz="0" w:space="0" w:color="auto"/>
      </w:divBdr>
    </w:div>
    <w:div w:id="2078552652">
      <w:bodyDiv w:val="1"/>
      <w:marLeft w:val="0"/>
      <w:marRight w:val="0"/>
      <w:marTop w:val="0"/>
      <w:marBottom w:val="0"/>
      <w:divBdr>
        <w:top w:val="none" w:sz="0" w:space="0" w:color="auto"/>
        <w:left w:val="none" w:sz="0" w:space="0" w:color="auto"/>
        <w:bottom w:val="none" w:sz="0" w:space="0" w:color="auto"/>
        <w:right w:val="none" w:sz="0" w:space="0" w:color="auto"/>
      </w:divBdr>
      <w:divsChild>
        <w:div w:id="1512406735">
          <w:marLeft w:val="0"/>
          <w:marRight w:val="0"/>
          <w:marTop w:val="0"/>
          <w:marBottom w:val="0"/>
          <w:divBdr>
            <w:top w:val="none" w:sz="0" w:space="0" w:color="auto"/>
            <w:left w:val="none" w:sz="0" w:space="0" w:color="auto"/>
            <w:bottom w:val="none" w:sz="0" w:space="0" w:color="auto"/>
            <w:right w:val="none" w:sz="0" w:space="0" w:color="auto"/>
          </w:divBdr>
          <w:divsChild>
            <w:div w:id="1991667719">
              <w:marLeft w:val="0"/>
              <w:marRight w:val="0"/>
              <w:marTop w:val="0"/>
              <w:marBottom w:val="0"/>
              <w:divBdr>
                <w:top w:val="none" w:sz="0" w:space="0" w:color="auto"/>
                <w:left w:val="none" w:sz="0" w:space="0" w:color="auto"/>
                <w:bottom w:val="none" w:sz="0" w:space="0" w:color="auto"/>
                <w:right w:val="none" w:sz="0" w:space="0" w:color="auto"/>
              </w:divBdr>
              <w:divsChild>
                <w:div w:id="1413895954">
                  <w:marLeft w:val="0"/>
                  <w:marRight w:val="0"/>
                  <w:marTop w:val="0"/>
                  <w:marBottom w:val="0"/>
                  <w:divBdr>
                    <w:top w:val="none" w:sz="0" w:space="0" w:color="auto"/>
                    <w:left w:val="none" w:sz="0" w:space="0" w:color="auto"/>
                    <w:bottom w:val="none" w:sz="0" w:space="0" w:color="auto"/>
                    <w:right w:val="none" w:sz="0" w:space="0" w:color="auto"/>
                  </w:divBdr>
                  <w:divsChild>
                    <w:div w:id="87288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mfshare\MF\&#1044;&#1066;&#1056;&#1046;&#1040;&#1042;&#1053;&#1054;%20&#1057;&#1066;&#1050;&#1056;&#1054;&#1042;&#1048;&#1065;&#1045;\&#1050;&#1041;&#1055;&#1040;\public\&#1048;&#1085;&#1092;&#1086;&#1088;&#1084;&#1072;&#1094;&#1080;&#1086;&#1085;&#1077;&#1085;%20&#1073;&#1102;&#1083;&#1077;&#1090;&#1080;&#1085;\2024\December\&#1050;&#1060;&#1055;-12-2024.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mfshare\MF\&#1044;&#1066;&#1056;&#1046;&#1040;&#1042;&#1053;&#1054;%20&#1057;&#1066;&#1050;&#1056;&#1054;&#1042;&#1048;&#1065;&#1045;\&#1050;&#1041;&#1055;&#1040;\public\&#1048;&#1085;&#1092;&#1086;&#1088;&#1084;&#1072;&#1094;&#1080;&#1086;&#1085;&#1077;&#1085;%20&#1073;&#1102;&#1083;&#1077;&#1090;&#1080;&#1085;\2024\December\&#1050;&#1060;&#1055;-12-2024.xlsx" TargetMode="Externa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5.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pPr>
        <a:ln>
          <a:solidFill>
            <a:schemeClr val="tx1">
              <a:lumMod val="50000"/>
              <a:lumOff val="50000"/>
            </a:schemeClr>
          </a:solidFill>
        </a:ln>
      </c:spPr>
    </c:sideWall>
    <c:backWall>
      <c:thickness val="0"/>
      <c:spPr>
        <a:ln>
          <a:solidFill>
            <a:schemeClr val="tx1">
              <a:lumMod val="50000"/>
              <a:lumOff val="50000"/>
            </a:schemeClr>
          </a:solidFill>
        </a:ln>
      </c:spPr>
    </c:backWall>
    <c:plotArea>
      <c:layout>
        <c:manualLayout>
          <c:layoutTarget val="inner"/>
          <c:xMode val="edge"/>
          <c:yMode val="edge"/>
          <c:x val="0.36721062992125986"/>
          <c:y val="8.3333333333333329E-2"/>
          <c:w val="0.58851159230096239"/>
          <c:h val="0.83309419655876349"/>
        </c:manualLayout>
      </c:layout>
      <c:bar3DChart>
        <c:barDir val="bar"/>
        <c:grouping val="clustered"/>
        <c:varyColors val="0"/>
        <c:ser>
          <c:idx val="0"/>
          <c:order val="0"/>
          <c:tx>
            <c:strRef>
              <c:f>'КФП_ГРАФИКИ ПРИХОДИ И РАЗХОДИ'!$B$22</c:f>
              <c:strCache>
                <c:ptCount val="1"/>
                <c:pt idx="0">
                  <c:v>2023 г.</c:v>
                </c:pt>
              </c:strCache>
            </c:strRef>
          </c:tx>
          <c:spPr>
            <a:solidFill>
              <a:schemeClr val="accent2">
                <a:lumMod val="50000"/>
              </a:schemeClr>
            </a:solidFill>
          </c:spPr>
          <c:invertIfNegative val="0"/>
          <c:dLbls>
            <c:dLbl>
              <c:idx val="5"/>
              <c:layout>
                <c:manualLayout>
                  <c:x val="-3.888888888888889E-2"/>
                  <c:y val="3.7037037037037035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2FA4-434F-9C7C-4CF3712C0755}"/>
                </c:ext>
              </c:extLst>
            </c:dLbl>
            <c:spPr>
              <a:noFill/>
              <a:ln>
                <a:noFill/>
              </a:ln>
              <a:effectLst/>
            </c:spPr>
            <c:txPr>
              <a:bodyPr/>
              <a:lstStyle/>
              <a:p>
                <a:pPr>
                  <a:defRPr sz="800">
                    <a:latin typeface="Times New Roman" pitchFamily="18" charset="0"/>
                    <a:cs typeface="Times New Roman" pitchFamily="18" charset="0"/>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'КФП_ГРАФИКИ ПРИХОДИ И РАЗХОДИ'!$A$23:$A$28</c:f>
              <c:strCache>
                <c:ptCount val="6"/>
                <c:pt idx="0">
                  <c:v>Неданъчни приходи и помощи</c:v>
                </c:pt>
                <c:pt idx="1">
                  <c:v>Приходи от соц. и здр. вноски</c:v>
                </c:pt>
                <c:pt idx="2">
                  <c:v>Косвени данъци</c:v>
                </c:pt>
                <c:pt idx="3">
                  <c:v>Преки данъци*</c:v>
                </c:pt>
                <c:pt idx="4">
                  <c:v>Данъчни приходи</c:v>
                </c:pt>
                <c:pt idx="5">
                  <c:v>Общо приходи и помощи</c:v>
                </c:pt>
              </c:strCache>
            </c:strRef>
          </c:cat>
          <c:val>
            <c:numRef>
              <c:f>'КФП_ГРАФИКИ ПРИХОДИ И РАЗХОДИ'!$B$23:$B$28</c:f>
              <c:numCache>
                <c:formatCode>0.0%</c:formatCode>
                <c:ptCount val="6"/>
                <c:pt idx="0">
                  <c:v>7.9480973456791504E-2</c:v>
                </c:pt>
                <c:pt idx="1">
                  <c:v>8.4360629167110804E-2</c:v>
                </c:pt>
                <c:pt idx="2">
                  <c:v>0.12280478469478129</c:v>
                </c:pt>
                <c:pt idx="3">
                  <c:v>7.5281654081177596E-2</c:v>
                </c:pt>
                <c:pt idx="4">
                  <c:v>0.28244706794306967</c:v>
                </c:pt>
                <c:pt idx="5">
                  <c:v>0.36192804139986118</c:v>
                </c:pt>
              </c:numCache>
            </c:numRef>
          </c:val>
          <c:extLst>
            <c:ext xmlns:c16="http://schemas.microsoft.com/office/drawing/2014/chart" uri="{C3380CC4-5D6E-409C-BE32-E72D297353CC}">
              <c16:uniqueId val="{00000001-2FA4-434F-9C7C-4CF3712C0755}"/>
            </c:ext>
          </c:extLst>
        </c:ser>
        <c:ser>
          <c:idx val="1"/>
          <c:order val="1"/>
          <c:tx>
            <c:strRef>
              <c:f>'КФП_ГРАФИКИ ПРИХОДИ И РАЗХОДИ'!$C$22</c:f>
              <c:strCache>
                <c:ptCount val="1"/>
                <c:pt idx="0">
                  <c:v>2024 г.</c:v>
                </c:pt>
              </c:strCache>
            </c:strRef>
          </c:tx>
          <c:spPr>
            <a:pattFill prst="pct80">
              <a:fgClr>
                <a:srgbClr val="00B0F0"/>
              </a:fgClr>
              <a:bgClr>
                <a:schemeClr val="bg1"/>
              </a:bgClr>
            </a:pattFill>
          </c:spPr>
          <c:invertIfNegative val="0"/>
          <c:dLbls>
            <c:dLbl>
              <c:idx val="0"/>
              <c:layout>
                <c:manualLayout>
                  <c:x val="2.7777777777777779E-3"/>
                  <c:y val="-1.3888888888888805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2FA4-434F-9C7C-4CF3712C0755}"/>
                </c:ext>
              </c:extLst>
            </c:dLbl>
            <c:dLbl>
              <c:idx val="1"/>
              <c:layout>
                <c:manualLayout>
                  <c:x val="2.7777777777777779E-3"/>
                  <c:y val="-4.6296296296295444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2FA4-434F-9C7C-4CF3712C0755}"/>
                </c:ext>
              </c:extLst>
            </c:dLbl>
            <c:dLbl>
              <c:idx val="2"/>
              <c:layout>
                <c:manualLayout>
                  <c:x val="2.7777777777777779E-3"/>
                  <c:y val="-1.3888888888888888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2FA4-434F-9C7C-4CF3712C0755}"/>
                </c:ext>
              </c:extLst>
            </c:dLbl>
            <c:dLbl>
              <c:idx val="3"/>
              <c:layout>
                <c:manualLayout>
                  <c:x val="8.3333333333333332E-3"/>
                  <c:y val="-1.8518518518518563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2FA4-434F-9C7C-4CF3712C0755}"/>
                </c:ext>
              </c:extLst>
            </c:dLbl>
            <c:dLbl>
              <c:idx val="4"/>
              <c:layout>
                <c:manualLayout>
                  <c:x val="0"/>
                  <c:y val="-4.6296296296296294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2FA4-434F-9C7C-4CF3712C0755}"/>
                </c:ext>
              </c:extLst>
            </c:dLbl>
            <c:dLbl>
              <c:idx val="5"/>
              <c:layout>
                <c:manualLayout>
                  <c:x val="-8.3333333333334356E-3"/>
                  <c:y val="-3.7037037037037056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2FA4-434F-9C7C-4CF3712C0755}"/>
                </c:ext>
              </c:extLst>
            </c:dLbl>
            <c:spPr>
              <a:noFill/>
              <a:ln>
                <a:noFill/>
              </a:ln>
              <a:effectLst/>
            </c:spPr>
            <c:txPr>
              <a:bodyPr/>
              <a:lstStyle/>
              <a:p>
                <a:pPr>
                  <a:defRPr sz="800" baseline="0">
                    <a:latin typeface="Times New Roman" pitchFamily="18" charset="0"/>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'КФП_ГРАФИКИ ПРИХОДИ И РАЗХОДИ'!$A$23:$A$28</c:f>
              <c:strCache>
                <c:ptCount val="6"/>
                <c:pt idx="0">
                  <c:v>Неданъчни приходи и помощи</c:v>
                </c:pt>
                <c:pt idx="1">
                  <c:v>Приходи от соц. и здр. вноски</c:v>
                </c:pt>
                <c:pt idx="2">
                  <c:v>Косвени данъци</c:v>
                </c:pt>
                <c:pt idx="3">
                  <c:v>Преки данъци*</c:v>
                </c:pt>
                <c:pt idx="4">
                  <c:v>Данъчни приходи</c:v>
                </c:pt>
                <c:pt idx="5">
                  <c:v>Общо приходи и помощи</c:v>
                </c:pt>
              </c:strCache>
            </c:strRef>
          </c:cat>
          <c:val>
            <c:numRef>
              <c:f>'КФП_ГРАФИКИ ПРИХОДИ И РАЗХОДИ'!$C$23:$C$28</c:f>
              <c:numCache>
                <c:formatCode>0.0%</c:formatCode>
                <c:ptCount val="6"/>
                <c:pt idx="0">
                  <c:v>6.6009977323641458E-2</c:v>
                </c:pt>
                <c:pt idx="1">
                  <c:v>8.9434770158106594E-2</c:v>
                </c:pt>
                <c:pt idx="2">
                  <c:v>0.12849985724133353</c:v>
                </c:pt>
                <c:pt idx="3">
                  <c:v>7.3424765155568839E-2</c:v>
                </c:pt>
                <c:pt idx="4">
                  <c:v>0.29135939255500898</c:v>
                </c:pt>
                <c:pt idx="5">
                  <c:v>0.35736936987865042</c:v>
                </c:pt>
              </c:numCache>
            </c:numRef>
          </c:val>
          <c:extLst>
            <c:ext xmlns:c16="http://schemas.microsoft.com/office/drawing/2014/chart" uri="{C3380CC4-5D6E-409C-BE32-E72D297353CC}">
              <c16:uniqueId val="{00000008-2FA4-434F-9C7C-4CF3712C0755}"/>
            </c:ext>
          </c:extLst>
        </c:ser>
        <c:dLbls>
          <c:showLegendKey val="0"/>
          <c:showVal val="0"/>
          <c:showCatName val="0"/>
          <c:showSerName val="0"/>
          <c:showPercent val="0"/>
          <c:showBubbleSize val="0"/>
        </c:dLbls>
        <c:gapWidth val="150"/>
        <c:shape val="cylinder"/>
        <c:axId val="227619200"/>
        <c:axId val="227620736"/>
        <c:axId val="0"/>
      </c:bar3DChart>
      <c:catAx>
        <c:axId val="227619200"/>
        <c:scaling>
          <c:orientation val="minMax"/>
        </c:scaling>
        <c:delete val="0"/>
        <c:axPos val="l"/>
        <c:numFmt formatCode="General" sourceLinked="0"/>
        <c:majorTickMark val="out"/>
        <c:minorTickMark val="none"/>
        <c:tickLblPos val="nextTo"/>
        <c:txPr>
          <a:bodyPr/>
          <a:lstStyle/>
          <a:p>
            <a:pPr>
              <a:defRPr sz="900">
                <a:latin typeface="Times New Roman" pitchFamily="18" charset="0"/>
                <a:cs typeface="Times New Roman" pitchFamily="18" charset="0"/>
              </a:defRPr>
            </a:pPr>
            <a:endParaRPr lang="bg-BG"/>
          </a:p>
        </c:txPr>
        <c:crossAx val="227620736"/>
        <c:crossesAt val="0"/>
        <c:auto val="1"/>
        <c:lblAlgn val="ctr"/>
        <c:lblOffset val="100"/>
        <c:noMultiLvlLbl val="0"/>
      </c:catAx>
      <c:valAx>
        <c:axId val="227620736"/>
        <c:scaling>
          <c:orientation val="minMax"/>
          <c:max val="0.4"/>
        </c:scaling>
        <c:delete val="0"/>
        <c:axPos val="b"/>
        <c:majorGridlines>
          <c:spPr>
            <a:ln>
              <a:noFill/>
            </a:ln>
          </c:spPr>
        </c:majorGridlines>
        <c:numFmt formatCode="0.0%" sourceLinked="1"/>
        <c:majorTickMark val="out"/>
        <c:minorTickMark val="none"/>
        <c:tickLblPos val="nextTo"/>
        <c:txPr>
          <a:bodyPr/>
          <a:lstStyle/>
          <a:p>
            <a:pPr>
              <a:defRPr sz="800">
                <a:latin typeface="Times New Roman" panose="02020603050405020304" pitchFamily="18" charset="0"/>
                <a:cs typeface="Times New Roman" panose="02020603050405020304" pitchFamily="18" charset="0"/>
              </a:defRPr>
            </a:pPr>
            <a:endParaRPr lang="bg-BG"/>
          </a:p>
        </c:txPr>
        <c:crossAx val="227619200"/>
        <c:crosses val="autoZero"/>
        <c:crossBetween val="between"/>
      </c:valAx>
    </c:plotArea>
    <c:legend>
      <c:legendPos val="r"/>
      <c:layout>
        <c:manualLayout>
          <c:xMode val="edge"/>
          <c:yMode val="edge"/>
          <c:x val="1.7940069991251067E-2"/>
          <c:y val="0.90798556430446209"/>
          <c:w val="0.19039326334208226"/>
          <c:h val="9.1436278798483511E-2"/>
        </c:manualLayout>
      </c:layout>
      <c:overlay val="0"/>
      <c:txPr>
        <a:bodyPr/>
        <a:lstStyle/>
        <a:p>
          <a:pPr>
            <a:defRPr sz="800"/>
          </a:pPr>
          <a:endParaRPr lang="bg-BG"/>
        </a:p>
      </c:txPr>
    </c:legend>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90"/>
      <c:rAngAx val="1"/>
    </c:view3D>
    <c:floor>
      <c:thickness val="0"/>
    </c:floor>
    <c:sideWall>
      <c:thickness val="0"/>
      <c:spPr>
        <a:ln>
          <a:solidFill>
            <a:schemeClr val="tx1">
              <a:lumMod val="50000"/>
              <a:lumOff val="50000"/>
            </a:schemeClr>
          </a:solidFill>
        </a:ln>
      </c:spPr>
    </c:sideWall>
    <c:backWall>
      <c:thickness val="0"/>
      <c:spPr>
        <a:ln>
          <a:solidFill>
            <a:schemeClr val="tx1">
              <a:lumMod val="50000"/>
              <a:lumOff val="50000"/>
            </a:schemeClr>
          </a:solidFill>
        </a:ln>
      </c:spPr>
    </c:backWall>
    <c:plotArea>
      <c:layout>
        <c:manualLayout>
          <c:layoutTarget val="inner"/>
          <c:xMode val="edge"/>
          <c:yMode val="edge"/>
          <c:x val="0.354413584044182"/>
          <c:y val="9.409110151553636E-2"/>
          <c:w val="0.6045115288927646"/>
          <c:h val="0.83055739000366891"/>
        </c:manualLayout>
      </c:layout>
      <c:bar3DChart>
        <c:barDir val="bar"/>
        <c:grouping val="clustered"/>
        <c:varyColors val="0"/>
        <c:ser>
          <c:idx val="0"/>
          <c:order val="0"/>
          <c:tx>
            <c:strRef>
              <c:f>'КФП_ГРАФИКИ ПРИХОДИ И РАЗХОДИ'!$B$46</c:f>
              <c:strCache>
                <c:ptCount val="1"/>
                <c:pt idx="0">
                  <c:v>2023 г.</c:v>
                </c:pt>
              </c:strCache>
            </c:strRef>
          </c:tx>
          <c:spPr>
            <a:solidFill>
              <a:schemeClr val="accent2">
                <a:lumMod val="50000"/>
              </a:schemeClr>
            </a:solidFill>
          </c:spPr>
          <c:invertIfNegative val="0"/>
          <c:dLbls>
            <c:dLbl>
              <c:idx val="0"/>
              <c:layout>
                <c:manualLayout>
                  <c:x val="6.510416666666667E-3"/>
                  <c:y val="-3.5842293906810036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BF7D-401F-BE26-3BB4BEBDBF63}"/>
                </c:ext>
              </c:extLst>
            </c:dLbl>
            <c:dLbl>
              <c:idx val="7"/>
              <c:layout>
                <c:manualLayout>
                  <c:x val="6.5189605205599301E-3"/>
                  <c:y val="-3.5159314763073641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BF7D-401F-BE26-3BB4BEBDBF63}"/>
                </c:ext>
              </c:extLst>
            </c:dLbl>
            <c:dLbl>
              <c:idx val="8"/>
              <c:layout>
                <c:manualLayout>
                  <c:x val="-3.6892361111111112E-2"/>
                  <c:y val="3.2258064516129031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BF7D-401F-BE26-3BB4BEBDBF63}"/>
                </c:ext>
              </c:extLst>
            </c:dLbl>
            <c:spPr>
              <a:noFill/>
              <a:ln>
                <a:noFill/>
              </a:ln>
              <a:effectLst/>
            </c:spPr>
            <c:txPr>
              <a:bodyPr/>
              <a:lstStyle/>
              <a:p>
                <a:pPr>
                  <a:defRPr sz="850" b="0" i="0" u="none" strike="noStrike" baseline="0">
                    <a:solidFill>
                      <a:srgbClr val="000000"/>
                    </a:solidFill>
                    <a:latin typeface="Times New Roman"/>
                    <a:ea typeface="Times New Roman"/>
                    <a:cs typeface="Times New Roman"/>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'КФП_ГРАФИКИ ПРИХОДИ И РАЗХОДИ'!$A$47:$A$55</c:f>
              <c:strCache>
                <c:ptCount val="9"/>
                <c:pt idx="0">
                  <c:v>Предост. тек. и капит. трансфери за чужбина</c:v>
                </c:pt>
                <c:pt idx="1">
                  <c:v>Капиталови разходи*</c:v>
                </c:pt>
                <c:pt idx="2">
                  <c:v>Субсидии</c:v>
                </c:pt>
                <c:pt idx="3">
                  <c:v>Социални разходи, стипендии</c:v>
                </c:pt>
                <c:pt idx="4">
                  <c:v>Лихвени разходи</c:v>
                </c:pt>
                <c:pt idx="5">
                  <c:v>Издръжка</c:v>
                </c:pt>
                <c:pt idx="6">
                  <c:v>Разходи за персонал</c:v>
                </c:pt>
                <c:pt idx="7">
                  <c:v>Вноска в бюджета на ЕС</c:v>
                </c:pt>
                <c:pt idx="8">
                  <c:v>Общо разходи и вноска в бюджета на ЕС</c:v>
                </c:pt>
              </c:strCache>
            </c:strRef>
          </c:cat>
          <c:val>
            <c:numRef>
              <c:f>'КФП_ГРАФИКИ ПРИХОДИ И РАЗХОДИ'!$B$47:$B$55</c:f>
              <c:numCache>
                <c:formatCode>0.0%</c:formatCode>
                <c:ptCount val="9"/>
                <c:pt idx="0" formatCode="0.00%">
                  <c:v>3.4814478700701044E-4</c:v>
                </c:pt>
                <c:pt idx="1">
                  <c:v>4.9674078927453909E-2</c:v>
                </c:pt>
                <c:pt idx="2">
                  <c:v>3.3364929605632657E-2</c:v>
                </c:pt>
                <c:pt idx="3">
                  <c:v>0.16242521428579723</c:v>
                </c:pt>
                <c:pt idx="4">
                  <c:v>4.485427452919237E-3</c:v>
                </c:pt>
                <c:pt idx="5">
                  <c:v>3.8973095940013372E-2</c:v>
                </c:pt>
                <c:pt idx="6">
                  <c:v>9.3000303688599351E-2</c:v>
                </c:pt>
                <c:pt idx="7">
                  <c:v>9.986705945589841E-3</c:v>
                </c:pt>
                <c:pt idx="8">
                  <c:v>0.39225790063301263</c:v>
                </c:pt>
              </c:numCache>
            </c:numRef>
          </c:val>
          <c:extLst>
            <c:ext xmlns:c16="http://schemas.microsoft.com/office/drawing/2014/chart" uri="{C3380CC4-5D6E-409C-BE32-E72D297353CC}">
              <c16:uniqueId val="{00000003-BF7D-401F-BE26-3BB4BEBDBF63}"/>
            </c:ext>
          </c:extLst>
        </c:ser>
        <c:ser>
          <c:idx val="1"/>
          <c:order val="1"/>
          <c:tx>
            <c:strRef>
              <c:f>'КФП_ГРАФИКИ ПРИХОДИ И РАЗХОДИ'!$C$46</c:f>
              <c:strCache>
                <c:ptCount val="1"/>
                <c:pt idx="0">
                  <c:v>2024 г.</c:v>
                </c:pt>
              </c:strCache>
            </c:strRef>
          </c:tx>
          <c:spPr>
            <a:pattFill prst="trellis">
              <a:fgClr>
                <a:srgbClr val="00B0F0"/>
              </a:fgClr>
              <a:bgClr>
                <a:schemeClr val="bg1"/>
              </a:bgClr>
            </a:pattFill>
            <a:ln>
              <a:solidFill>
                <a:schemeClr val="tx1">
                  <a:tint val="75000"/>
                  <a:shade val="95000"/>
                  <a:satMod val="105000"/>
                </a:schemeClr>
              </a:solidFill>
            </a:ln>
          </c:spPr>
          <c:invertIfNegative val="0"/>
          <c:dLbls>
            <c:dLbl>
              <c:idx val="0"/>
              <c:layout>
                <c:manualLayout>
                  <c:x val="8.6805555555555559E-3"/>
                  <c:y val="-1.4336917562724014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BF7D-401F-BE26-3BB4BEBDBF63}"/>
                </c:ext>
              </c:extLst>
            </c:dLbl>
            <c:dLbl>
              <c:idx val="1"/>
              <c:layout>
                <c:manualLayout>
                  <c:x val="8.6805555555555559E-3"/>
                  <c:y val="-1.4336917562724014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BF7D-401F-BE26-3BB4BEBDBF63}"/>
                </c:ext>
              </c:extLst>
            </c:dLbl>
            <c:dLbl>
              <c:idx val="2"/>
              <c:layout>
                <c:manualLayout>
                  <c:x val="6.510416666666667E-3"/>
                  <c:y val="-1.0752688172043012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BF7D-401F-BE26-3BB4BEBDBF63}"/>
                </c:ext>
              </c:extLst>
            </c:dLbl>
            <c:dLbl>
              <c:idx val="3"/>
              <c:layout>
                <c:manualLayout>
                  <c:x val="2.1701388888889683E-3"/>
                  <c:y val="-1.7921146953405083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BF7D-401F-BE26-3BB4BEBDBF63}"/>
                </c:ext>
              </c:extLst>
            </c:dLbl>
            <c:dLbl>
              <c:idx val="4"/>
              <c:layout>
                <c:manualLayout>
                  <c:x val="4.340277777777778E-3"/>
                  <c:y val="-1.4336917562724014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8-BF7D-401F-BE26-3BB4BEBDBF63}"/>
                </c:ext>
              </c:extLst>
            </c:dLbl>
            <c:dLbl>
              <c:idx val="5"/>
              <c:layout>
                <c:manualLayout>
                  <c:x val="4.340277777777778E-3"/>
                  <c:y val="-1.4336917562724014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9-BF7D-401F-BE26-3BB4BEBDBF63}"/>
                </c:ext>
              </c:extLst>
            </c:dLbl>
            <c:dLbl>
              <c:idx val="6"/>
              <c:layout>
                <c:manualLayout>
                  <c:x val="4.340277777777778E-3"/>
                  <c:y val="-1.4336917562724014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A-BF7D-401F-BE26-3BB4BEBDBF63}"/>
                </c:ext>
              </c:extLst>
            </c:dLbl>
            <c:dLbl>
              <c:idx val="7"/>
              <c:layout>
                <c:manualLayout>
                  <c:x val="2.170138888888889E-3"/>
                  <c:y val="-1.4336917562724014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B-BF7D-401F-BE26-3BB4BEBDBF63}"/>
                </c:ext>
              </c:extLst>
            </c:dLbl>
            <c:dLbl>
              <c:idx val="8"/>
              <c:layout>
                <c:manualLayout>
                  <c:x val="-1.3309152491995744E-2"/>
                  <c:y val="-3.6517991161647924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C-BF7D-401F-BE26-3BB4BEBDBF63}"/>
                </c:ext>
              </c:extLst>
            </c:dLbl>
            <c:spPr>
              <a:noFill/>
              <a:ln>
                <a:noFill/>
              </a:ln>
              <a:effectLst/>
            </c:spPr>
            <c:txPr>
              <a:bodyPr/>
              <a:lstStyle/>
              <a:p>
                <a:pPr>
                  <a:defRPr sz="850" b="0" i="0" u="none" strike="noStrike" baseline="0">
                    <a:solidFill>
                      <a:srgbClr val="000000"/>
                    </a:solidFill>
                    <a:latin typeface="Times New Roman"/>
                    <a:ea typeface="Times New Roman"/>
                    <a:cs typeface="Times New Roman"/>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'КФП_ГРАФИКИ ПРИХОДИ И РАЗХОДИ'!$A$47:$A$55</c:f>
              <c:strCache>
                <c:ptCount val="9"/>
                <c:pt idx="0">
                  <c:v>Предост. тек. и капит. трансфери за чужбина</c:v>
                </c:pt>
                <c:pt idx="1">
                  <c:v>Капиталови разходи*</c:v>
                </c:pt>
                <c:pt idx="2">
                  <c:v>Субсидии</c:v>
                </c:pt>
                <c:pt idx="3">
                  <c:v>Социални разходи, стипендии</c:v>
                </c:pt>
                <c:pt idx="4">
                  <c:v>Лихвени разходи</c:v>
                </c:pt>
                <c:pt idx="5">
                  <c:v>Издръжка</c:v>
                </c:pt>
                <c:pt idx="6">
                  <c:v>Разходи за персонал</c:v>
                </c:pt>
                <c:pt idx="7">
                  <c:v>Вноска в бюджета на ЕС</c:v>
                </c:pt>
                <c:pt idx="8">
                  <c:v>Общо разходи и вноска в бюджета на ЕС</c:v>
                </c:pt>
              </c:strCache>
            </c:strRef>
          </c:cat>
          <c:val>
            <c:numRef>
              <c:f>'КФП_ГРАФИКИ ПРИХОДИ И РАЗХОДИ'!$C$47:$C$55</c:f>
              <c:numCache>
                <c:formatCode>0.0%</c:formatCode>
                <c:ptCount val="9"/>
                <c:pt idx="0" formatCode="0.00%">
                  <c:v>2.4125544216119997E-4</c:v>
                </c:pt>
                <c:pt idx="1">
                  <c:v>3.3742465351636323E-2</c:v>
                </c:pt>
                <c:pt idx="2">
                  <c:v>3.0351504398744743E-2</c:v>
                </c:pt>
                <c:pt idx="3">
                  <c:v>0.17281288106272027</c:v>
                </c:pt>
                <c:pt idx="4">
                  <c:v>5.009917840762745E-3</c:v>
                </c:pt>
                <c:pt idx="5">
                  <c:v>3.7325802503168283E-2</c:v>
                </c:pt>
                <c:pt idx="6">
                  <c:v>0.10044917249031858</c:v>
                </c:pt>
                <c:pt idx="7">
                  <c:v>7.9026606042610827E-3</c:v>
                </c:pt>
                <c:pt idx="8">
                  <c:v>0.38783565969377332</c:v>
                </c:pt>
              </c:numCache>
            </c:numRef>
          </c:val>
          <c:extLst>
            <c:ext xmlns:c16="http://schemas.microsoft.com/office/drawing/2014/chart" uri="{C3380CC4-5D6E-409C-BE32-E72D297353CC}">
              <c16:uniqueId val="{0000000D-BF7D-401F-BE26-3BB4BEBDBF63}"/>
            </c:ext>
          </c:extLst>
        </c:ser>
        <c:dLbls>
          <c:showLegendKey val="0"/>
          <c:showVal val="0"/>
          <c:showCatName val="0"/>
          <c:showSerName val="0"/>
          <c:showPercent val="0"/>
          <c:showBubbleSize val="0"/>
        </c:dLbls>
        <c:gapWidth val="150"/>
        <c:shape val="cylinder"/>
        <c:axId val="227657216"/>
        <c:axId val="227658752"/>
        <c:axId val="0"/>
      </c:bar3DChart>
      <c:catAx>
        <c:axId val="227657216"/>
        <c:scaling>
          <c:orientation val="minMax"/>
        </c:scaling>
        <c:delete val="0"/>
        <c:axPos val="l"/>
        <c:numFmt formatCode="General" sourceLinked="1"/>
        <c:majorTickMark val="none"/>
        <c:minorTickMark val="none"/>
        <c:tickLblPos val="nextTo"/>
        <c:txPr>
          <a:bodyPr rot="0" vert="horz"/>
          <a:lstStyle/>
          <a:p>
            <a:pPr>
              <a:defRPr sz="830" b="0" i="0" u="none" strike="noStrike" baseline="0">
                <a:solidFill>
                  <a:srgbClr val="000000"/>
                </a:solidFill>
                <a:latin typeface="Times New Roman"/>
                <a:ea typeface="Times New Roman"/>
                <a:cs typeface="Times New Roman"/>
              </a:defRPr>
            </a:pPr>
            <a:endParaRPr lang="bg-BG"/>
          </a:p>
        </c:txPr>
        <c:crossAx val="227658752"/>
        <c:crosses val="autoZero"/>
        <c:auto val="1"/>
        <c:lblAlgn val="ctr"/>
        <c:lblOffset val="100"/>
        <c:noMultiLvlLbl val="0"/>
      </c:catAx>
      <c:valAx>
        <c:axId val="227658752"/>
        <c:scaling>
          <c:orientation val="minMax"/>
        </c:scaling>
        <c:delete val="0"/>
        <c:axPos val="b"/>
        <c:majorGridlines>
          <c:spPr>
            <a:ln>
              <a:noFill/>
            </a:ln>
          </c:spPr>
        </c:majorGridlines>
        <c:numFmt formatCode="0.0%" sourceLinked="0"/>
        <c:majorTickMark val="none"/>
        <c:minorTickMark val="none"/>
        <c:tickLblPos val="nextTo"/>
        <c:txPr>
          <a:bodyPr rot="0" vert="horz"/>
          <a:lstStyle/>
          <a:p>
            <a:pPr>
              <a:defRPr sz="800" b="0" i="0" u="none" strike="noStrike" baseline="0">
                <a:solidFill>
                  <a:srgbClr val="000000"/>
                </a:solidFill>
                <a:latin typeface="Times New Roman"/>
                <a:ea typeface="Times New Roman"/>
                <a:cs typeface="Times New Roman"/>
              </a:defRPr>
            </a:pPr>
            <a:endParaRPr lang="bg-BG"/>
          </a:p>
        </c:txPr>
        <c:crossAx val="227657216"/>
        <c:crosses val="autoZero"/>
        <c:crossBetween val="between"/>
      </c:valAx>
    </c:plotArea>
    <c:legend>
      <c:legendPos val="r"/>
      <c:layout>
        <c:manualLayout>
          <c:xMode val="edge"/>
          <c:yMode val="edge"/>
          <c:x val="8.2465277777777797E-3"/>
          <c:y val="0.94842547907318042"/>
          <c:w val="0.17954430500874891"/>
          <c:h val="5.1574520926819634E-2"/>
        </c:manualLayout>
      </c:layout>
      <c:overlay val="0"/>
      <c:txPr>
        <a:bodyPr/>
        <a:lstStyle/>
        <a:p>
          <a:pPr>
            <a:defRPr sz="710" b="0" i="0" u="none" strike="noStrike" baseline="0">
              <a:solidFill>
                <a:srgbClr val="000000"/>
              </a:solidFill>
              <a:latin typeface="Times New Roman"/>
              <a:ea typeface="Times New Roman"/>
              <a:cs typeface="Times New Roman"/>
            </a:defRPr>
          </a:pPr>
          <a:endParaRPr lang="bg-BG"/>
        </a:p>
      </c:txPr>
    </c:legend>
    <c:plotVisOnly val="1"/>
    <c:dispBlanksAs val="gap"/>
    <c:showDLblsOverMax val="0"/>
  </c:chart>
  <c:spPr>
    <a:ln>
      <a:solidFill>
        <a:schemeClr val="bg1">
          <a:lumMod val="50000"/>
        </a:schemeClr>
      </a:solidFill>
      <a:prstDash val="solid"/>
    </a:ln>
  </c:spPr>
  <c:txPr>
    <a:bodyPr/>
    <a:lstStyle/>
    <a:p>
      <a:pPr>
        <a:defRPr sz="1000" b="0" i="0" u="none" strike="noStrike" baseline="0">
          <a:solidFill>
            <a:srgbClr val="000000"/>
          </a:solidFill>
          <a:latin typeface="Times New Roman"/>
          <a:ea typeface="Times New Roman"/>
          <a:cs typeface="Times New Roman"/>
        </a:defRPr>
      </a:pPr>
      <a:endParaRPr lang="bg-BG"/>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b="0" i="0" u="none" strike="noStrike" baseline="0">
                <a:solidFill>
                  <a:srgbClr val="000000"/>
                </a:solidFill>
                <a:latin typeface="Arial"/>
                <a:ea typeface="Arial"/>
                <a:cs typeface="Arial"/>
              </a:defRPr>
            </a:pPr>
            <a:r>
              <a:rPr lang="en-US" sz="1000" b="1" i="0" u="none" strike="noStrike" baseline="0">
                <a:solidFill>
                  <a:srgbClr val="000000"/>
                </a:solidFill>
                <a:latin typeface="Times New Roman"/>
                <a:cs typeface="Times New Roman"/>
              </a:rPr>
              <a:t>Приходи</a:t>
            </a:r>
            <a:r>
              <a:rPr lang="bg-BG" sz="1000" b="1" i="0" u="none" strike="noStrike" baseline="0">
                <a:solidFill>
                  <a:srgbClr val="000000"/>
                </a:solidFill>
                <a:latin typeface="Times New Roman"/>
                <a:cs typeface="Times New Roman"/>
              </a:rPr>
              <a:t>, </a:t>
            </a:r>
            <a:r>
              <a:rPr lang="en-US" sz="1000" b="1" i="0" u="none" strike="noStrike" baseline="0">
                <a:solidFill>
                  <a:srgbClr val="000000"/>
                </a:solidFill>
                <a:latin typeface="Times New Roman"/>
                <a:cs typeface="Times New Roman"/>
              </a:rPr>
              <a:t>помощи </a:t>
            </a:r>
            <a:r>
              <a:rPr lang="bg-BG" sz="1000" b="1" i="0" u="none" strike="noStrike" baseline="0">
                <a:solidFill>
                  <a:srgbClr val="000000"/>
                </a:solidFill>
                <a:latin typeface="Times New Roman"/>
                <a:cs typeface="Times New Roman"/>
              </a:rPr>
              <a:t>и дарения </a:t>
            </a:r>
            <a:r>
              <a:rPr lang="en-US" sz="1000" b="1" i="0" u="none" strike="noStrike" baseline="0">
                <a:solidFill>
                  <a:srgbClr val="000000"/>
                </a:solidFill>
                <a:latin typeface="Times New Roman"/>
                <a:cs typeface="Times New Roman"/>
              </a:rPr>
              <a:t>по консолидираната фискална програма</a:t>
            </a:r>
          </a:p>
          <a:p>
            <a:pPr>
              <a:defRPr sz="1200" b="0" i="0" u="none" strike="noStrike" baseline="0">
                <a:solidFill>
                  <a:srgbClr val="000000"/>
                </a:solidFill>
                <a:latin typeface="Arial"/>
                <a:ea typeface="Arial"/>
                <a:cs typeface="Arial"/>
              </a:defRPr>
            </a:pPr>
            <a:r>
              <a:rPr lang="en-US" sz="1000" b="1" i="0" u="none" strike="noStrike" baseline="0">
                <a:solidFill>
                  <a:srgbClr val="000000"/>
                </a:solidFill>
                <a:latin typeface="Times New Roman"/>
                <a:cs typeface="Times New Roman"/>
              </a:rPr>
              <a:t> </a:t>
            </a:r>
            <a:r>
              <a:rPr lang="bg-BG" sz="1000" b="1" i="0" u="none" strike="noStrike" baseline="0">
                <a:solidFill>
                  <a:srgbClr val="000000"/>
                </a:solidFill>
                <a:latin typeface="Times New Roman"/>
                <a:cs typeface="Times New Roman"/>
              </a:rPr>
              <a:t>към </a:t>
            </a:r>
            <a:r>
              <a:rPr lang="bg-BG" sz="1000" b="1" i="0" u="none" strike="noStrike" kern="1200" baseline="0">
                <a:solidFill>
                  <a:srgbClr val="000000"/>
                </a:solidFill>
                <a:latin typeface="Times New Roman"/>
                <a:cs typeface="Times New Roman"/>
              </a:rPr>
              <a:t>декември</a:t>
            </a:r>
            <a:r>
              <a:rPr lang="bg-BG" sz="1000" b="1" i="0" u="none" strike="noStrike" baseline="0">
                <a:solidFill>
                  <a:srgbClr val="000000"/>
                </a:solidFill>
                <a:latin typeface="Times New Roman"/>
                <a:cs typeface="Times New Roman"/>
              </a:rPr>
              <a:t> </a:t>
            </a:r>
            <a:r>
              <a:rPr lang="bg-BG" sz="1000" b="1" i="0" u="none" strike="noStrike" kern="1200" baseline="0">
                <a:solidFill>
                  <a:srgbClr val="000000"/>
                </a:solidFill>
                <a:latin typeface="Times New Roman"/>
                <a:cs typeface="Times New Roman"/>
              </a:rPr>
              <a:t>2023</a:t>
            </a:r>
            <a:r>
              <a:rPr lang="bg-BG" sz="1000" b="1" i="0" u="none" strike="noStrike" baseline="0">
                <a:solidFill>
                  <a:srgbClr val="000000"/>
                </a:solidFill>
                <a:latin typeface="Times New Roman"/>
                <a:cs typeface="Times New Roman"/>
              </a:rPr>
              <a:t> </a:t>
            </a:r>
            <a:r>
              <a:rPr lang="en-US" sz="1000" b="1" i="0" u="none" strike="noStrike" baseline="0">
                <a:solidFill>
                  <a:srgbClr val="000000"/>
                </a:solidFill>
                <a:latin typeface="Times New Roman"/>
                <a:cs typeface="Times New Roman"/>
              </a:rPr>
              <a:t>г. и </a:t>
            </a:r>
            <a:r>
              <a:rPr lang="en-US" sz="1000" b="1" i="0" u="none" strike="noStrike" kern="1200" baseline="0">
                <a:solidFill>
                  <a:srgbClr val="000000"/>
                </a:solidFill>
                <a:latin typeface="Times New Roman"/>
                <a:cs typeface="Times New Roman"/>
              </a:rPr>
              <a:t>2024</a:t>
            </a:r>
            <a:r>
              <a:rPr lang="en-US" sz="1000" b="1" i="0" u="none" strike="noStrike" baseline="0">
                <a:solidFill>
                  <a:srgbClr val="000000"/>
                </a:solidFill>
                <a:latin typeface="Times New Roman"/>
                <a:cs typeface="Times New Roman"/>
              </a:rPr>
              <a:t> г.</a:t>
            </a:r>
          </a:p>
        </c:rich>
      </c:tx>
      <c:layout>
        <c:manualLayout>
          <c:xMode val="edge"/>
          <c:yMode val="edge"/>
          <c:x val="0.20118264226098204"/>
          <c:y val="1.05446002923104E-3"/>
        </c:manualLayout>
      </c:layout>
      <c:overlay val="0"/>
      <c:spPr>
        <a:noFill/>
        <a:ln w="25398">
          <a:noFill/>
        </a:ln>
      </c:spPr>
    </c:title>
    <c:autoTitleDeleted val="0"/>
    <c:view3D>
      <c:rotX val="24"/>
      <c:rotY val="40"/>
      <c:depthPercent val="100"/>
      <c:rAngAx val="1"/>
    </c:view3D>
    <c:floor>
      <c:thickness val="0"/>
      <c:spPr>
        <a:solidFill>
          <a:srgbClr val="C0C0C0"/>
        </a:solidFill>
        <a:ln w="3175">
          <a:solidFill>
            <a:srgbClr val="000000"/>
          </a:solidFill>
          <a:prstDash val="solid"/>
        </a:ln>
      </c:spPr>
    </c:floor>
    <c:sideWall>
      <c:thickness val="0"/>
      <c:spPr>
        <a:gradFill rotWithShape="0">
          <a:gsLst>
            <a:gs pos="0">
              <a:schemeClr val="bg1"/>
            </a:gs>
            <a:gs pos="100000">
              <a:srgbClr val="000000">
                <a:gamma/>
                <a:shade val="46275"/>
                <a:invGamma/>
              </a:srgbClr>
            </a:gs>
          </a:gsLst>
          <a:lin ang="5400000" scaled="1"/>
        </a:gradFill>
        <a:ln w="3175">
          <a:solidFill>
            <a:srgbClr val="FFFFFF"/>
          </a:solidFill>
          <a:prstDash val="solid"/>
        </a:ln>
      </c:spPr>
    </c:sideWall>
    <c:backWall>
      <c:thickness val="0"/>
      <c:spPr>
        <a:gradFill rotWithShape="0">
          <a:gsLst>
            <a:gs pos="0">
              <a:schemeClr val="bg1"/>
            </a:gs>
            <a:gs pos="100000">
              <a:srgbClr val="000000">
                <a:gamma/>
                <a:shade val="46275"/>
                <a:invGamma/>
              </a:srgbClr>
            </a:gs>
          </a:gsLst>
          <a:lin ang="5400000" scaled="1"/>
        </a:gradFill>
        <a:ln w="3175">
          <a:solidFill>
            <a:srgbClr val="FFFFFF"/>
          </a:solidFill>
          <a:prstDash val="solid"/>
        </a:ln>
      </c:spPr>
    </c:backWall>
    <c:plotArea>
      <c:layout>
        <c:manualLayout>
          <c:layoutTarget val="inner"/>
          <c:xMode val="edge"/>
          <c:yMode val="edge"/>
          <c:x val="0.25095340355182877"/>
          <c:y val="0.14577781142741791"/>
          <c:w val="0.69015203420858928"/>
          <c:h val="0.70997457994915991"/>
        </c:manualLayout>
      </c:layout>
      <c:bar3DChart>
        <c:barDir val="bar"/>
        <c:grouping val="clustered"/>
        <c:varyColors val="0"/>
        <c:ser>
          <c:idx val="1"/>
          <c:order val="0"/>
          <c:tx>
            <c:strRef>
              <c:f>data!$C$1</c:f>
              <c:strCache>
                <c:ptCount val="1"/>
                <c:pt idx="0">
                  <c:v> декември 2024 г.</c:v>
                </c:pt>
              </c:strCache>
            </c:strRef>
          </c:tx>
          <c:spPr>
            <a:pattFill prst="pct80">
              <a:fgClr>
                <a:srgbClr val="C0C0C0"/>
              </a:fgClr>
              <a:bgClr>
                <a:srgbClr val="993366"/>
              </a:bgClr>
            </a:pattFill>
            <a:ln w="12699">
              <a:solidFill>
                <a:srgbClr val="000000"/>
              </a:solidFill>
              <a:prstDash val="solid"/>
            </a:ln>
          </c:spPr>
          <c:invertIfNegative val="0"/>
          <c:dLbls>
            <c:dLbl>
              <c:idx val="0"/>
              <c:layout>
                <c:manualLayout>
                  <c:x val="4.0443808160343575E-3"/>
                  <c:y val="3.5398736495147447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BA67-4DC2-9DD0-3163BE4075A7}"/>
                </c:ext>
              </c:extLst>
            </c:dLbl>
            <c:dLbl>
              <c:idx val="1"/>
              <c:layout>
                <c:manualLayout>
                  <c:x val="4.5585447652376834E-3"/>
                  <c:y val="-1.145814258682781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BA67-4DC2-9DD0-3163BE4075A7}"/>
                </c:ext>
              </c:extLst>
            </c:dLbl>
            <c:dLbl>
              <c:idx val="2"/>
              <c:layout>
                <c:manualLayout>
                  <c:x val="1.2604221002343161E-2"/>
                  <c:y val="2.6671666041745297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BA67-4DC2-9DD0-3163BE4075A7}"/>
                </c:ext>
              </c:extLst>
            </c:dLbl>
            <c:dLbl>
              <c:idx val="3"/>
              <c:layout>
                <c:manualLayout>
                  <c:x val="6.0304690174597742E-3"/>
                  <c:y val="2.8071289475911794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BA67-4DC2-9DD0-3163BE4075A7}"/>
                </c:ext>
              </c:extLst>
            </c:dLbl>
            <c:dLbl>
              <c:idx val="4"/>
              <c:layout>
                <c:manualLayout>
                  <c:x val="2.3125925238610349E-2"/>
                  <c:y val="-1.808589241836576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A67-4DC2-9DD0-3163BE4075A7}"/>
                </c:ext>
              </c:extLst>
            </c:dLbl>
            <c:dLbl>
              <c:idx val="5"/>
              <c:layout>
                <c:manualLayout>
                  <c:xMode val="edge"/>
                  <c:yMode val="edge"/>
                  <c:x val="0.86038349087668353"/>
                  <c:y val="1.3043502490371705E-2"/>
                </c:manualLayout>
              </c:layout>
              <c:spPr>
                <a:solidFill>
                  <a:srgbClr val="FFFFFF"/>
                </a:solidFill>
                <a:ln w="25398">
                  <a:noFill/>
                </a:ln>
              </c:spPr>
              <c:txPr>
                <a:bodyPr/>
                <a:lstStyle/>
                <a:p>
                  <a:pPr>
                    <a:defRPr sz="800" b="0" i="0" u="none" strike="noStrike" baseline="0">
                      <a:solidFill>
                        <a:srgbClr val="000000"/>
                      </a:solidFill>
                      <a:latin typeface="Times New Roman"/>
                      <a:ea typeface="Times New Roman"/>
                      <a:cs typeface="Times New Roman"/>
                    </a:defRPr>
                  </a:pPr>
                  <a:endParaRPr lang="bg-BG"/>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A67-4DC2-9DD0-3163BE4075A7}"/>
                </c:ext>
              </c:extLst>
            </c:dLbl>
            <c:dLbl>
              <c:idx val="6"/>
              <c:layout>
                <c:manualLayout>
                  <c:xMode val="edge"/>
                  <c:yMode val="edge"/>
                  <c:x val="0.86038349087668353"/>
                  <c:y val="1.3043502490371705E-2"/>
                </c:manualLayout>
              </c:layout>
              <c:spPr>
                <a:solidFill>
                  <a:srgbClr val="FFFFFF"/>
                </a:solidFill>
                <a:ln w="25398">
                  <a:noFill/>
                </a:ln>
              </c:spPr>
              <c:txPr>
                <a:bodyPr/>
                <a:lstStyle/>
                <a:p>
                  <a:pPr>
                    <a:defRPr sz="800" b="0" i="0" u="none" strike="noStrike" baseline="0">
                      <a:solidFill>
                        <a:srgbClr val="000000"/>
                      </a:solidFill>
                      <a:latin typeface="Times New Roman"/>
                      <a:ea typeface="Times New Roman"/>
                      <a:cs typeface="Times New Roman"/>
                    </a:defRPr>
                  </a:pPr>
                  <a:endParaRPr lang="bg-BG"/>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A67-4DC2-9DD0-3163BE4075A7}"/>
                </c:ext>
              </c:extLst>
            </c:dLbl>
            <c:spPr>
              <a:solidFill>
                <a:srgbClr val="FFFFFF"/>
              </a:solidFill>
              <a:ln w="25398">
                <a:noFill/>
              </a:ln>
            </c:spPr>
            <c:txPr>
              <a:bodyPr/>
              <a:lstStyle/>
              <a:p>
                <a:pPr>
                  <a:defRPr sz="800" b="1" i="0" u="none" strike="noStrike" baseline="0">
                    <a:solidFill>
                      <a:srgbClr val="000000"/>
                    </a:solidFill>
                    <a:latin typeface="Times New Roman"/>
                    <a:ea typeface="Times New Roman"/>
                    <a:cs typeface="Times New Roman"/>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data!$A$3:$A$6</c:f>
              <c:strCache>
                <c:ptCount val="4"/>
                <c:pt idx="0">
                  <c:v>Общо приходи, помощи и дарения</c:v>
                </c:pt>
                <c:pt idx="1">
                  <c:v>Данъчни приходи</c:v>
                </c:pt>
                <c:pt idx="2">
                  <c:v>Неданъчни приходи</c:v>
                </c:pt>
                <c:pt idx="3">
                  <c:v>Помощи и дарения</c:v>
                </c:pt>
              </c:strCache>
            </c:strRef>
          </c:cat>
          <c:val>
            <c:numRef>
              <c:f>data!$C$3:$C$6</c:f>
              <c:numCache>
                <c:formatCode>#,#00.0</c:formatCode>
                <c:ptCount val="4"/>
                <c:pt idx="0">
                  <c:v>71999.187709999998</c:v>
                </c:pt>
                <c:pt idx="1">
                  <c:v>58700.161188999999</c:v>
                </c:pt>
                <c:pt idx="2">
                  <c:v>9667.4120270000003</c:v>
                </c:pt>
                <c:pt idx="3">
                  <c:v>3631.6144939999999</c:v>
                </c:pt>
              </c:numCache>
            </c:numRef>
          </c:val>
          <c:extLst>
            <c:ext xmlns:c16="http://schemas.microsoft.com/office/drawing/2014/chart" uri="{C3380CC4-5D6E-409C-BE32-E72D297353CC}">
              <c16:uniqueId val="{00000007-BA67-4DC2-9DD0-3163BE4075A7}"/>
            </c:ext>
          </c:extLst>
        </c:ser>
        <c:ser>
          <c:idx val="0"/>
          <c:order val="1"/>
          <c:tx>
            <c:strRef>
              <c:f>data!$B$1</c:f>
              <c:strCache>
                <c:ptCount val="1"/>
                <c:pt idx="0">
                  <c:v> декември 2023 г.</c:v>
                </c:pt>
              </c:strCache>
            </c:strRef>
          </c:tx>
          <c:spPr>
            <a:pattFill prst="pct80">
              <a:fgClr>
                <a:srgbClr val="000000"/>
              </a:fgClr>
              <a:bgClr>
                <a:sysClr val="window" lastClr="FFFFFF"/>
              </a:bgClr>
            </a:pattFill>
            <a:ln w="12699">
              <a:solidFill>
                <a:srgbClr val="000000"/>
              </a:solidFill>
              <a:prstDash val="solid"/>
            </a:ln>
          </c:spPr>
          <c:invertIfNegative val="0"/>
          <c:dLbls>
            <c:dLbl>
              <c:idx val="0"/>
              <c:layout>
                <c:manualLayout>
                  <c:x val="1.2627753917124E-2"/>
                  <c:y val="-1.9986800341818222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8-BA67-4DC2-9DD0-3163BE4075A7}"/>
                </c:ext>
              </c:extLst>
            </c:dLbl>
            <c:dLbl>
              <c:idx val="1"/>
              <c:layout>
                <c:manualLayout>
                  <c:x val="1.1606385376070541E-2"/>
                  <c:y val="-3.3535906122200095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9-BA67-4DC2-9DD0-3163BE4075A7}"/>
                </c:ext>
              </c:extLst>
            </c:dLbl>
            <c:dLbl>
              <c:idx val="2"/>
              <c:layout>
                <c:manualLayout>
                  <c:x val="9.1593598118849696E-3"/>
                  <c:y val="-3.1370721516953602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A-BA67-4DC2-9DD0-3163BE4075A7}"/>
                </c:ext>
              </c:extLst>
            </c:dLbl>
            <c:dLbl>
              <c:idx val="3"/>
              <c:layout>
                <c:manualLayout>
                  <c:x val="8.213454296473811E-3"/>
                  <c:y val="-2.6497332994665966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B-BA67-4DC2-9DD0-3163BE4075A7}"/>
                </c:ext>
              </c:extLst>
            </c:dLbl>
            <c:dLbl>
              <c:idx val="4"/>
              <c:layout>
                <c:manualLayout>
                  <c:x val="8.090605209302942E-3"/>
                  <c:y val="-1.23665134476867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BA67-4DC2-9DD0-3163BE4075A7}"/>
                </c:ext>
              </c:extLst>
            </c:dLbl>
            <c:dLbl>
              <c:idx val="5"/>
              <c:layout>
                <c:manualLayout>
                  <c:xMode val="edge"/>
                  <c:yMode val="edge"/>
                  <c:x val="0.86038349087668353"/>
                  <c:y val="1.3043502490371705E-2"/>
                </c:manualLayout>
              </c:layout>
              <c:spPr>
                <a:solidFill>
                  <a:srgbClr val="FFFFFF"/>
                </a:solidFill>
                <a:ln w="25398">
                  <a:noFill/>
                </a:ln>
              </c:spPr>
              <c:txPr>
                <a:bodyPr/>
                <a:lstStyle/>
                <a:p>
                  <a:pPr>
                    <a:defRPr sz="800" b="0" i="0" u="none" strike="noStrike" baseline="0">
                      <a:solidFill>
                        <a:srgbClr val="000000"/>
                      </a:solidFill>
                      <a:latin typeface="Times New Roman"/>
                      <a:ea typeface="Times New Roman"/>
                      <a:cs typeface="Times New Roman"/>
                    </a:defRPr>
                  </a:pPr>
                  <a:endParaRPr lang="bg-BG"/>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BA67-4DC2-9DD0-3163BE4075A7}"/>
                </c:ext>
              </c:extLst>
            </c:dLbl>
            <c:dLbl>
              <c:idx val="6"/>
              <c:layout>
                <c:manualLayout>
                  <c:xMode val="edge"/>
                  <c:yMode val="edge"/>
                  <c:x val="7.1599180932872524E-3"/>
                  <c:y val="1.3043502490371705E-2"/>
                </c:manualLayout>
              </c:layout>
              <c:spPr>
                <a:solidFill>
                  <a:srgbClr val="FFFFFF"/>
                </a:solidFill>
                <a:ln w="25398">
                  <a:noFill/>
                </a:ln>
              </c:spPr>
              <c:txPr>
                <a:bodyPr/>
                <a:lstStyle/>
                <a:p>
                  <a:pPr>
                    <a:defRPr sz="800" b="0" i="0" u="none" strike="noStrike" baseline="0">
                      <a:solidFill>
                        <a:srgbClr val="000000"/>
                      </a:solidFill>
                      <a:latin typeface="Times New Roman"/>
                      <a:ea typeface="Times New Roman"/>
                      <a:cs typeface="Times New Roman"/>
                    </a:defRPr>
                  </a:pPr>
                  <a:endParaRPr lang="bg-BG"/>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BA67-4DC2-9DD0-3163BE4075A7}"/>
                </c:ext>
              </c:extLst>
            </c:dLbl>
            <c:spPr>
              <a:solidFill>
                <a:srgbClr val="FFFFFF"/>
              </a:solidFill>
              <a:ln w="25398">
                <a:noFill/>
              </a:ln>
            </c:spPr>
            <c:txPr>
              <a:bodyPr/>
              <a:lstStyle/>
              <a:p>
                <a:pPr>
                  <a:defRPr sz="800" b="1" i="0" u="none" strike="noStrike" baseline="0">
                    <a:solidFill>
                      <a:srgbClr val="000000"/>
                    </a:solidFill>
                    <a:latin typeface="Times New Roman"/>
                    <a:ea typeface="Times New Roman"/>
                    <a:cs typeface="Times New Roman"/>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data!$A$3:$A$6</c:f>
              <c:strCache>
                <c:ptCount val="4"/>
                <c:pt idx="0">
                  <c:v>Общо приходи, помощи и дарения</c:v>
                </c:pt>
                <c:pt idx="1">
                  <c:v>Данъчни приходи</c:v>
                </c:pt>
                <c:pt idx="2">
                  <c:v>Неданъчни приходи</c:v>
                </c:pt>
                <c:pt idx="3">
                  <c:v>Помощи и дарения</c:v>
                </c:pt>
              </c:strCache>
            </c:strRef>
          </c:cat>
          <c:val>
            <c:numRef>
              <c:f>data!$B$3:$B$6</c:f>
              <c:numCache>
                <c:formatCode>#,#00.0</c:formatCode>
                <c:ptCount val="4"/>
                <c:pt idx="0">
                  <c:v>67040.819042000003</c:v>
                </c:pt>
                <c:pt idx="1">
                  <c:v>52318.377965000007</c:v>
                </c:pt>
                <c:pt idx="2">
                  <c:v>10891.786685000001</c:v>
                </c:pt>
                <c:pt idx="3">
                  <c:v>3830.6543920000008</c:v>
                </c:pt>
              </c:numCache>
            </c:numRef>
          </c:val>
          <c:extLst>
            <c:ext xmlns:c16="http://schemas.microsoft.com/office/drawing/2014/chart" uri="{C3380CC4-5D6E-409C-BE32-E72D297353CC}">
              <c16:uniqueId val="{0000000F-BA67-4DC2-9DD0-3163BE4075A7}"/>
            </c:ext>
          </c:extLst>
        </c:ser>
        <c:dLbls>
          <c:showLegendKey val="0"/>
          <c:showVal val="0"/>
          <c:showCatName val="0"/>
          <c:showSerName val="0"/>
          <c:showPercent val="0"/>
          <c:showBubbleSize val="0"/>
        </c:dLbls>
        <c:gapWidth val="150"/>
        <c:gapDepth val="273"/>
        <c:shape val="cylinder"/>
        <c:axId val="227857920"/>
        <c:axId val="227859456"/>
        <c:axId val="0"/>
      </c:bar3DChart>
      <c:catAx>
        <c:axId val="227857920"/>
        <c:scaling>
          <c:orientation val="minMax"/>
        </c:scaling>
        <c:delete val="0"/>
        <c:axPos val="l"/>
        <c:numFmt formatCode="General" sourceLinked="1"/>
        <c:majorTickMark val="out"/>
        <c:minorTickMark val="none"/>
        <c:tickLblPos val="low"/>
        <c:spPr>
          <a:ln w="9524">
            <a:noFill/>
          </a:ln>
        </c:spPr>
        <c:txPr>
          <a:bodyPr rot="0" vert="horz"/>
          <a:lstStyle/>
          <a:p>
            <a:pPr>
              <a:defRPr sz="900" b="0" i="0" u="none" strike="noStrike" baseline="0">
                <a:solidFill>
                  <a:srgbClr val="000000"/>
                </a:solidFill>
                <a:latin typeface="Times New Roman"/>
                <a:ea typeface="Times New Roman"/>
                <a:cs typeface="Times New Roman"/>
              </a:defRPr>
            </a:pPr>
            <a:endParaRPr lang="bg-BG"/>
          </a:p>
        </c:txPr>
        <c:crossAx val="227859456"/>
        <c:crosses val="autoZero"/>
        <c:auto val="1"/>
        <c:lblAlgn val="ctr"/>
        <c:lblOffset val="100"/>
        <c:noMultiLvlLbl val="0"/>
      </c:catAx>
      <c:valAx>
        <c:axId val="227859456"/>
        <c:scaling>
          <c:orientation val="minMax"/>
        </c:scaling>
        <c:delete val="0"/>
        <c:axPos val="b"/>
        <c:majorGridlines>
          <c:spPr>
            <a:ln w="3175">
              <a:solidFill>
                <a:srgbClr val="000000"/>
              </a:solidFill>
              <a:prstDash val="solid"/>
            </a:ln>
          </c:spPr>
        </c:majorGridlines>
        <c:title>
          <c:tx>
            <c:rich>
              <a:bodyPr/>
              <a:lstStyle/>
              <a:p>
                <a:pPr>
                  <a:defRPr sz="900" b="1" i="0" u="none" strike="noStrike" baseline="0">
                    <a:solidFill>
                      <a:srgbClr val="000000"/>
                    </a:solidFill>
                    <a:latin typeface="Times New Roman"/>
                    <a:ea typeface="Times New Roman"/>
                    <a:cs typeface="Times New Roman"/>
                  </a:defRPr>
                </a:pPr>
                <a:r>
                  <a:rPr lang="bg-BG"/>
                  <a:t>млн. лв.</a:t>
                </a:r>
              </a:p>
            </c:rich>
          </c:tx>
          <c:layout>
            <c:manualLayout>
              <c:xMode val="edge"/>
              <c:yMode val="edge"/>
              <c:x val="0.91324272509414584"/>
              <c:y val="0.92457285581237825"/>
            </c:manualLayout>
          </c:layout>
          <c:overlay val="0"/>
          <c:spPr>
            <a:noFill/>
            <a:ln w="25398">
              <a:noFill/>
            </a:ln>
          </c:spPr>
        </c:title>
        <c:numFmt formatCode="General" sourceLinked="0"/>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bg-BG"/>
          </a:p>
        </c:txPr>
        <c:crossAx val="227857920"/>
        <c:crosses val="autoZero"/>
        <c:crossBetween val="between"/>
      </c:valAx>
      <c:spPr>
        <a:noFill/>
        <a:ln>
          <a:noFill/>
        </a:ln>
      </c:spPr>
    </c:plotArea>
    <c:legend>
      <c:legendPos val="r"/>
      <c:layout>
        <c:manualLayout>
          <c:xMode val="edge"/>
          <c:yMode val="edge"/>
          <c:x val="6.9073947278329327E-3"/>
          <c:y val="0.87270298873931074"/>
          <c:w val="0.14668503937007876"/>
          <c:h val="0.12342223351113368"/>
        </c:manualLayout>
      </c:layout>
      <c:overlay val="0"/>
      <c:spPr>
        <a:solidFill>
          <a:srgbClr val="FFFFFF"/>
        </a:solidFill>
        <a:ln w="3175">
          <a:solidFill>
            <a:srgbClr val="000000"/>
          </a:solidFill>
          <a:prstDash val="solid"/>
        </a:ln>
      </c:spPr>
      <c:txPr>
        <a:bodyPr/>
        <a:lstStyle/>
        <a:p>
          <a:pPr>
            <a:defRPr sz="690" b="1" i="0" u="none" strike="noStrike" baseline="0">
              <a:solidFill>
                <a:srgbClr val="000000"/>
              </a:solidFill>
              <a:latin typeface="Times New Roman"/>
              <a:ea typeface="Times New Roman"/>
              <a:cs typeface="Times New Roman"/>
            </a:defRPr>
          </a:pPr>
          <a:endParaRPr lang="bg-BG"/>
        </a:p>
      </c:txPr>
    </c:legend>
    <c:plotVisOnly val="1"/>
    <c:dispBlanksAs val="gap"/>
    <c:showDLblsOverMax val="0"/>
  </c:chart>
  <c:spPr>
    <a:solidFill>
      <a:srgbClr val="FFFFFF"/>
    </a:solidFill>
    <a:ln w="3175">
      <a:solidFill>
        <a:srgbClr val="000000"/>
      </a:solidFill>
      <a:prstDash val="solid"/>
    </a:ln>
  </c:spPr>
  <c:txPr>
    <a:bodyPr/>
    <a:lstStyle/>
    <a:p>
      <a:pPr>
        <a:defRPr sz="1200" b="0" i="0" u="none" strike="noStrike" baseline="0">
          <a:solidFill>
            <a:srgbClr val="000000"/>
          </a:solidFill>
          <a:latin typeface="Arial"/>
          <a:ea typeface="Arial"/>
          <a:cs typeface="Arial"/>
        </a:defRPr>
      </a:pPr>
      <a:endParaRPr lang="bg-BG"/>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b="1" i="0" u="none" strike="noStrike" baseline="0">
                <a:solidFill>
                  <a:srgbClr val="000000"/>
                </a:solidFill>
                <a:latin typeface="Times New Roman"/>
                <a:ea typeface="Times New Roman"/>
                <a:cs typeface="Times New Roman"/>
              </a:defRPr>
            </a:pPr>
            <a:r>
              <a:rPr lang="bg-BG" sz="1000"/>
              <a:t>Разходи по консолидираната фискална програма </a:t>
            </a:r>
            <a:r>
              <a:rPr lang="bg-BG" sz="1000" b="1" i="0" u="none" strike="noStrike" kern="1200" baseline="0">
                <a:solidFill>
                  <a:srgbClr val="000000"/>
                </a:solidFill>
                <a:latin typeface="Times New Roman"/>
                <a:cs typeface="Times New Roman"/>
              </a:rPr>
              <a:t>към декември 2023 </a:t>
            </a:r>
            <a:r>
              <a:rPr lang="bg-BG" sz="1000"/>
              <a:t>г. и </a:t>
            </a:r>
            <a:r>
              <a:rPr lang="bg-BG" sz="1000" b="1" i="0" u="none" strike="noStrike" kern="1200" baseline="0">
                <a:solidFill>
                  <a:srgbClr val="000000"/>
                </a:solidFill>
                <a:latin typeface="Times New Roman"/>
                <a:cs typeface="Times New Roman"/>
              </a:rPr>
              <a:t>2024</a:t>
            </a:r>
            <a:r>
              <a:rPr lang="bg-BG" sz="1000"/>
              <a:t> г.</a:t>
            </a:r>
          </a:p>
        </c:rich>
      </c:tx>
      <c:layout>
        <c:manualLayout>
          <c:xMode val="edge"/>
          <c:yMode val="edge"/>
          <c:x val="0.16410406246389012"/>
          <c:y val="3.585301837270342E-3"/>
        </c:manualLayout>
      </c:layout>
      <c:overlay val="0"/>
      <c:spPr>
        <a:noFill/>
        <a:ln w="25399">
          <a:noFill/>
        </a:ln>
      </c:spPr>
    </c:title>
    <c:autoTitleDeleted val="0"/>
    <c:view3D>
      <c:rotX val="30"/>
      <c:hPercent val="41"/>
      <c:rotY val="40"/>
      <c:depthPercent val="100"/>
      <c:rAngAx val="1"/>
    </c:view3D>
    <c:floor>
      <c:thickness val="0"/>
      <c:spPr>
        <a:gradFill>
          <a:gsLst>
            <a:gs pos="0">
              <a:sysClr val="window" lastClr="FFFFFF"/>
            </a:gs>
            <a:gs pos="92000">
              <a:sysClr val="window" lastClr="FFFFFF">
                <a:lumMod val="50000"/>
              </a:sysClr>
            </a:gs>
          </a:gsLst>
          <a:lin ang="2700000" scaled="1"/>
        </a:gradFill>
        <a:ln w="3175">
          <a:solidFill>
            <a:srgbClr val="000000"/>
          </a:solidFill>
          <a:prstDash val="solid"/>
        </a:ln>
      </c:spPr>
    </c:floor>
    <c:sideWall>
      <c:thickness val="0"/>
      <c:spPr>
        <a:gradFill>
          <a:gsLst>
            <a:gs pos="0">
              <a:sysClr val="window" lastClr="FFFFFF">
                <a:alpha val="24000"/>
                <a:lumMod val="50000"/>
                <a:lumOff val="50000"/>
              </a:sysClr>
            </a:gs>
            <a:gs pos="100000">
              <a:sysClr val="window" lastClr="FFFFFF">
                <a:lumMod val="50000"/>
              </a:sysClr>
            </a:gs>
          </a:gsLst>
          <a:lin ang="2700000" scaled="1"/>
        </a:gradFill>
        <a:ln w="3175">
          <a:solidFill>
            <a:srgbClr val="FFFFFF"/>
          </a:solidFill>
          <a:prstDash val="solid"/>
        </a:ln>
      </c:spPr>
    </c:sideWall>
    <c:backWall>
      <c:thickness val="0"/>
      <c:spPr>
        <a:gradFill>
          <a:gsLst>
            <a:gs pos="0">
              <a:sysClr val="window" lastClr="FFFFFF">
                <a:alpha val="24000"/>
                <a:lumMod val="50000"/>
                <a:lumOff val="50000"/>
              </a:sysClr>
            </a:gs>
            <a:gs pos="100000">
              <a:sysClr val="window" lastClr="FFFFFF">
                <a:lumMod val="50000"/>
              </a:sysClr>
            </a:gs>
          </a:gsLst>
          <a:lin ang="2700000" scaled="1"/>
        </a:gradFill>
        <a:ln w="3175">
          <a:solidFill>
            <a:srgbClr val="FFFFFF"/>
          </a:solidFill>
          <a:prstDash val="solid"/>
        </a:ln>
      </c:spPr>
    </c:backWall>
    <c:plotArea>
      <c:layout>
        <c:manualLayout>
          <c:layoutTarget val="inner"/>
          <c:xMode val="edge"/>
          <c:yMode val="edge"/>
          <c:x val="0.11039325374101672"/>
          <c:y val="0.12191676040494938"/>
          <c:w val="0.88751398999653341"/>
          <c:h val="0.62436895388076485"/>
        </c:manualLayout>
      </c:layout>
      <c:bar3DChart>
        <c:barDir val="col"/>
        <c:grouping val="clustered"/>
        <c:varyColors val="0"/>
        <c:ser>
          <c:idx val="0"/>
          <c:order val="0"/>
          <c:tx>
            <c:strRef>
              <c:f>data!$B$1</c:f>
              <c:strCache>
                <c:ptCount val="1"/>
                <c:pt idx="0">
                  <c:v>декември 2023 г.</c:v>
                </c:pt>
              </c:strCache>
            </c:strRef>
          </c:tx>
          <c:spPr>
            <a:pattFill prst="pct5">
              <a:fgClr>
                <a:srgbClr val="000000"/>
              </a:fgClr>
              <a:bgClr>
                <a:sysClr val="windowText" lastClr="000000">
                  <a:lumMod val="65000"/>
                  <a:lumOff val="35000"/>
                </a:sysClr>
              </a:bgClr>
            </a:pattFill>
            <a:ln w="12700">
              <a:solidFill>
                <a:srgbClr val="000000"/>
              </a:solidFill>
              <a:prstDash val="solid"/>
            </a:ln>
          </c:spPr>
          <c:invertIfNegative val="0"/>
          <c:dLbls>
            <c:dLbl>
              <c:idx val="0"/>
              <c:layout>
                <c:manualLayout>
                  <c:x val="7.3754921259844451E-3"/>
                  <c:y val="0.1778318516637033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0C61-445C-BB6F-A08F75CB85B1}"/>
                </c:ext>
              </c:extLst>
            </c:dLbl>
            <c:dLbl>
              <c:idx val="1"/>
              <c:layout>
                <c:manualLayout>
                  <c:x val="6.1202427821523912E-3"/>
                  <c:y val="0.163771060875455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0C61-445C-BB6F-A08F75CB85B1}"/>
                </c:ext>
              </c:extLst>
            </c:dLbl>
            <c:dLbl>
              <c:idx val="2"/>
              <c:layout>
                <c:manualLayout>
                  <c:x val="2.7818241469817085E-3"/>
                  <c:y val="-3.3319109304885269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0C61-445C-BB6F-A08F75CB85B1}"/>
                </c:ext>
              </c:extLst>
            </c:dLbl>
            <c:dLbl>
              <c:idx val="3"/>
              <c:layout>
                <c:manualLayout>
                  <c:x val="1.0317257217847769E-2"/>
                  <c:y val="-2.069223605113877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0C61-445C-BB6F-A08F75CB85B1}"/>
                </c:ext>
              </c:extLst>
            </c:dLbl>
            <c:dLbl>
              <c:idx val="4"/>
              <c:layout>
                <c:manualLayout>
                  <c:x val="1.6023129921259843E-2"/>
                  <c:y val="-3.3547709762086188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0C61-445C-BB6F-A08F75CB85B1}"/>
                </c:ext>
              </c:extLst>
            </c:dLbl>
            <c:dLbl>
              <c:idx val="5"/>
              <c:layout>
                <c:manualLayout>
                  <c:x val="1.8415952722890771E-2"/>
                  <c:y val="-2.6383174251759681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0C61-445C-BB6F-A08F75CB85B1}"/>
                </c:ext>
              </c:extLst>
            </c:dLbl>
            <c:dLbl>
              <c:idx val="6"/>
              <c:layout>
                <c:manualLayout>
                  <c:xMode val="edge"/>
                  <c:yMode val="edge"/>
                  <c:x val="0"/>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C61-445C-BB6F-A08F75CB85B1}"/>
                </c:ext>
              </c:extLst>
            </c:dLbl>
            <c:spPr>
              <a:solidFill>
                <a:srgbClr val="FFFFFF"/>
              </a:solidFill>
              <a:ln w="25400">
                <a:noFill/>
              </a:ln>
            </c:spPr>
            <c:txPr>
              <a:bodyPr rot="-5400000" vert="horz"/>
              <a:lstStyle/>
              <a:p>
                <a:pPr algn="ctr">
                  <a:defRPr sz="800" b="1" i="0" u="none" strike="noStrike" baseline="0">
                    <a:solidFill>
                      <a:srgbClr val="000000"/>
                    </a:solidFill>
                    <a:latin typeface="Times New Roman"/>
                    <a:ea typeface="Times New Roman"/>
                    <a:cs typeface="Times New Roman"/>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data!$A$3:$A$8</c:f>
              <c:strCache>
                <c:ptCount val="6"/>
                <c:pt idx="0">
                  <c:v>Общо разходи</c:v>
                </c:pt>
                <c:pt idx="1">
                  <c:v>Текущи нелихв. разходи</c:v>
                </c:pt>
                <c:pt idx="2">
                  <c:v>Предост. тек.
и капит. трансф. за чужбина</c:v>
                </c:pt>
                <c:pt idx="3">
                  <c:v>Капиталови разходи*</c:v>
                </c:pt>
                <c:pt idx="4">
                  <c:v>Лихви</c:v>
                </c:pt>
                <c:pt idx="5">
                  <c:v>Вноска в бюджета на  ЕС</c:v>
                </c:pt>
              </c:strCache>
            </c:strRef>
          </c:cat>
          <c:val>
            <c:numRef>
              <c:f>data!$B$3:$B$8</c:f>
              <c:numCache>
                <c:formatCode>#,##0.0</c:formatCode>
                <c:ptCount val="6"/>
                <c:pt idx="0">
                  <c:v>72658.894705999992</c:v>
                </c:pt>
                <c:pt idx="1">
                  <c:v>60712.409666</c:v>
                </c:pt>
                <c:pt idx="2">
                  <c:v>64.487730999999997</c:v>
                </c:pt>
                <c:pt idx="3">
                  <c:v>9201.2877960000005</c:v>
                </c:pt>
                <c:pt idx="4">
                  <c:v>830.84695500000009</c:v>
                </c:pt>
                <c:pt idx="5">
                  <c:v>1849.862558</c:v>
                </c:pt>
              </c:numCache>
            </c:numRef>
          </c:val>
          <c:extLst>
            <c:ext xmlns:c16="http://schemas.microsoft.com/office/drawing/2014/chart" uri="{C3380CC4-5D6E-409C-BE32-E72D297353CC}">
              <c16:uniqueId val="{00000007-0C61-445C-BB6F-A08F75CB85B1}"/>
            </c:ext>
          </c:extLst>
        </c:ser>
        <c:ser>
          <c:idx val="1"/>
          <c:order val="1"/>
          <c:tx>
            <c:strRef>
              <c:f>data!$C$1</c:f>
              <c:strCache>
                <c:ptCount val="1"/>
                <c:pt idx="0">
                  <c:v>декември 2024 г.</c:v>
                </c:pt>
              </c:strCache>
            </c:strRef>
          </c:tx>
          <c:spPr>
            <a:pattFill prst="pct80">
              <a:fgClr>
                <a:srgbClr val="C0C0C0"/>
              </a:fgClr>
              <a:bgClr>
                <a:sysClr val="windowText" lastClr="000000">
                  <a:lumMod val="65000"/>
                  <a:lumOff val="35000"/>
                </a:sysClr>
              </a:bgClr>
            </a:pattFill>
            <a:ln w="12700">
              <a:solidFill>
                <a:srgbClr val="000000"/>
              </a:solidFill>
              <a:prstDash val="solid"/>
            </a:ln>
          </c:spPr>
          <c:invertIfNegative val="0"/>
          <c:dLbls>
            <c:dLbl>
              <c:idx val="0"/>
              <c:layout>
                <c:manualLayout>
                  <c:x val="9.3784974991333626E-3"/>
                  <c:y val="0.17701415230072981"/>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8-0C61-445C-BB6F-A08F75CB85B1}"/>
                </c:ext>
              </c:extLst>
            </c:dLbl>
            <c:dLbl>
              <c:idx val="1"/>
              <c:layout>
                <c:manualLayout>
                  <c:x val="9.8586969081694981E-3"/>
                  <c:y val="0.17572675508584681"/>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9-0C61-445C-BB6F-A08F75CB85B1}"/>
                </c:ext>
              </c:extLst>
            </c:dLbl>
            <c:dLbl>
              <c:idx val="2"/>
              <c:layout>
                <c:manualLayout>
                  <c:x val="1.3761646981627297E-2"/>
                  <c:y val="-2.7850309033951401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A-0C61-445C-BB6F-A08F75CB85B1}"/>
                </c:ext>
              </c:extLst>
            </c:dLbl>
            <c:dLbl>
              <c:idx val="3"/>
              <c:layout>
                <c:manualLayout>
                  <c:x val="1.1285428944023429E-2"/>
                  <c:y val="-1.8377202849643795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B-0C61-445C-BB6F-A08F75CB85B1}"/>
                </c:ext>
              </c:extLst>
            </c:dLbl>
            <c:dLbl>
              <c:idx val="4"/>
              <c:layout>
                <c:manualLayout>
                  <c:x val="2.7460301837270402E-2"/>
                  <c:y val="-4.7906189145712104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C-0C61-445C-BB6F-A08F75CB85B1}"/>
                </c:ext>
              </c:extLst>
            </c:dLbl>
            <c:dLbl>
              <c:idx val="5"/>
              <c:layout>
                <c:manualLayout>
                  <c:x val="3.0156260750382247E-2"/>
                  <c:y val="-2.819112637512159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D-0C61-445C-BB6F-A08F75CB85B1}"/>
                </c:ext>
              </c:extLst>
            </c:dLbl>
            <c:dLbl>
              <c:idx val="6"/>
              <c:layout>
                <c:manualLayout>
                  <c:xMode val="edge"/>
                  <c:yMode val="edge"/>
                  <c:x val="0.9300813008130081"/>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0C61-445C-BB6F-A08F75CB85B1}"/>
                </c:ext>
              </c:extLst>
            </c:dLbl>
            <c:spPr>
              <a:solidFill>
                <a:srgbClr val="FFFFFF"/>
              </a:solidFill>
              <a:ln w="25400">
                <a:noFill/>
              </a:ln>
            </c:spPr>
            <c:txPr>
              <a:bodyPr rot="-5400000" vert="horz"/>
              <a:lstStyle/>
              <a:p>
                <a:pPr algn="ctr">
                  <a:defRPr sz="800" b="1" i="0" u="none" strike="noStrike" baseline="0">
                    <a:solidFill>
                      <a:srgbClr val="000000"/>
                    </a:solidFill>
                    <a:latin typeface="Times New Roman"/>
                    <a:ea typeface="Times New Roman"/>
                    <a:cs typeface="Times New Roman"/>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data!$A$3:$A$8</c:f>
              <c:strCache>
                <c:ptCount val="6"/>
                <c:pt idx="0">
                  <c:v>Общо разходи</c:v>
                </c:pt>
                <c:pt idx="1">
                  <c:v>Текущи нелихв. разходи</c:v>
                </c:pt>
                <c:pt idx="2">
                  <c:v>Предост. тек.
и капит. трансф. за чужбина</c:v>
                </c:pt>
                <c:pt idx="3">
                  <c:v>Капиталови разходи*</c:v>
                </c:pt>
                <c:pt idx="4">
                  <c:v>Лихви</c:v>
                </c:pt>
                <c:pt idx="5">
                  <c:v>Вноска в бюджета на  ЕС</c:v>
                </c:pt>
              </c:strCache>
            </c:strRef>
          </c:cat>
          <c:val>
            <c:numRef>
              <c:f>data!$C$3:$C$8</c:f>
              <c:numCache>
                <c:formatCode>#,##0.0</c:formatCode>
                <c:ptCount val="6"/>
                <c:pt idx="0">
                  <c:v>78137.229592000003</c:v>
                </c:pt>
                <c:pt idx="1">
                  <c:v>68689.034670000008</c:v>
                </c:pt>
                <c:pt idx="2">
                  <c:v>48.605721000000003</c:v>
                </c:pt>
                <c:pt idx="3">
                  <c:v>6798.0926659999996</c:v>
                </c:pt>
                <c:pt idx="4">
                  <c:v>1009.3479259999999</c:v>
                </c:pt>
                <c:pt idx="5">
                  <c:v>1592.1486090000001</c:v>
                </c:pt>
              </c:numCache>
            </c:numRef>
          </c:val>
          <c:extLst>
            <c:ext xmlns:c16="http://schemas.microsoft.com/office/drawing/2014/chart" uri="{C3380CC4-5D6E-409C-BE32-E72D297353CC}">
              <c16:uniqueId val="{0000000F-0C61-445C-BB6F-A08F75CB85B1}"/>
            </c:ext>
          </c:extLst>
        </c:ser>
        <c:dLbls>
          <c:showLegendKey val="0"/>
          <c:showVal val="0"/>
          <c:showCatName val="0"/>
          <c:showSerName val="0"/>
          <c:showPercent val="0"/>
          <c:showBubbleSize val="0"/>
        </c:dLbls>
        <c:gapWidth val="150"/>
        <c:shape val="cylinder"/>
        <c:axId val="227893248"/>
        <c:axId val="227894784"/>
        <c:axId val="0"/>
      </c:bar3DChart>
      <c:catAx>
        <c:axId val="227893248"/>
        <c:scaling>
          <c:orientation val="minMax"/>
        </c:scaling>
        <c:delete val="0"/>
        <c:axPos val="b"/>
        <c:numFmt formatCode="General" sourceLinked="1"/>
        <c:majorTickMark val="out"/>
        <c:minorTickMark val="none"/>
        <c:tickLblPos val="low"/>
        <c:spPr>
          <a:ln w="9525">
            <a:noFill/>
          </a:ln>
        </c:spPr>
        <c:txPr>
          <a:bodyPr rot="0" vert="horz"/>
          <a:lstStyle/>
          <a:p>
            <a:pPr>
              <a:defRPr sz="990" b="1" i="0" u="none" strike="noStrike" baseline="2000">
                <a:solidFill>
                  <a:srgbClr val="000000"/>
                </a:solidFill>
                <a:latin typeface="Times New Roman"/>
                <a:ea typeface="Times New Roman"/>
                <a:cs typeface="Times New Roman"/>
              </a:defRPr>
            </a:pPr>
            <a:endParaRPr lang="bg-BG"/>
          </a:p>
        </c:txPr>
        <c:crossAx val="227894784"/>
        <c:crosses val="autoZero"/>
        <c:auto val="1"/>
        <c:lblAlgn val="ctr"/>
        <c:lblOffset val="100"/>
        <c:tickMarkSkip val="1"/>
        <c:noMultiLvlLbl val="0"/>
      </c:catAx>
      <c:valAx>
        <c:axId val="227894784"/>
        <c:scaling>
          <c:orientation val="minMax"/>
        </c:scaling>
        <c:delete val="0"/>
        <c:axPos val="l"/>
        <c:majorGridlines>
          <c:spPr>
            <a:ln>
              <a:solidFill>
                <a:sysClr val="windowText" lastClr="000000">
                  <a:lumMod val="50000"/>
                  <a:lumOff val="50000"/>
                </a:sysClr>
              </a:solidFill>
            </a:ln>
          </c:spPr>
        </c:majorGridlines>
        <c:minorGridlines>
          <c:spPr>
            <a:ln>
              <a:noFill/>
            </a:ln>
          </c:spPr>
        </c:minorGridlines>
        <c:title>
          <c:tx>
            <c:rich>
              <a:bodyPr rot="0" vert="horz"/>
              <a:lstStyle/>
              <a:p>
                <a:pPr algn="ctr">
                  <a:defRPr sz="900" b="1" i="0" u="none" strike="noStrike" baseline="0">
                    <a:solidFill>
                      <a:srgbClr val="000000"/>
                    </a:solidFill>
                    <a:latin typeface="Times New Roman"/>
                    <a:ea typeface="Times New Roman"/>
                    <a:cs typeface="Times New Roman"/>
                  </a:defRPr>
                </a:pPr>
                <a:r>
                  <a:rPr lang="bg-BG"/>
                  <a:t>млн. лв.</a:t>
                </a:r>
              </a:p>
            </c:rich>
          </c:tx>
          <c:layout>
            <c:manualLayout>
              <c:xMode val="edge"/>
              <c:yMode val="edge"/>
              <c:x val="0.15621221263017518"/>
              <c:y val="0.10784139482564679"/>
            </c:manualLayout>
          </c:layout>
          <c:overlay val="0"/>
          <c:spPr>
            <a:noFill/>
            <a:ln w="25399">
              <a:noFill/>
            </a:ln>
          </c:spPr>
        </c:title>
        <c:numFmt formatCode="##,#0\.0" sourceLinked="0"/>
        <c:majorTickMark val="out"/>
        <c:minorTickMark val="none"/>
        <c:tickLblPos val="nextTo"/>
        <c:spPr>
          <a:ln w="3175">
            <a:solidFill>
              <a:srgbClr val="000000"/>
            </a:solidFill>
            <a:prstDash val="solid"/>
          </a:ln>
        </c:spPr>
        <c:txPr>
          <a:bodyPr rot="0" vert="horz"/>
          <a:lstStyle/>
          <a:p>
            <a:pPr>
              <a:defRPr sz="900" b="0" i="0" u="none" strike="noStrike" baseline="0">
                <a:solidFill>
                  <a:srgbClr val="000000"/>
                </a:solidFill>
                <a:latin typeface="Times New Roman"/>
                <a:ea typeface="Times New Roman"/>
                <a:cs typeface="Times New Roman"/>
              </a:defRPr>
            </a:pPr>
            <a:endParaRPr lang="bg-BG"/>
          </a:p>
        </c:txPr>
        <c:crossAx val="227893248"/>
        <c:crosses val="autoZero"/>
        <c:crossBetween val="between"/>
      </c:valAx>
      <c:spPr>
        <a:noFill/>
        <a:ln w="25399">
          <a:noFill/>
        </a:ln>
      </c:spPr>
    </c:plotArea>
    <c:legend>
      <c:legendPos val="r"/>
      <c:legendEntry>
        <c:idx val="0"/>
        <c:txPr>
          <a:bodyPr/>
          <a:lstStyle/>
          <a:p>
            <a:pPr>
              <a:defRPr sz="700" b="1" i="0" u="none" strike="noStrike" baseline="0">
                <a:solidFill>
                  <a:srgbClr val="000000"/>
                </a:solidFill>
                <a:latin typeface="Times New Roman"/>
                <a:ea typeface="Times New Roman"/>
                <a:cs typeface="Times New Roman"/>
              </a:defRPr>
            </a:pPr>
            <a:endParaRPr lang="bg-BG"/>
          </a:p>
        </c:txPr>
      </c:legendEntry>
      <c:legendEntry>
        <c:idx val="1"/>
        <c:txPr>
          <a:bodyPr/>
          <a:lstStyle/>
          <a:p>
            <a:pPr>
              <a:defRPr sz="700" b="1" i="0" u="none" strike="noStrike" baseline="0">
                <a:solidFill>
                  <a:srgbClr val="000000"/>
                </a:solidFill>
                <a:latin typeface="Times New Roman"/>
                <a:ea typeface="Times New Roman"/>
                <a:cs typeface="Times New Roman"/>
              </a:defRPr>
            </a:pPr>
            <a:endParaRPr lang="bg-BG"/>
          </a:p>
        </c:txPr>
      </c:legendEntry>
      <c:layout>
        <c:manualLayout>
          <c:xMode val="edge"/>
          <c:yMode val="edge"/>
          <c:x val="6.2893081761007516E-3"/>
          <c:y val="0.91250477411253827"/>
          <c:w val="0.13829049670677956"/>
          <c:h val="8.7496437945256841E-2"/>
        </c:manualLayout>
      </c:layout>
      <c:overlay val="0"/>
      <c:spPr>
        <a:solidFill>
          <a:srgbClr val="FFFFFF"/>
        </a:solidFill>
        <a:ln w="3175">
          <a:solidFill>
            <a:srgbClr val="000000"/>
          </a:solidFill>
          <a:prstDash val="solid"/>
        </a:ln>
      </c:spPr>
      <c:txPr>
        <a:bodyPr/>
        <a:lstStyle/>
        <a:p>
          <a:pPr>
            <a:defRPr sz="700" b="1" i="0" u="none" strike="noStrike" baseline="0">
              <a:solidFill>
                <a:srgbClr val="000000"/>
              </a:solidFill>
              <a:latin typeface="Times New Roman"/>
              <a:ea typeface="Times New Roman"/>
              <a:cs typeface="Times New Roman"/>
            </a:defRPr>
          </a:pPr>
          <a:endParaRPr lang="bg-BG"/>
        </a:p>
      </c:txPr>
    </c:legend>
    <c:plotVisOnly val="1"/>
    <c:dispBlanksAs val="gap"/>
    <c:showDLblsOverMax val="0"/>
  </c:chart>
  <c:spPr>
    <a:solidFill>
      <a:srgbClr val="FFFFFF"/>
    </a:solidFill>
    <a:ln w="3175">
      <a:solidFill>
        <a:srgbClr val="000000"/>
      </a:solidFill>
      <a:prstDash val="solid"/>
    </a:ln>
  </c:spPr>
  <c:txPr>
    <a:bodyPr/>
    <a:lstStyle/>
    <a:p>
      <a:pPr>
        <a:defRPr sz="950" b="0" i="0" u="none" strike="noStrike" baseline="0">
          <a:solidFill>
            <a:srgbClr val="000000"/>
          </a:solidFill>
          <a:latin typeface="Arial"/>
          <a:ea typeface="Arial"/>
          <a:cs typeface="Arial"/>
        </a:defRPr>
      </a:pPr>
      <a:endParaRPr lang="bg-BG"/>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9.2445823790098539E-2"/>
          <c:y val="3.8309849426716412E-2"/>
          <c:w val="0.89567461554396921"/>
          <c:h val="0.71149402758355551"/>
        </c:manualLayout>
      </c:layout>
      <c:barChart>
        <c:barDir val="col"/>
        <c:grouping val="clustered"/>
        <c:varyColors val="0"/>
        <c:ser>
          <c:idx val="0"/>
          <c:order val="0"/>
          <c:tx>
            <c:strRef>
              <c:f>Sheet1!$B$36</c:f>
              <c:strCache>
                <c:ptCount val="1"/>
                <c:pt idx="0">
                  <c:v> декември 2023 г.</c:v>
                </c:pt>
              </c:strCache>
            </c:strRef>
          </c:tx>
          <c:spPr>
            <a:pattFill prst="pct5">
              <a:fgClr>
                <a:srgbClr val="FFFFFF"/>
              </a:fgClr>
              <a:bgClr>
                <a:srgbClr val="000000"/>
              </a:bgClr>
            </a:pattFill>
            <a:ln w="12683">
              <a:solidFill>
                <a:srgbClr val="000000"/>
              </a:solidFill>
              <a:prstDash val="solid"/>
            </a:ln>
          </c:spPr>
          <c:invertIfNegative val="0"/>
          <c:dLbls>
            <c:dLbl>
              <c:idx val="1"/>
              <c:layout>
                <c:manualLayout>
                  <c:x val="-2.3872045834328003E-3"/>
                  <c:y val="6.2832148459142393E-3"/>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B0ED-4420-AD7D-0D2C158C08FE}"/>
                </c:ext>
              </c:extLst>
            </c:dLbl>
            <c:dLbl>
              <c:idx val="2"/>
              <c:layout>
                <c:manualLayout>
                  <c:x val="-6.9311473759411748E-5"/>
                  <c:y val="0.23910529675966891"/>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B0ED-4420-AD7D-0D2C158C08FE}"/>
                </c:ext>
              </c:extLst>
            </c:dLbl>
            <c:dLbl>
              <c:idx val="3"/>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B0ED-4420-AD7D-0D2C158C08FE}"/>
                </c:ext>
              </c:extLst>
            </c:dLbl>
            <c:dLbl>
              <c:idx val="5"/>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0ED-4420-AD7D-0D2C158C08FE}"/>
                </c:ext>
              </c:extLst>
            </c:dLbl>
            <c:spPr>
              <a:solidFill>
                <a:srgbClr val="FFFFFF"/>
              </a:solidFill>
              <a:ln w="25367">
                <a:noFill/>
              </a:ln>
            </c:spPr>
            <c:txPr>
              <a:bodyPr rot="-5400000" vert="horz"/>
              <a:lstStyle/>
              <a:p>
                <a:pPr algn="ctr">
                  <a:defRPr sz="899" b="0" i="0" u="none" strike="noStrike" baseline="0">
                    <a:solidFill>
                      <a:srgbClr val="000000"/>
                    </a:solidFill>
                    <a:latin typeface="Times New Roman"/>
                    <a:ea typeface="Times New Roman"/>
                    <a:cs typeface="Times New Roman"/>
                  </a:defRPr>
                </a:pPr>
                <a:endParaRPr lang="bg-BG"/>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Sheet1!$A$38:$A$41</c:f>
              <c:strCache>
                <c:ptCount val="4"/>
                <c:pt idx="0">
                  <c:v>Нелихвени разходи</c:v>
                </c:pt>
                <c:pt idx="1">
                  <c:v>Лихвени р-ди</c:v>
                </c:pt>
                <c:pt idx="2">
                  <c:v>Нето предоставени трансфери за др. бюджети</c:v>
                </c:pt>
                <c:pt idx="3">
                  <c:v>Вноска в бюджета на ЕС</c:v>
                </c:pt>
              </c:strCache>
            </c:strRef>
          </c:cat>
          <c:val>
            <c:numRef>
              <c:f>Sheet1!$B$38:$B$41</c:f>
              <c:numCache>
                <c:formatCode>#,##0.0</c:formatCode>
                <c:ptCount val="4"/>
                <c:pt idx="0">
                  <c:v>18759.202858000001</c:v>
                </c:pt>
                <c:pt idx="1">
                  <c:v>782.17182300000013</c:v>
                </c:pt>
                <c:pt idx="2">
                  <c:v>23662.375577000003</c:v>
                </c:pt>
                <c:pt idx="3">
                  <c:v>1849.862558</c:v>
                </c:pt>
              </c:numCache>
            </c:numRef>
          </c:val>
          <c:extLst>
            <c:ext xmlns:c16="http://schemas.microsoft.com/office/drawing/2014/chart" uri="{C3380CC4-5D6E-409C-BE32-E72D297353CC}">
              <c16:uniqueId val="{00000004-B0ED-4420-AD7D-0D2C158C08FE}"/>
            </c:ext>
          </c:extLst>
        </c:ser>
        <c:ser>
          <c:idx val="1"/>
          <c:order val="1"/>
          <c:tx>
            <c:strRef>
              <c:f>Sheet1!$C$36</c:f>
              <c:strCache>
                <c:ptCount val="1"/>
                <c:pt idx="0">
                  <c:v> декември 2024 г.</c:v>
                </c:pt>
              </c:strCache>
            </c:strRef>
          </c:tx>
          <c:spPr>
            <a:pattFill prst="smConfetti">
              <a:fgClr>
                <a:srgbClr val="333333"/>
              </a:fgClr>
              <a:bgClr>
                <a:srgbClr val="FFFFFF"/>
              </a:bgClr>
            </a:pattFill>
            <a:ln w="12683">
              <a:solidFill>
                <a:srgbClr val="000000"/>
              </a:solidFill>
              <a:prstDash val="solid"/>
            </a:ln>
          </c:spPr>
          <c:invertIfNegative val="0"/>
          <c:dLbls>
            <c:dLbl>
              <c:idx val="0"/>
              <c:layout>
                <c:manualLayout>
                  <c:x val="0"/>
                  <c:y val="0.22974645513215708"/>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B0ED-4420-AD7D-0D2C158C08FE}"/>
                </c:ext>
              </c:extLst>
            </c:dLbl>
            <c:dLbl>
              <c:idx val="1"/>
              <c:layout>
                <c:manualLayout>
                  <c:x val="-1.3777787060437307E-3"/>
                  <c:y val="-2.2458399596602201E-3"/>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B0ED-4420-AD7D-0D2C158C08FE}"/>
                </c:ext>
              </c:extLst>
            </c:dLbl>
            <c:dLbl>
              <c:idx val="2"/>
              <c:layout>
                <c:manualLayout>
                  <c:x val="-1.391301731981767E-4"/>
                  <c:y val="0.18862613199840084"/>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B0ED-4420-AD7D-0D2C158C08FE}"/>
                </c:ext>
              </c:extLst>
            </c:dLbl>
            <c:dLbl>
              <c:idx val="3"/>
              <c:layout>
                <c:manualLayout>
                  <c:x val="4.7141342909059365E-3"/>
                  <c:y val="-1.23333001096382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8-B0ED-4420-AD7D-0D2C158C08FE}"/>
                </c:ext>
              </c:extLst>
            </c:dLbl>
            <c:dLbl>
              <c:idx val="4"/>
              <c:layout>
                <c:manualLayout>
                  <c:x val="2.8449113763692161E-4"/>
                  <c:y val="0.12792063101487314"/>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0ED-4420-AD7D-0D2C158C08FE}"/>
                </c:ext>
              </c:extLst>
            </c:dLbl>
            <c:dLbl>
              <c:idx val="5"/>
              <c:layout>
                <c:manualLayout>
                  <c:x val="1.9210939978656521E-3"/>
                  <c:y val="5.694873583840072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B0ED-4420-AD7D-0D2C158C08FE}"/>
                </c:ext>
              </c:extLst>
            </c:dLbl>
            <c:spPr>
              <a:solidFill>
                <a:srgbClr val="FFFFFF"/>
              </a:solidFill>
              <a:ln w="25367">
                <a:noFill/>
              </a:ln>
            </c:spPr>
            <c:txPr>
              <a:bodyPr rot="-5400000" vert="horz"/>
              <a:lstStyle/>
              <a:p>
                <a:pPr algn="ctr">
                  <a:defRPr sz="899" b="0" i="0" u="none" strike="noStrike" baseline="0">
                    <a:solidFill>
                      <a:srgbClr val="000000"/>
                    </a:solidFill>
                    <a:latin typeface="Times New Roman"/>
                    <a:ea typeface="Times New Roman"/>
                    <a:cs typeface="Times New Roman"/>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Sheet1!$A$38:$A$41</c:f>
              <c:strCache>
                <c:ptCount val="4"/>
                <c:pt idx="0">
                  <c:v>Нелихвени разходи</c:v>
                </c:pt>
                <c:pt idx="1">
                  <c:v>Лихвени р-ди</c:v>
                </c:pt>
                <c:pt idx="2">
                  <c:v>Нето предоставени трансфери за др. бюджети</c:v>
                </c:pt>
                <c:pt idx="3">
                  <c:v>Вноска в бюджета на ЕС</c:v>
                </c:pt>
              </c:strCache>
            </c:strRef>
          </c:cat>
          <c:val>
            <c:numRef>
              <c:f>Sheet1!$C$38:$C$41</c:f>
              <c:numCache>
                <c:formatCode>#,##0.0</c:formatCode>
                <c:ptCount val="4"/>
                <c:pt idx="0">
                  <c:v>19372.677447000002</c:v>
                </c:pt>
                <c:pt idx="1">
                  <c:v>953.36164899999994</c:v>
                </c:pt>
                <c:pt idx="2">
                  <c:v>28129.893538000008</c:v>
                </c:pt>
                <c:pt idx="3">
                  <c:v>1592.1486090000001</c:v>
                </c:pt>
              </c:numCache>
            </c:numRef>
          </c:val>
          <c:extLst>
            <c:ext xmlns:c16="http://schemas.microsoft.com/office/drawing/2014/chart" uri="{C3380CC4-5D6E-409C-BE32-E72D297353CC}">
              <c16:uniqueId val="{0000000B-B0ED-4420-AD7D-0D2C158C08FE}"/>
            </c:ext>
          </c:extLst>
        </c:ser>
        <c:dLbls>
          <c:showLegendKey val="0"/>
          <c:showVal val="0"/>
          <c:showCatName val="0"/>
          <c:showSerName val="0"/>
          <c:showPercent val="0"/>
          <c:showBubbleSize val="0"/>
        </c:dLbls>
        <c:gapWidth val="150"/>
        <c:axId val="244724864"/>
        <c:axId val="244726400"/>
      </c:barChart>
      <c:catAx>
        <c:axId val="244724864"/>
        <c:scaling>
          <c:orientation val="minMax"/>
        </c:scaling>
        <c:delete val="0"/>
        <c:axPos val="b"/>
        <c:numFmt formatCode="General" sourceLinked="1"/>
        <c:majorTickMark val="out"/>
        <c:minorTickMark val="none"/>
        <c:tickLblPos val="nextTo"/>
        <c:spPr>
          <a:ln w="9512">
            <a:noFill/>
          </a:ln>
        </c:spPr>
        <c:txPr>
          <a:bodyPr rot="0" vert="horz"/>
          <a:lstStyle/>
          <a:p>
            <a:pPr>
              <a:defRPr sz="970" b="1" i="0" u="none" strike="noStrike" baseline="2000">
                <a:solidFill>
                  <a:srgbClr val="000000"/>
                </a:solidFill>
                <a:latin typeface="Times New Roman"/>
                <a:ea typeface="Times New Roman"/>
                <a:cs typeface="Times New Roman"/>
              </a:defRPr>
            </a:pPr>
            <a:endParaRPr lang="bg-BG"/>
          </a:p>
        </c:txPr>
        <c:crossAx val="244726400"/>
        <c:crosses val="autoZero"/>
        <c:auto val="1"/>
        <c:lblAlgn val="ctr"/>
        <c:lblOffset val="100"/>
        <c:tickLblSkip val="1"/>
        <c:tickMarkSkip val="1"/>
        <c:noMultiLvlLbl val="0"/>
      </c:catAx>
      <c:valAx>
        <c:axId val="244726400"/>
        <c:scaling>
          <c:orientation val="minMax"/>
        </c:scaling>
        <c:delete val="0"/>
        <c:axPos val="l"/>
        <c:majorGridlines>
          <c:spPr>
            <a:ln w="3171">
              <a:solidFill>
                <a:srgbClr val="000000"/>
              </a:solidFill>
              <a:prstDash val="solid"/>
            </a:ln>
          </c:spPr>
        </c:majorGridlines>
        <c:title>
          <c:tx>
            <c:rich>
              <a:bodyPr rot="0" vert="horz"/>
              <a:lstStyle/>
              <a:p>
                <a:pPr algn="ctr">
                  <a:defRPr sz="899" b="0" i="0" u="none" strike="noStrike" baseline="0">
                    <a:solidFill>
                      <a:srgbClr val="000000"/>
                    </a:solidFill>
                    <a:latin typeface="Times New Roman"/>
                    <a:ea typeface="Times New Roman"/>
                    <a:cs typeface="Times New Roman"/>
                  </a:defRPr>
                </a:pPr>
                <a:r>
                  <a:rPr lang="bg-BG"/>
                  <a:t>(млн. лв.)</a:t>
                </a:r>
              </a:p>
            </c:rich>
          </c:tx>
          <c:layout>
            <c:manualLayout>
              <c:xMode val="edge"/>
              <c:yMode val="edge"/>
              <c:x val="9.3198691529022576E-4"/>
              <c:y val="0.93341453652604278"/>
            </c:manualLayout>
          </c:layout>
          <c:overlay val="0"/>
          <c:spPr>
            <a:noFill/>
            <a:ln w="25367">
              <a:noFill/>
            </a:ln>
          </c:spPr>
        </c:title>
        <c:numFmt formatCode="#\ ##0" sourceLinked="0"/>
        <c:majorTickMark val="out"/>
        <c:minorTickMark val="none"/>
        <c:tickLblPos val="nextTo"/>
        <c:spPr>
          <a:ln w="3171">
            <a:solidFill>
              <a:srgbClr val="000000"/>
            </a:solidFill>
            <a:prstDash val="solid"/>
          </a:ln>
        </c:spPr>
        <c:txPr>
          <a:bodyPr rot="0" vert="horz"/>
          <a:lstStyle/>
          <a:p>
            <a:pPr>
              <a:defRPr sz="899" b="0" i="0" u="none" strike="noStrike" baseline="0">
                <a:solidFill>
                  <a:srgbClr val="000000"/>
                </a:solidFill>
                <a:latin typeface="Times New Roman"/>
                <a:ea typeface="Times New Roman"/>
                <a:cs typeface="Times New Roman"/>
              </a:defRPr>
            </a:pPr>
            <a:endParaRPr lang="bg-BG"/>
          </a:p>
        </c:txPr>
        <c:crossAx val="244724864"/>
        <c:crosses val="autoZero"/>
        <c:crossBetween val="between"/>
      </c:valAx>
      <c:spPr>
        <a:solidFill>
          <a:srgbClr val="FFFFFF"/>
        </a:solidFill>
        <a:ln w="6350">
          <a:solidFill>
            <a:sysClr val="window" lastClr="FFFFFF">
              <a:lumMod val="85000"/>
            </a:sysClr>
          </a:solidFill>
          <a:prstDash val="solid"/>
        </a:ln>
      </c:spPr>
    </c:plotArea>
    <c:legend>
      <c:legendPos val="r"/>
      <c:legendEntry>
        <c:idx val="0"/>
        <c:txPr>
          <a:bodyPr/>
          <a:lstStyle/>
          <a:p>
            <a:pPr>
              <a:defRPr sz="780" b="1" i="0" u="none" strike="noStrike" baseline="0">
                <a:solidFill>
                  <a:srgbClr val="000000"/>
                </a:solidFill>
                <a:latin typeface="Times New Roman"/>
                <a:ea typeface="Times New Roman"/>
                <a:cs typeface="Times New Roman"/>
              </a:defRPr>
            </a:pPr>
            <a:endParaRPr lang="bg-BG"/>
          </a:p>
        </c:txPr>
      </c:legendEntry>
      <c:legendEntry>
        <c:idx val="1"/>
        <c:txPr>
          <a:bodyPr/>
          <a:lstStyle/>
          <a:p>
            <a:pPr>
              <a:defRPr sz="780" b="1" i="0" u="none" strike="noStrike" baseline="0">
                <a:solidFill>
                  <a:srgbClr val="000000"/>
                </a:solidFill>
                <a:latin typeface="Times New Roman"/>
                <a:ea typeface="Times New Roman"/>
                <a:cs typeface="Times New Roman"/>
              </a:defRPr>
            </a:pPr>
            <a:endParaRPr lang="bg-BG"/>
          </a:p>
        </c:txPr>
      </c:legendEntry>
      <c:layout>
        <c:manualLayout>
          <c:xMode val="edge"/>
          <c:yMode val="edge"/>
          <c:x val="0.11124317291663843"/>
          <c:y val="0.88645019657037905"/>
          <c:w val="0.27244520424619906"/>
          <c:h val="0.11128011559010316"/>
        </c:manualLayout>
      </c:layout>
      <c:overlay val="0"/>
      <c:spPr>
        <a:solidFill>
          <a:srgbClr val="FFFFFF"/>
        </a:solidFill>
        <a:ln w="3171">
          <a:solidFill>
            <a:sysClr val="window" lastClr="FFFFFF">
              <a:lumMod val="85000"/>
            </a:sysClr>
          </a:solidFill>
          <a:prstDash val="solid"/>
        </a:ln>
      </c:spPr>
      <c:txPr>
        <a:bodyPr/>
        <a:lstStyle/>
        <a:p>
          <a:pPr>
            <a:defRPr sz="780" b="1" i="0" u="none" strike="noStrike" baseline="0">
              <a:solidFill>
                <a:srgbClr val="000000"/>
              </a:solidFill>
              <a:latin typeface="Times New Roman"/>
              <a:ea typeface="Times New Roman"/>
              <a:cs typeface="Times New Roman"/>
            </a:defRPr>
          </a:pPr>
          <a:endParaRPr lang="bg-BG"/>
        </a:p>
      </c:txPr>
    </c:legend>
    <c:plotVisOnly val="1"/>
    <c:dispBlanksAs val="gap"/>
    <c:showDLblsOverMax val="0"/>
  </c:chart>
  <c:spPr>
    <a:solidFill>
      <a:srgbClr val="FFFFFF"/>
    </a:solidFill>
    <a:ln w="3171">
      <a:solidFill>
        <a:srgbClr val="000000"/>
      </a:solidFill>
      <a:prstDash val="solid"/>
    </a:ln>
  </c:spPr>
  <c:txPr>
    <a:bodyPr/>
    <a:lstStyle/>
    <a:p>
      <a:pPr>
        <a:defRPr sz="1124" b="0" i="0" u="none" strike="noStrike" baseline="0">
          <a:solidFill>
            <a:srgbClr val="000000"/>
          </a:solidFill>
          <a:latin typeface="Arial"/>
          <a:ea typeface="Arial"/>
          <a:cs typeface="Arial"/>
        </a:defRPr>
      </a:pPr>
      <a:endParaRPr lang="bg-BG"/>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0.31167</cdr:x>
      <cdr:y>0</cdr:y>
    </cdr:from>
    <cdr:to>
      <cdr:x>0.83</cdr:x>
      <cdr:y>0.07083</cdr:y>
    </cdr:to>
    <cdr:sp macro="" textlink="">
      <cdr:nvSpPr>
        <cdr:cNvPr id="2" name="TextBox 1"/>
        <cdr:cNvSpPr txBox="1"/>
      </cdr:nvSpPr>
      <cdr:spPr>
        <a:xfrm xmlns:a="http://schemas.openxmlformats.org/drawingml/2006/main">
          <a:off x="1424955" y="0"/>
          <a:ext cx="2369805" cy="194301"/>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bg-BG" sz="1000" b="1">
              <a:latin typeface="Times New Roman" pitchFamily="18" charset="0"/>
              <a:cs typeface="Times New Roman" pitchFamily="18" charset="0"/>
            </a:rPr>
            <a:t>Приходи</a:t>
          </a:r>
          <a:r>
            <a:rPr lang="bg-BG" sz="1000" b="1" baseline="0">
              <a:latin typeface="Times New Roman" pitchFamily="18" charset="0"/>
              <a:cs typeface="Times New Roman" pitchFamily="18" charset="0"/>
            </a:rPr>
            <a:t> и помощи по КФП към БВП</a:t>
          </a:r>
          <a:endParaRPr lang="bg-BG" sz="1000" b="1">
            <a:latin typeface="Times New Roman" pitchFamily="18" charset="0"/>
            <a:cs typeface="Times New Roman" pitchFamily="18"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0.53385</cdr:x>
      <cdr:y>0.03871</cdr:y>
    </cdr:from>
    <cdr:to>
      <cdr:x>0.6901</cdr:x>
      <cdr:y>0.10968</cdr:y>
    </cdr:to>
    <cdr:sp macro="" textlink="">
      <cdr:nvSpPr>
        <cdr:cNvPr id="2" name="TextBox 1"/>
        <cdr:cNvSpPr txBox="1"/>
      </cdr:nvSpPr>
      <cdr:spPr>
        <a:xfrm xmlns:a="http://schemas.openxmlformats.org/drawingml/2006/main">
          <a:off x="3124200" y="137160"/>
          <a:ext cx="914400" cy="25146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bg-BG" sz="1100"/>
        </a:p>
      </cdr:txBody>
    </cdr:sp>
  </cdr:relSizeAnchor>
  <cdr:relSizeAnchor xmlns:cdr="http://schemas.openxmlformats.org/drawingml/2006/chartDrawing">
    <cdr:from>
      <cdr:x>0.24089</cdr:x>
      <cdr:y>0.0258</cdr:y>
    </cdr:from>
    <cdr:to>
      <cdr:x>0.86198</cdr:x>
      <cdr:y>0.09247</cdr:y>
    </cdr:to>
    <cdr:sp macro="" textlink="">
      <cdr:nvSpPr>
        <cdr:cNvPr id="3" name="TextBox 2"/>
        <cdr:cNvSpPr txBox="1"/>
      </cdr:nvSpPr>
      <cdr:spPr>
        <a:xfrm xmlns:a="http://schemas.openxmlformats.org/drawingml/2006/main">
          <a:off x="1409700" y="91429"/>
          <a:ext cx="3634740" cy="236231"/>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algn="ctr"/>
          <a:r>
            <a:rPr lang="bg-BG" sz="1000" b="1">
              <a:latin typeface="Times New Roman" pitchFamily="18" charset="0"/>
              <a:cs typeface="Times New Roman" pitchFamily="18" charset="0"/>
            </a:rPr>
            <a:t>Разходи по КФП за 20</a:t>
          </a:r>
          <a:r>
            <a:rPr lang="en-US" sz="1000" b="1">
              <a:latin typeface="Times New Roman" pitchFamily="18" charset="0"/>
              <a:cs typeface="Times New Roman" pitchFamily="18" charset="0"/>
            </a:rPr>
            <a:t>22</a:t>
          </a:r>
          <a:r>
            <a:rPr lang="bg-BG" sz="1000" b="1">
              <a:latin typeface="Times New Roman" pitchFamily="18" charset="0"/>
              <a:cs typeface="Times New Roman" pitchFamily="18" charset="0"/>
            </a:rPr>
            <a:t> г. и 202</a:t>
          </a:r>
          <a:r>
            <a:rPr lang="en-US" sz="1000" b="1">
              <a:latin typeface="Times New Roman" pitchFamily="18" charset="0"/>
              <a:cs typeface="Times New Roman" pitchFamily="18" charset="0"/>
            </a:rPr>
            <a:t>3</a:t>
          </a:r>
          <a:r>
            <a:rPr lang="bg-BG" sz="1000" b="1">
              <a:latin typeface="Times New Roman" pitchFamily="18" charset="0"/>
              <a:cs typeface="Times New Roman" pitchFamily="18" charset="0"/>
            </a:rPr>
            <a:t> г., като </a:t>
          </a:r>
          <a:r>
            <a:rPr lang="bg-BG" sz="900" b="1">
              <a:latin typeface="Times New Roman" pitchFamily="18" charset="0"/>
              <a:cs typeface="Times New Roman" pitchFamily="18" charset="0"/>
            </a:rPr>
            <a:t>отонсителен</a:t>
          </a:r>
          <a:r>
            <a:rPr lang="bg-BG" sz="1000" b="1">
              <a:latin typeface="Times New Roman" pitchFamily="18" charset="0"/>
              <a:cs typeface="Times New Roman" pitchFamily="18" charset="0"/>
            </a:rPr>
            <a:t> дял в БВП</a:t>
          </a:r>
        </a:p>
      </cdr:txBody>
    </cdr:sp>
  </cdr:relSizeAnchor>
</c:userShapes>
</file>

<file path=word/drawings/drawing3.xml><?xml version="1.0" encoding="utf-8"?>
<c:userShapes xmlns:c="http://schemas.openxmlformats.org/drawingml/2006/chart">
  <cdr:relSizeAnchor xmlns:cdr="http://schemas.openxmlformats.org/drawingml/2006/chartDrawing">
    <cdr:from>
      <cdr:x>0.50767</cdr:x>
      <cdr:y>0.50124</cdr:y>
    </cdr:from>
    <cdr:to>
      <cdr:x>0.52046</cdr:x>
      <cdr:y>0.56116</cdr:y>
    </cdr:to>
    <cdr:sp macro="" textlink="">
      <cdr:nvSpPr>
        <cdr:cNvPr id="3073" name="Text Box 1"/>
        <cdr:cNvSpPr txBox="1">
          <a:spLocks xmlns:a="http://schemas.openxmlformats.org/drawingml/2006/main" noChangeArrowheads="1"/>
        </cdr:cNvSpPr>
      </cdr:nvSpPr>
      <cdr:spPr bwMode="auto">
        <a:xfrm xmlns:a="http://schemas.openxmlformats.org/drawingml/2006/main">
          <a:off x="3536779" y="1408614"/>
          <a:ext cx="94821" cy="169270"/>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36576" tIns="27432" rIns="36576" bIns="27432" anchor="ctr" upright="1"/>
        <a:lstStyle xmlns:a="http://schemas.openxmlformats.org/drawingml/2006/main"/>
        <a:p xmlns:a="http://schemas.openxmlformats.org/drawingml/2006/main">
          <a:pPr algn="ctr" rtl="0">
            <a:defRPr sz="1000"/>
          </a:pPr>
          <a:r>
            <a:rPr lang="bg-BG" sz="1125" b="0" i="0" u="none" strike="noStrike" baseline="0">
              <a:solidFill>
                <a:srgbClr val="000000"/>
              </a:solidFill>
              <a:latin typeface="Arial"/>
              <a:cs typeface="Arial"/>
            </a:rPr>
            <a:t> </a:t>
          </a:r>
        </a:p>
      </cdr:txBody>
    </cdr:sp>
  </cdr:relSizeAnchor>
  <cdr:relSizeAnchor xmlns:cdr="http://schemas.openxmlformats.org/drawingml/2006/chartDrawing">
    <cdr:from>
      <cdr:x>0.50767</cdr:x>
      <cdr:y>0.50124</cdr:y>
    </cdr:from>
    <cdr:to>
      <cdr:x>0.61477</cdr:x>
      <cdr:y>0.56116</cdr:y>
    </cdr:to>
    <cdr:sp macro="" textlink="">
      <cdr:nvSpPr>
        <cdr:cNvPr id="3074" name="Text Box 2"/>
        <cdr:cNvSpPr txBox="1">
          <a:spLocks xmlns:a="http://schemas.openxmlformats.org/drawingml/2006/main" noChangeArrowheads="1"/>
        </cdr:cNvSpPr>
      </cdr:nvSpPr>
      <cdr:spPr bwMode="auto">
        <a:xfrm xmlns:a="http://schemas.openxmlformats.org/drawingml/2006/main">
          <a:off x="3536779" y="1408614"/>
          <a:ext cx="751674" cy="169270"/>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36576" tIns="27432" rIns="36576" bIns="27432" anchor="ctr" upright="1"/>
        <a:lstStyle xmlns:a="http://schemas.openxmlformats.org/drawingml/2006/main"/>
        <a:p xmlns:a="http://schemas.openxmlformats.org/drawingml/2006/main">
          <a:pPr algn="ctr" rtl="0">
            <a:defRPr sz="1000"/>
          </a:pPr>
          <a:endParaRPr lang="bg-BG" sz="1125" b="0" i="0" u="none" strike="noStrike" baseline="0">
            <a:solidFill>
              <a:srgbClr val="000000"/>
            </a:solidFill>
            <a:latin typeface="Arial"/>
            <a:cs typeface="Arial"/>
          </a:endParaRPr>
        </a:p>
        <a:p xmlns:a="http://schemas.openxmlformats.org/drawingml/2006/main">
          <a:pPr algn="ctr" rtl="0">
            <a:defRPr sz="1000"/>
          </a:pPr>
          <a:endParaRPr lang="bg-BG" sz="1125" b="0" i="0" u="none" strike="noStrike" baseline="0">
            <a:solidFill>
              <a:srgbClr val="000000"/>
            </a:solidFill>
            <a:latin typeface="Arial"/>
            <a:cs typeface="Arial"/>
          </a:endParaRPr>
        </a:p>
        <a:p xmlns:a="http://schemas.openxmlformats.org/drawingml/2006/main">
          <a:pPr algn="ctr" rtl="0">
            <a:defRPr sz="1000"/>
          </a:pPr>
          <a:endParaRPr lang="bg-BG" sz="1125" b="0" i="0" u="none" strike="noStrike" baseline="0">
            <a:solidFill>
              <a:srgbClr val="000000"/>
            </a:solidFill>
            <a:latin typeface="Arial"/>
            <a:cs typeface="Arial"/>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7C4C3-9F00-48AB-ABB6-CED76CA00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31</Pages>
  <Words>16880</Words>
  <Characters>87564</Characters>
  <Application>Microsoft Office Word</Application>
  <DocSecurity>0</DocSecurity>
  <Lines>729</Lines>
  <Paragraphs>208</Paragraphs>
  <ScaleCrop>false</ScaleCrop>
  <HeadingPairs>
    <vt:vector size="2" baseType="variant">
      <vt:variant>
        <vt:lpstr>Title</vt:lpstr>
      </vt:variant>
      <vt:variant>
        <vt:i4>1</vt:i4>
      </vt:variant>
    </vt:vector>
  </HeadingPairs>
  <TitlesOfParts>
    <vt:vector size="1" baseType="lpstr">
      <vt:lpstr>М И Н И С Т Е Р С Т В О   Н А   Ф И Н А Н С И Т Е</vt:lpstr>
    </vt:vector>
  </TitlesOfParts>
  <Company>MoF</Company>
  <LinksUpToDate>false</LinksUpToDate>
  <CharactersWithSpaces>104236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 И Н И С Т Е Р С Т В О   Н А   Ф И Н А Н С И Т Е</dc:title>
  <dc:creator>Любомир Малчев</dc:creator>
  <cp:lastModifiedBy>Милада Димчева</cp:lastModifiedBy>
  <cp:revision>6</cp:revision>
  <cp:lastPrinted>2025-02-13T14:55:00Z</cp:lastPrinted>
  <dcterms:created xsi:type="dcterms:W3CDTF">2025-05-20T09:35:00Z</dcterms:created>
  <dcterms:modified xsi:type="dcterms:W3CDTF">2025-05-20T09:47:00Z</dcterms:modified>
</cp:coreProperties>
</file>