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15" w:rsidRPr="009A36B2" w:rsidRDefault="00063E15" w:rsidP="008314D1">
      <w:pPr>
        <w:pStyle w:val="Title"/>
        <w:pBdr>
          <w:bottom w:val="double" w:sz="6" w:space="0" w:color="auto"/>
        </w:pBdr>
      </w:pPr>
      <w:r w:rsidRPr="009A36B2">
        <w:t>М И Н И С Т Е Р С Т В О   Н А   Ф И Н А Н С И Т Е</w:t>
      </w:r>
    </w:p>
    <w:p w:rsidR="005F7245" w:rsidRPr="009A36B2" w:rsidRDefault="005F7245" w:rsidP="00063E15">
      <w:pPr>
        <w:rPr>
          <w:sz w:val="16"/>
          <w:szCs w:val="16"/>
        </w:rPr>
      </w:pPr>
    </w:p>
    <w:p w:rsidR="0019151C" w:rsidRPr="009A36B2" w:rsidRDefault="0019151C" w:rsidP="0019151C"/>
    <w:p w:rsidR="00E10331" w:rsidRPr="009A36B2" w:rsidRDefault="00E10331" w:rsidP="0019151C"/>
    <w:p w:rsidR="00E9260C" w:rsidRPr="009A36B2" w:rsidRDefault="00E9260C" w:rsidP="009B536C">
      <w:pPr>
        <w:pStyle w:val="Heading1"/>
        <w:rPr>
          <w:sz w:val="24"/>
        </w:rPr>
      </w:pPr>
      <w:r w:rsidRPr="009A36B2">
        <w:rPr>
          <w:sz w:val="24"/>
        </w:rPr>
        <w:t>ИНФОРМАЦИЯ</w:t>
      </w:r>
    </w:p>
    <w:p w:rsidR="00E9260C" w:rsidRPr="009A36B2" w:rsidRDefault="00E9260C" w:rsidP="009B536C">
      <w:pPr>
        <w:jc w:val="center"/>
        <w:rPr>
          <w:b/>
          <w:bCs/>
        </w:rPr>
      </w:pPr>
      <w:r w:rsidRPr="009A36B2">
        <w:rPr>
          <w:b/>
          <w:bCs/>
        </w:rPr>
        <w:t xml:space="preserve">ЗА </w:t>
      </w:r>
      <w:r w:rsidR="004E7BF8" w:rsidRPr="009A36B2">
        <w:rPr>
          <w:b/>
          <w:bCs/>
        </w:rPr>
        <w:t xml:space="preserve">КАСОВОТО </w:t>
      </w:r>
      <w:r w:rsidRPr="009A36B2">
        <w:rPr>
          <w:b/>
          <w:bCs/>
        </w:rPr>
        <w:t xml:space="preserve">ИЗПЪЛНЕНИЕ НА </w:t>
      </w:r>
      <w:r w:rsidR="004E7BF8" w:rsidRPr="009A36B2">
        <w:rPr>
          <w:b/>
          <w:bCs/>
        </w:rPr>
        <w:t>ДЪРЖАВНИЯ</w:t>
      </w:r>
      <w:r w:rsidRPr="009A36B2">
        <w:rPr>
          <w:b/>
          <w:bCs/>
        </w:rPr>
        <w:t xml:space="preserve"> БЮДЖЕТ</w:t>
      </w:r>
      <w:r w:rsidR="004E7BF8" w:rsidRPr="009A36B2">
        <w:rPr>
          <w:b/>
          <w:bCs/>
        </w:rPr>
        <w:t xml:space="preserve"> И НА ОСНОВНИТЕ ПОКАЗАТЕЛИ НА КОНСОЛИДИРАНАТА ФИСКАЛНА ПРОГРАМА </w:t>
      </w:r>
    </w:p>
    <w:p w:rsidR="003F47AB" w:rsidRPr="009A36B2" w:rsidRDefault="003F47AB" w:rsidP="003F47AB">
      <w:pPr>
        <w:jc w:val="center"/>
        <w:rPr>
          <w:b/>
          <w:bCs/>
        </w:rPr>
      </w:pPr>
      <w:r w:rsidRPr="009A36B2">
        <w:rPr>
          <w:b/>
          <w:bCs/>
        </w:rPr>
        <w:t xml:space="preserve">ЗА </w:t>
      </w:r>
      <w:r w:rsidR="009A36B2" w:rsidRPr="009A36B2">
        <w:rPr>
          <w:b/>
          <w:bCs/>
        </w:rPr>
        <w:t xml:space="preserve">ПЪРВОТО ТРИМЕСЕЧИЕ </w:t>
      </w:r>
      <w:r w:rsidRPr="009A36B2">
        <w:rPr>
          <w:b/>
          <w:bCs/>
        </w:rPr>
        <w:t>НА 20</w:t>
      </w:r>
      <w:r w:rsidR="006D5D56" w:rsidRPr="009A36B2">
        <w:rPr>
          <w:b/>
          <w:bCs/>
        </w:rPr>
        <w:t>2</w:t>
      </w:r>
      <w:r w:rsidR="009A36B2" w:rsidRPr="009A36B2">
        <w:rPr>
          <w:b/>
          <w:bCs/>
        </w:rPr>
        <w:t>4</w:t>
      </w:r>
      <w:r w:rsidRPr="009A36B2">
        <w:rPr>
          <w:b/>
          <w:bCs/>
        </w:rPr>
        <w:t xml:space="preserve"> ГОДИНА</w:t>
      </w:r>
    </w:p>
    <w:p w:rsidR="00430A35" w:rsidRPr="004B7A23" w:rsidRDefault="00430A35" w:rsidP="003A06C5">
      <w:pPr>
        <w:rPr>
          <w:b/>
          <w:bCs/>
          <w:color w:val="0070C0"/>
        </w:rPr>
      </w:pPr>
    </w:p>
    <w:p w:rsidR="00E10331" w:rsidRPr="004B7A23" w:rsidRDefault="00E10331" w:rsidP="003A06C5">
      <w:pPr>
        <w:rPr>
          <w:b/>
          <w:bCs/>
          <w:color w:val="0070C0"/>
        </w:rPr>
      </w:pPr>
    </w:p>
    <w:p w:rsidR="00E10331" w:rsidRPr="004B7A23" w:rsidRDefault="00E10331" w:rsidP="003A06C5">
      <w:pPr>
        <w:rPr>
          <w:b/>
          <w:bCs/>
          <w:color w:val="0070C0"/>
        </w:rPr>
      </w:pPr>
    </w:p>
    <w:p w:rsidR="006466C6" w:rsidRDefault="006466C6" w:rsidP="006466C6">
      <w:pPr>
        <w:keepNext/>
        <w:keepLines/>
        <w:spacing w:before="40"/>
        <w:jc w:val="both"/>
        <w:outlineLvl w:val="2"/>
        <w:rPr>
          <w:b/>
          <w:u w:val="single"/>
          <w:lang w:eastAsia="bg-BG"/>
        </w:rPr>
      </w:pPr>
      <w:bookmarkStart w:id="0" w:name="_Toc109903428"/>
      <w:r>
        <w:rPr>
          <w:b/>
          <w:u w:val="single"/>
          <w:lang w:eastAsia="bg-BG"/>
        </w:rPr>
        <w:t xml:space="preserve">Априлски </w:t>
      </w:r>
      <w:proofErr w:type="spellStart"/>
      <w:r>
        <w:rPr>
          <w:b/>
          <w:u w:val="single"/>
          <w:lang w:eastAsia="bg-BG"/>
        </w:rPr>
        <w:t>Нотификационни</w:t>
      </w:r>
      <w:proofErr w:type="spellEnd"/>
      <w:r>
        <w:rPr>
          <w:b/>
          <w:u w:val="single"/>
          <w:lang w:eastAsia="bg-BG"/>
        </w:rPr>
        <w:t xml:space="preserve"> таблици за дефицита и дълга на България</w:t>
      </w:r>
    </w:p>
    <w:p w:rsidR="006466C6" w:rsidRDefault="006466C6" w:rsidP="006466C6">
      <w:pPr>
        <w:spacing w:before="120" w:after="120"/>
        <w:jc w:val="both"/>
        <w:rPr>
          <w:color w:val="000000" w:themeColor="text1"/>
        </w:rPr>
      </w:pPr>
      <w:r>
        <w:rPr>
          <w:color w:val="000000" w:themeColor="text1"/>
        </w:rPr>
        <w:t xml:space="preserve">Съгласно априлските </w:t>
      </w:r>
      <w:proofErr w:type="spellStart"/>
      <w:r>
        <w:rPr>
          <w:color w:val="000000" w:themeColor="text1"/>
        </w:rPr>
        <w:t>Нотификационни</w:t>
      </w:r>
      <w:proofErr w:type="spellEnd"/>
      <w:r>
        <w:rPr>
          <w:color w:val="000000" w:themeColor="text1"/>
        </w:rPr>
        <w:t xml:space="preserve"> таблици за дефицита и дълга на България салдото на сектор „Държавно управление“ за 2023 г. е отрицателно в размер на 1,9 % от БВП. Общо шестнадесет държави членки, включително България, отчитат дефицит в рамките на референтната стойност от 3 на сто от БВП по Пакта за стабилност и растеж, като следва да се отбележи, че Европейската комисия продължи и през 2023 г. прилагането на Обща предпазна клауза на Пакта за стабилност и растеж. </w:t>
      </w:r>
    </w:p>
    <w:p w:rsidR="006466C6" w:rsidRDefault="006466C6" w:rsidP="006466C6">
      <w:pPr>
        <w:spacing w:after="120"/>
        <w:jc w:val="both"/>
        <w:rPr>
          <w:color w:val="000000" w:themeColor="text1"/>
        </w:rPr>
      </w:pPr>
      <w:r>
        <w:rPr>
          <w:color w:val="000000" w:themeColor="text1"/>
        </w:rPr>
        <w:t>На база на публикуваните в края на април данни на Евростат за дефицита и дълга на държавите членки през 202</w:t>
      </w:r>
      <w:r w:rsidRPr="00587800">
        <w:rPr>
          <w:color w:val="000000" w:themeColor="text1"/>
          <w:lang w:val="ru-RU"/>
        </w:rPr>
        <w:t>3</w:t>
      </w:r>
      <w:r>
        <w:rPr>
          <w:color w:val="000000" w:themeColor="text1"/>
        </w:rPr>
        <w:t xml:space="preserve"> г. средно за страните от ЕС дефицитът на сектор „Държавно управление“ възлиза на 3,5 % от БВП, което е близко до отчетеното за предходната година (-3,4 % от БВП), но все още остава над референтната стойност от 3 на сто от БВП по Пакта за стабилност и растеж. За страните от еврозоната осреднената стойност на дефицита на сектор „Държавно управление“ за 2023 г. възлиза на 3,6 % от БВП при 3,7 % от БВП дефицит за 2022 г. </w:t>
      </w:r>
    </w:p>
    <w:p w:rsidR="006466C6" w:rsidRDefault="006466C6" w:rsidP="006466C6">
      <w:pPr>
        <w:spacing w:after="120"/>
        <w:jc w:val="both"/>
        <w:rPr>
          <w:color w:val="000000" w:themeColor="text1"/>
        </w:rPr>
      </w:pPr>
      <w:r>
        <w:rPr>
          <w:color w:val="000000" w:themeColor="text1"/>
        </w:rPr>
        <w:t xml:space="preserve">По отношение на дълга, България е втора след Естония с най-нисък дълг на сектор „Държавно управление“ в ЕС за </w:t>
      </w:r>
      <w:r w:rsidRPr="00540A25">
        <w:rPr>
          <w:color w:val="000000" w:themeColor="text1"/>
        </w:rPr>
        <w:t>202</w:t>
      </w:r>
      <w:r w:rsidR="00F44AF1" w:rsidRPr="00540A25">
        <w:rPr>
          <w:color w:val="000000" w:themeColor="text1"/>
        </w:rPr>
        <w:t>3</w:t>
      </w:r>
      <w:r w:rsidRPr="00540A25">
        <w:rPr>
          <w:color w:val="000000" w:themeColor="text1"/>
        </w:rPr>
        <w:t xml:space="preserve"> г.</w:t>
      </w:r>
      <w:r>
        <w:rPr>
          <w:color w:val="000000" w:themeColor="text1"/>
        </w:rPr>
        <w:t xml:space="preserve"> – 23,1 % от БВП. Тринадесет държави членки надвишават референтната стойност от 60 % от БВП в Пакта за стабилност и растеж, като средно за ЕС дългът се свива с 1,7 пр. п. на годишна база до 81,7 % от БВП за 2023 година. </w:t>
      </w:r>
    </w:p>
    <w:p w:rsidR="006466C6" w:rsidRDefault="006466C6" w:rsidP="006466C6">
      <w:pPr>
        <w:keepNext/>
        <w:keepLines/>
        <w:spacing w:before="40"/>
        <w:jc w:val="both"/>
        <w:outlineLvl w:val="2"/>
        <w:rPr>
          <w:b/>
          <w:color w:val="000000" w:themeColor="text1"/>
          <w:u w:val="single"/>
          <w:lang w:eastAsia="bg-BG"/>
        </w:rPr>
      </w:pPr>
      <w:r>
        <w:rPr>
          <w:b/>
          <w:color w:val="000000" w:themeColor="text1"/>
          <w:u w:val="single"/>
          <w:lang w:eastAsia="bg-BG"/>
        </w:rPr>
        <w:t>Развитие на икономическата среда</w:t>
      </w:r>
    </w:p>
    <w:p w:rsidR="006466C6" w:rsidRDefault="006466C6" w:rsidP="006466C6">
      <w:pPr>
        <w:spacing w:before="120"/>
        <w:jc w:val="both"/>
      </w:pPr>
      <w:r>
        <w:rPr>
          <w:color w:val="000000" w:themeColor="text1"/>
        </w:rPr>
        <w:t xml:space="preserve">Краткосрочните индикатори за първо тримесечие на 2024 г. сочат към задържане на растежа на БВП от последното тримесечие на 2023 </w:t>
      </w:r>
      <w:r>
        <w:t>г. или дори леко ускорение. Бизнес климатът и доверието на потребителите се подобриха през първите три месеца на годината. По-съществено подобрение бе отчетено при оценките за текущото бизнес състояние на предприятията в промишлеността и при очакванията на анкетираните в строителството. За периода януари-февруари спадът на индустриалното производство се забави до 6,6 %, а строителната продукция нарасна със 7,5 %. При оборота в търговията на дребно също бе отчетен растеж от 1,4 %. Индикаторът за производство в бизнес услугите нарасна с 4,3 % през януари, при отчетени спадове през последните две тримесечия на 2023 г.</w:t>
      </w:r>
    </w:p>
    <w:p w:rsidR="006466C6" w:rsidRDefault="006466C6" w:rsidP="006466C6">
      <w:pPr>
        <w:spacing w:before="120"/>
        <w:jc w:val="both"/>
      </w:pPr>
      <w:r>
        <w:t>През втората половина на 2023 г. броят на регистрираните безработни се движи над стойностите, наблюдавани през аналогичните месеци една година по-рано. През първите три месеца на 2024 г. тази тенденция се запазва. В края на март техният брой достигна 163 365 души, което е с 11 405 души (7,5 %) повече спрямо март 2023 г. Въпреки това, недостигът на квалифицирана работна сила продължава да бъде важен фактор, затрудняващ дейността на фирмите, като в сектори като строителството той е сред основните пречки</w:t>
      </w:r>
      <w:r w:rsidR="00D47805">
        <w:t>,</w:t>
      </w:r>
      <w:r>
        <w:t xml:space="preserve"> възпрепятстващи разширението на дейността.</w:t>
      </w:r>
    </w:p>
    <w:p w:rsidR="006466C6" w:rsidRDefault="006466C6" w:rsidP="006466C6">
      <w:pPr>
        <w:spacing w:before="120"/>
        <w:jc w:val="both"/>
      </w:pPr>
      <w:r>
        <w:t xml:space="preserve">За първите два месеца на годината по текущата сметка бе отчетен излишък от 0,3 % от прогнозния БВП, при дефицит от 0,2 % за същия период на 2023 г. Подобрение бе наблюдавано в баланса на първичния доход, поради по-малко изплащане на инвестиционен доход към </w:t>
      </w:r>
      <w:proofErr w:type="spellStart"/>
      <w:r>
        <w:t>нерезиденти</w:t>
      </w:r>
      <w:proofErr w:type="spellEnd"/>
      <w:r>
        <w:t>. С получаване на допълнителна отчетна информация тези стойности традиционно подлежат на ревизия във възходяща посока. Съотношението на търговския дефицит към БВП също се подобри в началото на годината. Промяната отразяваше нарастването на БВП, докато търговският баланс се понижи в стойностно изражение. Износът намаля с 10,3 %, а вносът – с 5 %, при понижение в търговските потоци както в рамките на ЕС, така и спрямо трети страни. При услугите бе наблюдавано двуцифрено нарастване на приходите от посещения на чужденци в страната, 15 %.</w:t>
      </w:r>
    </w:p>
    <w:p w:rsidR="006466C6" w:rsidRDefault="006466C6" w:rsidP="006466C6">
      <w:pPr>
        <w:jc w:val="both"/>
        <w:rPr>
          <w:lang w:eastAsia="bg-BG"/>
        </w:rPr>
      </w:pPr>
      <w:r>
        <w:rPr>
          <w:lang w:eastAsia="bg-BG"/>
        </w:rPr>
        <w:lastRenderedPageBreak/>
        <w:t xml:space="preserve">От последното тримесечие на 2022 г. в страната е налице тенденция към намаление на годишния темп на инфлация, който се сви до 3,1 % според ХИПЦ през март 2024 г. Забавянето на инфлационните процеси в страната се дължи в най-голяма степен на тенденцията на намаление на международните цени на суровините, както и на базов ефект от ускореното поскъпване през предходната година. Забавяне на поскъпването бе отчетено при всички основни компоненти на ХИПЦ, като най-съществено то бе при храни и безалкохолни напитки, а водещи за това бяха преработените храни. С най-висок положителен принос за формиране на инфлацията към март бяха услугите, следвани от неенергийните промишлени стоки и храните. Базисната инфлация също продължи да се забавя до 3,9 % на годишна база. </w:t>
      </w:r>
    </w:p>
    <w:p w:rsidR="006466C6" w:rsidRDefault="006466C6" w:rsidP="006466C6">
      <w:pPr>
        <w:spacing w:before="120"/>
        <w:jc w:val="both"/>
        <w:rPr>
          <w:color w:val="365F91" w:themeColor="accent1" w:themeShade="BF"/>
        </w:rPr>
      </w:pPr>
      <w:r>
        <w:rPr>
          <w:lang w:eastAsia="bg-BG"/>
        </w:rPr>
        <w:t xml:space="preserve">Търсенето на заемни ресурси от частния сектор се запази високо и през първото тримесечие на 2024 г. Темпът на нарастване на кредита за частния сектор възлезе на 12,9 % в края на март, спрямо 12,2 % в края на 2023 г. Ускорение се наблюдаваше и в двата основни сегмента – на домакинствата и нефинансовите компании. Кредитите за домакинства нараснаха със 17,5 % на годишна база, при 15,9 % в края на 2023 г. За тази динамика допринесоха както потребителските кредити, така и тези за покупка на жилища. Последните продължиха да се ускоряват и нарастването им възлезе на 22,7 % на годишна база. Продължаващото силно търсене на кредити за покупка на жилище беше мотивирано от задържащите се ниски номинални лихвени проценти, отрицателна реална възвръщаемост по депозитите, и растежа на доходите. Потребителските кредити ускориха годишния си растеж до 13,2 %, при 12,3 % в края на 2023 г., като лошите и преструктурирани кредити продължиха тенденцията си на намаление. </w:t>
      </w:r>
      <w:r w:rsidR="00E53532" w:rsidRPr="00E53532">
        <w:rPr>
          <w:lang w:eastAsia="bg-BG"/>
        </w:rPr>
        <w:t xml:space="preserve">Кредитите за нефинансови предприятия към края на март се увеличиха с 8,2 %, като водещ остана приноса на дългосрочните кредити и тези с </w:t>
      </w:r>
      <w:proofErr w:type="spellStart"/>
      <w:r w:rsidR="00E53532" w:rsidRPr="00E53532">
        <w:rPr>
          <w:lang w:eastAsia="bg-BG"/>
        </w:rPr>
        <w:t>матуритет</w:t>
      </w:r>
      <w:proofErr w:type="spellEnd"/>
      <w:r w:rsidR="00E53532" w:rsidRPr="00E53532">
        <w:rPr>
          <w:lang w:eastAsia="bg-BG"/>
        </w:rPr>
        <w:t xml:space="preserve"> над една до пет години. В същото време, депозитите на нефинансовите предприятия и домакинствата продължиха да нарастват, като при фирмите през тримесечието се наблюдаваше плавно забавяне. В резултат, потокът от привлечени средства за банковата система и силната конкуренция между банките продължи да подкрепя високия растеж на кредита за домакинствата</w:t>
      </w:r>
      <w:r>
        <w:rPr>
          <w:lang w:eastAsia="bg-BG"/>
        </w:rPr>
        <w:t>.</w:t>
      </w:r>
    </w:p>
    <w:p w:rsidR="006466C6" w:rsidRDefault="006466C6" w:rsidP="00205131">
      <w:pPr>
        <w:keepNext/>
        <w:keepLines/>
        <w:spacing w:before="240"/>
        <w:jc w:val="both"/>
        <w:outlineLvl w:val="2"/>
        <w:rPr>
          <w:b/>
          <w:u w:val="single"/>
          <w:lang w:eastAsia="bg-BG"/>
        </w:rPr>
      </w:pPr>
      <w:r>
        <w:rPr>
          <w:b/>
          <w:u w:val="single"/>
          <w:lang w:eastAsia="bg-BG"/>
        </w:rPr>
        <w:t>Основни акценти във връзка с текущото наблюдение на изпълнението на консолидираната фискална програма за първото тримесечие на 2024 г.</w:t>
      </w:r>
    </w:p>
    <w:p w:rsidR="006466C6" w:rsidRDefault="006466C6" w:rsidP="006466C6">
      <w:pPr>
        <w:spacing w:before="120"/>
        <w:jc w:val="both"/>
        <w:rPr>
          <w:color w:val="000000" w:themeColor="text1"/>
        </w:rPr>
      </w:pPr>
      <w:r>
        <w:rPr>
          <w:color w:val="000000" w:themeColor="text1"/>
        </w:rPr>
        <w:t>За разлика от предходните две години н</w:t>
      </w:r>
      <w:r w:rsidR="00472C6D">
        <w:rPr>
          <w:color w:val="000000" w:themeColor="text1"/>
        </w:rPr>
        <w:t>астоящата започна с приет Закон</w:t>
      </w:r>
      <w:r>
        <w:rPr>
          <w:color w:val="000000" w:themeColor="text1"/>
        </w:rPr>
        <w:t xml:space="preserve"> за държавния бюджет за 2024 г., което допринесе за подобряване на предвидимостта и завръщане към нормалните характеристики на бюджетния процес. Програмата за годината променя фокуса на бюджетната политика, който се измества от мерки за справяне с кризи към реализиране на инвестиционните програми за национални проекти и за общински обекти, както и продължаване на усилията за подобряване на условията за бизнес, социална подкрепа, инвестиции в образованието, здравеопазването, отбраната и други. Тези амбициозни политики оказват натиск върху общото ниво на разходите, което съответно изисква максимална мобилизация по отношение събираемостта на приходите.</w:t>
      </w:r>
    </w:p>
    <w:p w:rsidR="006466C6" w:rsidRDefault="006466C6" w:rsidP="006466C6">
      <w:pPr>
        <w:spacing w:before="120"/>
        <w:jc w:val="both"/>
        <w:rPr>
          <w:color w:val="000000" w:themeColor="text1"/>
        </w:rPr>
      </w:pPr>
      <w:r>
        <w:rPr>
          <w:color w:val="000000" w:themeColor="text1"/>
        </w:rPr>
        <w:t xml:space="preserve">От друга страна обаче, съществува несигурност по отношение на заложените за изпълнение параметри по Инвестиционната програма за общински </w:t>
      </w:r>
      <w:r w:rsidR="003C717C">
        <w:rPr>
          <w:color w:val="000000" w:themeColor="text1"/>
        </w:rPr>
        <w:t>про</w:t>
      </w:r>
      <w:r>
        <w:rPr>
          <w:color w:val="000000" w:themeColor="text1"/>
        </w:rPr>
        <w:t>екти, което е свързано със законовата възможност за промяна на списъка с инвестиционните проекти по Приложение 3 към чл. 10</w:t>
      </w:r>
      <w:r w:rsidR="00771C2B">
        <w:rPr>
          <w:color w:val="000000" w:themeColor="text1"/>
        </w:rPr>
        <w:t>7</w:t>
      </w:r>
      <w:r>
        <w:rPr>
          <w:color w:val="000000" w:themeColor="text1"/>
        </w:rPr>
        <w:t xml:space="preserve"> на ЗДБРБ за 2024 г., както и за промяна на размера на необходимото финансиране. Все още ранният етап на одобряване на проектите не дава възможност да се направи по-задълбочен анализ на параметрите по програмата, съответно да се оценят потенциални рискове по отношение на фискалните цели в годишен план. В тази връзка Министерството на регионалното развитие </w:t>
      </w:r>
      <w:r w:rsidR="009933E4">
        <w:rPr>
          <w:color w:val="000000" w:themeColor="text1"/>
        </w:rPr>
        <w:t xml:space="preserve">и благоустройството </w:t>
      </w:r>
      <w:r>
        <w:rPr>
          <w:color w:val="000000" w:themeColor="text1"/>
        </w:rPr>
        <w:t xml:space="preserve">следва да предприеме необходимите действия за стриктно администриране на програмата при спазване на утвърдените параметри за годината. </w:t>
      </w:r>
    </w:p>
    <w:p w:rsidR="006466C6" w:rsidRDefault="006466C6" w:rsidP="006466C6">
      <w:pPr>
        <w:spacing w:before="120"/>
        <w:jc w:val="both"/>
        <w:rPr>
          <w:color w:val="000000" w:themeColor="text1"/>
        </w:rPr>
      </w:pPr>
      <w:r>
        <w:rPr>
          <w:color w:val="000000" w:themeColor="text1"/>
        </w:rPr>
        <w:t>Друго предизвикателство, което на етапа на изготвянето на разчетите към ЗДБРБ за 2024 г. не е било възможно да се оцени</w:t>
      </w:r>
      <w:r w:rsidR="0061611D">
        <w:rPr>
          <w:color w:val="000000" w:themeColor="text1"/>
        </w:rPr>
        <w:t>,</w:t>
      </w:r>
      <w:r>
        <w:rPr>
          <w:color w:val="000000" w:themeColor="text1"/>
        </w:rPr>
        <w:t xml:space="preserve"> произтича от драстичния спад в цените за продажба на квоти за парникови газове на международните пазари, което води до по-ниски приходи във Фонд „Сигурност на електроенергийната система“</w:t>
      </w:r>
      <w:r w:rsidR="0061611D">
        <w:rPr>
          <w:color w:val="000000" w:themeColor="text1"/>
        </w:rPr>
        <w:t xml:space="preserve"> (Фонда)</w:t>
      </w:r>
      <w:r>
        <w:rPr>
          <w:color w:val="000000" w:themeColor="text1"/>
        </w:rPr>
        <w:t xml:space="preserve">. Този проблем се задълбочава и поради относително по-ниските продажни цени на производителите на електрическа енергия, респективно по-ниският размер на отчисленията </w:t>
      </w:r>
      <w:r w:rsidR="00565BFE">
        <w:rPr>
          <w:color w:val="000000" w:themeColor="text1"/>
        </w:rPr>
        <w:t xml:space="preserve">във Фонда </w:t>
      </w:r>
      <w:r>
        <w:rPr>
          <w:color w:val="000000" w:themeColor="text1"/>
        </w:rPr>
        <w:t xml:space="preserve">по реда на чл. 36е на Закона за </w:t>
      </w:r>
      <w:r>
        <w:rPr>
          <w:color w:val="000000" w:themeColor="text1"/>
        </w:rPr>
        <w:lastRenderedPageBreak/>
        <w:t>енергетиката. Спад</w:t>
      </w:r>
      <w:r w:rsidR="00490E94">
        <w:rPr>
          <w:color w:val="000000" w:themeColor="text1"/>
        </w:rPr>
        <w:t>ът</w:t>
      </w:r>
      <w:r>
        <w:rPr>
          <w:color w:val="000000" w:themeColor="text1"/>
        </w:rPr>
        <w:t xml:space="preserve"> на приходите на Фонда при сега действащото ценово решение на Комисията за енергийно и водно регулиране води до превишение на разходите над приходите на Фонда и съответно формира дефицит по КФП. Това съответно може да доведе до натиск от страна на разходите върху бюджетното салдо по КФП в годишен план.</w:t>
      </w:r>
    </w:p>
    <w:p w:rsidR="006466C6" w:rsidRDefault="006466C6" w:rsidP="006466C6">
      <w:pPr>
        <w:spacing w:before="120"/>
        <w:jc w:val="both"/>
        <w:rPr>
          <w:color w:val="000000" w:themeColor="text1"/>
        </w:rPr>
      </w:pPr>
      <w:r>
        <w:rPr>
          <w:color w:val="000000" w:themeColor="text1"/>
        </w:rPr>
        <w:t xml:space="preserve">Предвид ранния етап на изпълнението на данъчните приходи и приходите от осигурителни вноски, включително поради спецификата на данъчния календар, е трудно да се оценят потенциалните рискове по отношение на основните елементи на приходите. Въпреки това приетото в нарушение на чл. 19 </w:t>
      </w:r>
      <w:r w:rsidR="00587800">
        <w:rPr>
          <w:color w:val="000000" w:themeColor="text1"/>
        </w:rPr>
        <w:t>от</w:t>
      </w:r>
      <w:r>
        <w:rPr>
          <w:color w:val="000000" w:themeColor="text1"/>
        </w:rPr>
        <w:t xml:space="preserve"> Закона за публичните финанси Решение на Народното събрание за възлагане на министъра на енергетиката, респективно на „БЕХ“ ЕАД, за </w:t>
      </w:r>
      <w:proofErr w:type="spellStart"/>
      <w:r>
        <w:rPr>
          <w:color w:val="000000" w:themeColor="text1"/>
        </w:rPr>
        <w:t>неразпределяне</w:t>
      </w:r>
      <w:proofErr w:type="spellEnd"/>
      <w:r>
        <w:rPr>
          <w:color w:val="000000" w:themeColor="text1"/>
        </w:rPr>
        <w:t xml:space="preserve"> на дивидент</w:t>
      </w:r>
      <w:r w:rsidR="009933E4">
        <w:rPr>
          <w:color w:val="000000" w:themeColor="text1"/>
        </w:rPr>
        <w:t xml:space="preserve"> </w:t>
      </w:r>
      <w:r>
        <w:rPr>
          <w:color w:val="000000" w:themeColor="text1"/>
        </w:rPr>
        <w:t>от печалбата на „БЕХ“ ЕАД за финансовата 2023 г. може да окаже натиск върху бюджетната позиция от страна на приходите. Потенциални рискове при изпълнението на данъчните приходи могат да възникнат при влошаване на външната и/или вътрешната среда, негативните развития при цените на петрола и курсовете на основните валути спрямо допусканията при изготвянето на макрорамката на ЗДБРБ за 2024 г. и други непредвидени събития с отрицателен фискален ефект.</w:t>
      </w:r>
      <w:bookmarkEnd w:id="0"/>
    </w:p>
    <w:p w:rsidR="00AD5F24" w:rsidRPr="004B7A23" w:rsidRDefault="00AD5F24" w:rsidP="00C562E5">
      <w:pPr>
        <w:spacing w:after="120"/>
        <w:jc w:val="both"/>
        <w:rPr>
          <w:rFonts w:ascii="Calibri" w:eastAsia="Calibri" w:hAnsi="Calibri"/>
          <w:color w:val="0070C0"/>
          <w:sz w:val="22"/>
          <w:szCs w:val="22"/>
          <w:lang w:val="ru-RU"/>
        </w:rPr>
      </w:pPr>
      <w:r w:rsidRPr="004B7A23">
        <w:rPr>
          <w:rFonts w:ascii="Calibri" w:eastAsia="Calibri" w:hAnsi="Calibri"/>
          <w:color w:val="0070C0"/>
          <w:sz w:val="22"/>
          <w:szCs w:val="22"/>
          <w:lang w:val="ru-RU"/>
        </w:rPr>
        <w:br w:type="page"/>
      </w:r>
    </w:p>
    <w:p w:rsidR="00E74802" w:rsidRPr="00C909DB" w:rsidRDefault="00E74802" w:rsidP="00DC0AEF">
      <w:pPr>
        <w:pStyle w:val="Heading1"/>
        <w:numPr>
          <w:ilvl w:val="0"/>
          <w:numId w:val="9"/>
        </w:numPr>
        <w:ind w:right="-108"/>
        <w:jc w:val="both"/>
        <w:rPr>
          <w:sz w:val="24"/>
        </w:rPr>
      </w:pPr>
      <w:r w:rsidRPr="00C909DB">
        <w:rPr>
          <w:sz w:val="24"/>
        </w:rPr>
        <w:t>Основни показатели по консолидираната фискална програма</w:t>
      </w:r>
      <w:r w:rsidRPr="00C909DB">
        <w:rPr>
          <w:rStyle w:val="FootnoteReference"/>
          <w:sz w:val="24"/>
        </w:rPr>
        <w:footnoteReference w:id="2"/>
      </w:r>
      <w:r w:rsidRPr="00C909DB">
        <w:rPr>
          <w:sz w:val="24"/>
        </w:rPr>
        <w:t xml:space="preserve"> за </w:t>
      </w:r>
      <w:r w:rsidR="00DC0AEF" w:rsidRPr="00C909DB">
        <w:rPr>
          <w:sz w:val="24"/>
        </w:rPr>
        <w:t>първото тримесечие</w:t>
      </w:r>
      <w:r w:rsidR="00A60DE3" w:rsidRPr="00C909DB">
        <w:rPr>
          <w:sz w:val="24"/>
        </w:rPr>
        <w:t xml:space="preserve"> </w:t>
      </w:r>
      <w:r w:rsidRPr="00C909DB">
        <w:rPr>
          <w:sz w:val="24"/>
        </w:rPr>
        <w:t>на 20</w:t>
      </w:r>
      <w:r w:rsidR="001F7F82" w:rsidRPr="00C909DB">
        <w:rPr>
          <w:sz w:val="24"/>
        </w:rPr>
        <w:t>2</w:t>
      </w:r>
      <w:r w:rsidR="00DC0AEF" w:rsidRPr="00C909DB">
        <w:rPr>
          <w:sz w:val="24"/>
        </w:rPr>
        <w:t>4</w:t>
      </w:r>
      <w:r w:rsidRPr="00C909DB">
        <w:rPr>
          <w:sz w:val="24"/>
        </w:rPr>
        <w:t> г.</w:t>
      </w:r>
    </w:p>
    <w:p w:rsidR="00430A35" w:rsidRPr="004B7A23" w:rsidRDefault="00430A35" w:rsidP="00430A35">
      <w:pPr>
        <w:rPr>
          <w:color w:val="0070C0"/>
          <w:sz w:val="6"/>
          <w:szCs w:val="12"/>
        </w:rPr>
      </w:pPr>
    </w:p>
    <w:p w:rsidR="005B6C1F" w:rsidRPr="004B7A23" w:rsidRDefault="005B6C1F" w:rsidP="00E863AA">
      <w:pPr>
        <w:jc w:val="both"/>
        <w:rPr>
          <w:color w:val="0070C0"/>
          <w:lang w:val="ru-RU"/>
        </w:rPr>
      </w:pPr>
    </w:p>
    <w:p w:rsidR="0027080C" w:rsidRPr="002E54AC" w:rsidRDefault="0027080C" w:rsidP="0027080C">
      <w:pPr>
        <w:jc w:val="both"/>
      </w:pPr>
      <w:r w:rsidRPr="002E54AC">
        <w:t>Изпълнението на основните показатели по консолидираната фискална програма за първото тримесечие на 2024 г. е представено в следната таблица:</w:t>
      </w:r>
    </w:p>
    <w:p w:rsidR="0027080C" w:rsidRPr="004B7A23" w:rsidRDefault="0027080C" w:rsidP="0027080C">
      <w:pPr>
        <w:jc w:val="both"/>
        <w:rPr>
          <w:color w:val="0070C0"/>
          <w:sz w:val="4"/>
          <w:szCs w:val="4"/>
        </w:rPr>
      </w:pPr>
    </w:p>
    <w:p w:rsidR="0027080C" w:rsidRPr="00583FE3" w:rsidRDefault="0027080C" w:rsidP="0027080C">
      <w:pPr>
        <w:spacing w:before="120"/>
        <w:rPr>
          <w:b/>
          <w:i/>
          <w:sz w:val="18"/>
          <w:szCs w:val="18"/>
        </w:rPr>
      </w:pPr>
      <w:r w:rsidRPr="00583FE3">
        <w:rPr>
          <w:b/>
          <w:i/>
          <w:sz w:val="22"/>
          <w:szCs w:val="22"/>
        </w:rPr>
        <w:t>Таблица</w:t>
      </w:r>
      <w:r w:rsidRPr="00583FE3">
        <w:rPr>
          <w:b/>
          <w:i/>
          <w:sz w:val="22"/>
          <w:szCs w:val="22"/>
          <w:vertAlign w:val="superscript"/>
        </w:rPr>
        <w:footnoteReference w:id="3"/>
      </w:r>
      <w:r w:rsidRPr="00583FE3">
        <w:rPr>
          <w:b/>
          <w:i/>
          <w:sz w:val="22"/>
          <w:szCs w:val="22"/>
        </w:rPr>
        <w:t xml:space="preserve"> №1</w:t>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22"/>
          <w:szCs w:val="22"/>
        </w:rPr>
        <w:tab/>
      </w:r>
      <w:r w:rsidRPr="00583FE3">
        <w:rPr>
          <w:b/>
          <w:i/>
          <w:sz w:val="18"/>
          <w:szCs w:val="18"/>
        </w:rPr>
        <w:t>(млн. лв.)</w:t>
      </w:r>
    </w:p>
    <w:tbl>
      <w:tblPr>
        <w:tblW w:w="10254" w:type="dxa"/>
        <w:tblInd w:w="98" w:type="dxa"/>
        <w:tblLook w:val="04A0" w:firstRow="1" w:lastRow="0" w:firstColumn="1" w:lastColumn="0" w:noHBand="0" w:noVBand="1"/>
      </w:tblPr>
      <w:tblGrid>
        <w:gridCol w:w="4250"/>
        <w:gridCol w:w="1147"/>
        <w:gridCol w:w="1227"/>
        <w:gridCol w:w="1222"/>
        <w:gridCol w:w="1199"/>
        <w:gridCol w:w="1209"/>
      </w:tblGrid>
      <w:tr w:rsidR="0027080C" w:rsidRPr="00583FE3" w:rsidTr="006466C6">
        <w:trPr>
          <w:trHeight w:val="265"/>
        </w:trPr>
        <w:tc>
          <w:tcPr>
            <w:tcW w:w="4250"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ПОКАЗАТЕЛ</w:t>
            </w:r>
          </w:p>
        </w:tc>
        <w:tc>
          <w:tcPr>
            <w:tcW w:w="1147" w:type="dxa"/>
            <w:tcBorders>
              <w:top w:val="single" w:sz="8" w:space="0" w:color="auto"/>
              <w:left w:val="single" w:sz="4" w:space="0" w:color="auto"/>
              <w:bottom w:val="nil"/>
              <w:right w:val="single" w:sz="4" w:space="0" w:color="auto"/>
            </w:tcBorders>
            <w:shd w:val="clear" w:color="000000" w:fill="D9D9D9"/>
            <w:noWrap/>
            <w:vAlign w:val="bottom"/>
            <w:hideMark/>
          </w:tcPr>
          <w:p w:rsidR="0027080C" w:rsidRPr="00583FE3" w:rsidRDefault="0027080C" w:rsidP="006466C6">
            <w:pPr>
              <w:jc w:val="center"/>
              <w:rPr>
                <w:b/>
                <w:bCs/>
                <w:sz w:val="18"/>
                <w:szCs w:val="18"/>
                <w:highlight w:val="yellow"/>
              </w:rPr>
            </w:pPr>
            <w:r w:rsidRPr="00583FE3">
              <w:rPr>
                <w:b/>
                <w:bCs/>
                <w:sz w:val="18"/>
                <w:szCs w:val="18"/>
              </w:rPr>
              <w:t>Разчет 20</w:t>
            </w:r>
            <w:r w:rsidRPr="00583FE3">
              <w:rPr>
                <w:b/>
                <w:bCs/>
                <w:sz w:val="18"/>
                <w:szCs w:val="18"/>
                <w:lang w:val="en-US"/>
              </w:rPr>
              <w:t>2</w:t>
            </w:r>
            <w:r w:rsidRPr="00583FE3">
              <w:rPr>
                <w:b/>
                <w:bCs/>
                <w:sz w:val="18"/>
                <w:szCs w:val="18"/>
              </w:rPr>
              <w:t>4 г.</w:t>
            </w:r>
            <w:r w:rsidRPr="00583FE3">
              <w:rPr>
                <w:rStyle w:val="FootnoteReference"/>
                <w:b/>
                <w:bCs/>
                <w:sz w:val="18"/>
                <w:szCs w:val="18"/>
              </w:rPr>
              <w:footnoteReference w:id="4"/>
            </w:r>
          </w:p>
        </w:tc>
        <w:tc>
          <w:tcPr>
            <w:tcW w:w="364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27080C" w:rsidRPr="00583FE3" w:rsidRDefault="0027080C" w:rsidP="006466C6">
            <w:pPr>
              <w:jc w:val="center"/>
              <w:rPr>
                <w:b/>
                <w:bCs/>
                <w:sz w:val="18"/>
                <w:szCs w:val="18"/>
              </w:rPr>
            </w:pPr>
            <w:r w:rsidRPr="00583FE3">
              <w:rPr>
                <w:b/>
                <w:bCs/>
                <w:sz w:val="18"/>
                <w:szCs w:val="18"/>
              </w:rPr>
              <w:t xml:space="preserve">Отчет към </w:t>
            </w:r>
            <w:r w:rsidRPr="00583FE3">
              <w:rPr>
                <w:b/>
                <w:bCs/>
                <w:sz w:val="18"/>
                <w:szCs w:val="18"/>
                <w:lang w:val="en-US"/>
              </w:rPr>
              <w:t>31</w:t>
            </w:r>
            <w:r w:rsidRPr="00583FE3">
              <w:rPr>
                <w:b/>
                <w:bCs/>
                <w:sz w:val="18"/>
                <w:szCs w:val="18"/>
              </w:rPr>
              <w:t>.</w:t>
            </w:r>
            <w:r w:rsidRPr="00583FE3">
              <w:rPr>
                <w:b/>
                <w:bCs/>
                <w:sz w:val="18"/>
                <w:szCs w:val="18"/>
                <w:lang w:val="en-US"/>
              </w:rPr>
              <w:t>03</w:t>
            </w:r>
            <w:r w:rsidRPr="00583FE3">
              <w:rPr>
                <w:b/>
                <w:bCs/>
                <w:sz w:val="18"/>
                <w:szCs w:val="18"/>
              </w:rPr>
              <w:t>.20</w:t>
            </w:r>
            <w:r w:rsidRPr="00583FE3">
              <w:rPr>
                <w:b/>
                <w:bCs/>
                <w:sz w:val="18"/>
                <w:szCs w:val="18"/>
                <w:lang w:val="en-US"/>
              </w:rPr>
              <w:t>24</w:t>
            </w:r>
            <w:r w:rsidRPr="00583FE3">
              <w:rPr>
                <w:b/>
                <w:bCs/>
                <w:sz w:val="18"/>
                <w:szCs w:val="18"/>
              </w:rPr>
              <w:t xml:space="preserve"> г.</w:t>
            </w:r>
          </w:p>
        </w:tc>
        <w:tc>
          <w:tcPr>
            <w:tcW w:w="1209" w:type="dxa"/>
            <w:tcBorders>
              <w:top w:val="single" w:sz="8" w:space="0" w:color="auto"/>
              <w:left w:val="nil"/>
              <w:bottom w:val="nil"/>
              <w:right w:val="single" w:sz="8"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Изпълнение</w:t>
            </w:r>
          </w:p>
        </w:tc>
      </w:tr>
      <w:tr w:rsidR="0027080C" w:rsidRPr="00583FE3" w:rsidTr="006466C6">
        <w:trPr>
          <w:trHeight w:val="250"/>
        </w:trPr>
        <w:tc>
          <w:tcPr>
            <w:tcW w:w="4250" w:type="dxa"/>
            <w:vMerge/>
            <w:tcBorders>
              <w:top w:val="single" w:sz="8" w:space="0" w:color="auto"/>
              <w:left w:val="single" w:sz="8" w:space="0" w:color="auto"/>
              <w:bottom w:val="single" w:sz="4" w:space="0" w:color="000000"/>
              <w:right w:val="nil"/>
            </w:tcBorders>
            <w:vAlign w:val="center"/>
            <w:hideMark/>
          </w:tcPr>
          <w:p w:rsidR="0027080C" w:rsidRPr="00583FE3" w:rsidRDefault="0027080C" w:rsidP="006466C6">
            <w:pPr>
              <w:rPr>
                <w:b/>
                <w:bCs/>
                <w:sz w:val="18"/>
                <w:szCs w:val="18"/>
              </w:rPr>
            </w:pPr>
          </w:p>
        </w:tc>
        <w:tc>
          <w:tcPr>
            <w:tcW w:w="1147" w:type="dxa"/>
            <w:tcBorders>
              <w:top w:val="nil"/>
              <w:left w:val="single" w:sz="4" w:space="0" w:color="auto"/>
              <w:bottom w:val="single" w:sz="4" w:space="0" w:color="auto"/>
              <w:right w:val="single" w:sz="4"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 xml:space="preserve"> КФП</w:t>
            </w:r>
          </w:p>
        </w:tc>
        <w:tc>
          <w:tcPr>
            <w:tcW w:w="1227" w:type="dxa"/>
            <w:tcBorders>
              <w:top w:val="nil"/>
              <w:left w:val="nil"/>
              <w:bottom w:val="single" w:sz="4" w:space="0" w:color="auto"/>
              <w:right w:val="single" w:sz="4"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 xml:space="preserve"> КФП</w:t>
            </w:r>
          </w:p>
        </w:tc>
        <w:tc>
          <w:tcPr>
            <w:tcW w:w="1222" w:type="dxa"/>
            <w:tcBorders>
              <w:top w:val="nil"/>
              <w:left w:val="nil"/>
              <w:bottom w:val="single" w:sz="4" w:space="0" w:color="auto"/>
              <w:right w:val="single" w:sz="4"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Европейски средства</w:t>
            </w:r>
          </w:p>
        </w:tc>
        <w:tc>
          <w:tcPr>
            <w:tcW w:w="1209" w:type="dxa"/>
            <w:tcBorders>
              <w:top w:val="nil"/>
              <w:left w:val="nil"/>
              <w:bottom w:val="single" w:sz="4" w:space="0" w:color="auto"/>
              <w:right w:val="single" w:sz="8" w:space="0" w:color="auto"/>
            </w:tcBorders>
            <w:shd w:val="clear" w:color="000000" w:fill="D9D9D9"/>
            <w:noWrap/>
            <w:vAlign w:val="bottom"/>
            <w:hideMark/>
          </w:tcPr>
          <w:p w:rsidR="0027080C" w:rsidRPr="00583FE3" w:rsidRDefault="0027080C" w:rsidP="006466C6">
            <w:pPr>
              <w:jc w:val="center"/>
              <w:rPr>
                <w:b/>
                <w:bCs/>
                <w:sz w:val="18"/>
                <w:szCs w:val="18"/>
              </w:rPr>
            </w:pPr>
            <w:r w:rsidRPr="00583FE3">
              <w:rPr>
                <w:b/>
                <w:bCs/>
                <w:sz w:val="18"/>
                <w:szCs w:val="18"/>
              </w:rPr>
              <w:t>спрямо разчет</w:t>
            </w:r>
          </w:p>
        </w:tc>
      </w:tr>
      <w:tr w:rsidR="0027080C" w:rsidRPr="00583FE3" w:rsidTr="006466C6">
        <w:trPr>
          <w:trHeight w:val="265"/>
        </w:trPr>
        <w:tc>
          <w:tcPr>
            <w:tcW w:w="4250" w:type="dxa"/>
            <w:tcBorders>
              <w:top w:val="nil"/>
              <w:left w:val="single" w:sz="8" w:space="0" w:color="auto"/>
              <w:bottom w:val="single" w:sz="8" w:space="0" w:color="auto"/>
              <w:right w:val="nil"/>
            </w:tcBorders>
            <w:shd w:val="clear" w:color="000000" w:fill="D9D9D9"/>
            <w:noWrap/>
            <w:vAlign w:val="bottom"/>
            <w:hideMark/>
          </w:tcPr>
          <w:p w:rsidR="0027080C" w:rsidRPr="00583FE3" w:rsidRDefault="0027080C" w:rsidP="006466C6">
            <w:pPr>
              <w:jc w:val="center"/>
              <w:rPr>
                <w:sz w:val="18"/>
                <w:szCs w:val="18"/>
              </w:rPr>
            </w:pPr>
            <w:r w:rsidRPr="00583FE3">
              <w:rPr>
                <w:sz w:val="18"/>
                <w:szCs w:val="18"/>
              </w:rPr>
              <w:t>к.1</w:t>
            </w:r>
          </w:p>
        </w:tc>
        <w:tc>
          <w:tcPr>
            <w:tcW w:w="1147" w:type="dxa"/>
            <w:tcBorders>
              <w:top w:val="nil"/>
              <w:left w:val="single" w:sz="4" w:space="0" w:color="auto"/>
              <w:bottom w:val="single" w:sz="8" w:space="0" w:color="auto"/>
              <w:right w:val="single" w:sz="4" w:space="0" w:color="auto"/>
            </w:tcBorders>
            <w:shd w:val="clear" w:color="000000" w:fill="D9D9D9"/>
            <w:noWrap/>
            <w:vAlign w:val="bottom"/>
            <w:hideMark/>
          </w:tcPr>
          <w:p w:rsidR="0027080C" w:rsidRPr="00583FE3" w:rsidRDefault="0027080C" w:rsidP="006466C6">
            <w:pPr>
              <w:jc w:val="center"/>
              <w:rPr>
                <w:bCs/>
                <w:sz w:val="18"/>
                <w:szCs w:val="18"/>
              </w:rPr>
            </w:pPr>
            <w:r w:rsidRPr="00583FE3">
              <w:rPr>
                <w:bCs/>
                <w:sz w:val="18"/>
                <w:szCs w:val="18"/>
              </w:rPr>
              <w:t>к.2</w:t>
            </w:r>
          </w:p>
        </w:tc>
        <w:tc>
          <w:tcPr>
            <w:tcW w:w="1227" w:type="dxa"/>
            <w:tcBorders>
              <w:top w:val="nil"/>
              <w:left w:val="nil"/>
              <w:bottom w:val="single" w:sz="8" w:space="0" w:color="auto"/>
              <w:right w:val="single" w:sz="4" w:space="0" w:color="auto"/>
            </w:tcBorders>
            <w:shd w:val="clear" w:color="000000" w:fill="D9D9D9"/>
            <w:noWrap/>
            <w:vAlign w:val="bottom"/>
            <w:hideMark/>
          </w:tcPr>
          <w:p w:rsidR="0027080C" w:rsidRPr="00583FE3" w:rsidRDefault="0027080C" w:rsidP="006466C6">
            <w:pPr>
              <w:jc w:val="center"/>
              <w:rPr>
                <w:sz w:val="18"/>
                <w:szCs w:val="18"/>
              </w:rPr>
            </w:pPr>
            <w:r w:rsidRPr="00583FE3">
              <w:rPr>
                <w:sz w:val="18"/>
                <w:szCs w:val="18"/>
              </w:rPr>
              <w:t>к.3=к.4+к.5</w:t>
            </w:r>
          </w:p>
        </w:tc>
        <w:tc>
          <w:tcPr>
            <w:tcW w:w="1222" w:type="dxa"/>
            <w:tcBorders>
              <w:top w:val="nil"/>
              <w:left w:val="nil"/>
              <w:bottom w:val="single" w:sz="8" w:space="0" w:color="auto"/>
              <w:right w:val="single" w:sz="4" w:space="0" w:color="auto"/>
            </w:tcBorders>
            <w:shd w:val="clear" w:color="000000" w:fill="D9D9D9"/>
            <w:noWrap/>
            <w:vAlign w:val="bottom"/>
            <w:hideMark/>
          </w:tcPr>
          <w:p w:rsidR="0027080C" w:rsidRPr="00583FE3" w:rsidRDefault="0027080C" w:rsidP="006466C6">
            <w:pPr>
              <w:jc w:val="center"/>
              <w:rPr>
                <w:sz w:val="18"/>
                <w:szCs w:val="18"/>
              </w:rPr>
            </w:pPr>
            <w:r w:rsidRPr="00583FE3">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27080C" w:rsidRPr="00583FE3" w:rsidRDefault="0027080C" w:rsidP="006466C6">
            <w:pPr>
              <w:jc w:val="center"/>
              <w:rPr>
                <w:sz w:val="18"/>
                <w:szCs w:val="18"/>
              </w:rPr>
            </w:pPr>
            <w:r w:rsidRPr="00583FE3">
              <w:rPr>
                <w:sz w:val="18"/>
                <w:szCs w:val="18"/>
              </w:rPr>
              <w:t>к.5</w:t>
            </w:r>
          </w:p>
        </w:tc>
        <w:tc>
          <w:tcPr>
            <w:tcW w:w="1209" w:type="dxa"/>
            <w:tcBorders>
              <w:top w:val="nil"/>
              <w:left w:val="nil"/>
              <w:bottom w:val="single" w:sz="8" w:space="0" w:color="auto"/>
              <w:right w:val="single" w:sz="8" w:space="0" w:color="auto"/>
            </w:tcBorders>
            <w:shd w:val="clear" w:color="000000" w:fill="D9D9D9"/>
            <w:noWrap/>
            <w:vAlign w:val="bottom"/>
            <w:hideMark/>
          </w:tcPr>
          <w:p w:rsidR="0027080C" w:rsidRPr="00583FE3" w:rsidRDefault="0027080C" w:rsidP="006466C6">
            <w:pPr>
              <w:jc w:val="center"/>
              <w:rPr>
                <w:bCs/>
                <w:sz w:val="18"/>
                <w:szCs w:val="18"/>
              </w:rPr>
            </w:pPr>
            <w:r w:rsidRPr="00583FE3">
              <w:rPr>
                <w:bCs/>
                <w:sz w:val="18"/>
                <w:szCs w:val="18"/>
              </w:rPr>
              <w:t>к.6=к.3:к.2</w:t>
            </w:r>
          </w:p>
        </w:tc>
      </w:tr>
      <w:tr w:rsidR="0027080C" w:rsidRPr="004B7A23" w:rsidTr="006466C6">
        <w:trPr>
          <w:trHeight w:val="250"/>
        </w:trPr>
        <w:tc>
          <w:tcPr>
            <w:tcW w:w="4250" w:type="dxa"/>
            <w:tcBorders>
              <w:top w:val="single" w:sz="8" w:space="0" w:color="auto"/>
              <w:left w:val="single" w:sz="8" w:space="0" w:color="auto"/>
              <w:bottom w:val="nil"/>
              <w:right w:val="single" w:sz="4" w:space="0" w:color="auto"/>
            </w:tcBorders>
            <w:shd w:val="clear" w:color="auto" w:fill="auto"/>
            <w:noWrap/>
            <w:vAlign w:val="bottom"/>
            <w:hideMark/>
          </w:tcPr>
          <w:p w:rsidR="0027080C" w:rsidRPr="00AF223B" w:rsidRDefault="0027080C" w:rsidP="006466C6">
            <w:pPr>
              <w:rPr>
                <w:b/>
                <w:bCs/>
                <w:sz w:val="18"/>
                <w:szCs w:val="18"/>
              </w:rPr>
            </w:pPr>
            <w:r w:rsidRPr="00AF223B">
              <w:rPr>
                <w:b/>
                <w:bCs/>
                <w:sz w:val="18"/>
                <w:szCs w:val="18"/>
              </w:rPr>
              <w:t>ПРИХОДИ, ПОМОЩИ И ДАРЕНИЯ</w:t>
            </w:r>
          </w:p>
        </w:tc>
        <w:tc>
          <w:tcPr>
            <w:tcW w:w="1147" w:type="dxa"/>
            <w:tcBorders>
              <w:top w:val="nil"/>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75 289,7</w:t>
            </w:r>
          </w:p>
        </w:tc>
        <w:tc>
          <w:tcPr>
            <w:tcW w:w="1227" w:type="dxa"/>
            <w:tcBorders>
              <w:top w:val="nil"/>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15 757,1</w:t>
            </w:r>
          </w:p>
        </w:tc>
        <w:tc>
          <w:tcPr>
            <w:tcW w:w="1222" w:type="dxa"/>
            <w:tcBorders>
              <w:top w:val="nil"/>
              <w:left w:val="nil"/>
              <w:bottom w:val="nil"/>
              <w:right w:val="nil"/>
            </w:tcBorders>
            <w:shd w:val="clear" w:color="auto" w:fill="auto"/>
            <w:noWrap/>
            <w:vAlign w:val="bottom"/>
            <w:hideMark/>
          </w:tcPr>
          <w:p w:rsidR="0027080C" w:rsidRDefault="0027080C" w:rsidP="006466C6">
            <w:pPr>
              <w:jc w:val="right"/>
              <w:rPr>
                <w:b/>
                <w:bCs/>
                <w:color w:val="000000"/>
                <w:sz w:val="18"/>
                <w:szCs w:val="18"/>
              </w:rPr>
            </w:pPr>
            <w:r>
              <w:rPr>
                <w:b/>
                <w:bCs/>
                <w:color w:val="000000"/>
                <w:sz w:val="18"/>
                <w:szCs w:val="18"/>
              </w:rPr>
              <w:t>14 389,0</w:t>
            </w:r>
          </w:p>
        </w:tc>
        <w:tc>
          <w:tcPr>
            <w:tcW w:w="1199" w:type="dxa"/>
            <w:tcBorders>
              <w:top w:val="nil"/>
              <w:left w:val="nil"/>
              <w:bottom w:val="nil"/>
              <w:right w:val="nil"/>
            </w:tcBorders>
            <w:shd w:val="clear" w:color="auto" w:fill="auto"/>
            <w:noWrap/>
            <w:vAlign w:val="bottom"/>
            <w:hideMark/>
          </w:tcPr>
          <w:p w:rsidR="0027080C" w:rsidRDefault="0027080C" w:rsidP="006466C6">
            <w:pPr>
              <w:jc w:val="right"/>
              <w:rPr>
                <w:b/>
                <w:bCs/>
                <w:color w:val="000000"/>
                <w:sz w:val="18"/>
                <w:szCs w:val="18"/>
              </w:rPr>
            </w:pPr>
            <w:r>
              <w:rPr>
                <w:b/>
                <w:bCs/>
                <w:color w:val="000000"/>
                <w:sz w:val="18"/>
                <w:szCs w:val="18"/>
              </w:rPr>
              <w:t>1 368,0</w:t>
            </w:r>
          </w:p>
        </w:tc>
        <w:tc>
          <w:tcPr>
            <w:tcW w:w="1209" w:type="dxa"/>
            <w:tcBorders>
              <w:top w:val="single" w:sz="8" w:space="0" w:color="auto"/>
              <w:left w:val="nil"/>
              <w:bottom w:val="nil"/>
              <w:right w:val="single" w:sz="8" w:space="0" w:color="auto"/>
            </w:tcBorders>
            <w:shd w:val="clear" w:color="auto" w:fill="auto"/>
            <w:noWrap/>
            <w:vAlign w:val="bottom"/>
            <w:hideMark/>
          </w:tcPr>
          <w:p w:rsidR="0027080C" w:rsidRDefault="0027080C" w:rsidP="006466C6">
            <w:pPr>
              <w:jc w:val="right"/>
              <w:rPr>
                <w:b/>
                <w:bCs/>
                <w:sz w:val="18"/>
                <w:szCs w:val="18"/>
              </w:rPr>
            </w:pPr>
            <w:r>
              <w:rPr>
                <w:b/>
                <w:bCs/>
                <w:sz w:val="18"/>
                <w:szCs w:val="18"/>
              </w:rPr>
              <w:t>20,9%</w:t>
            </w:r>
          </w:p>
        </w:tc>
      </w:tr>
      <w:tr w:rsidR="0027080C" w:rsidRPr="004B7A23" w:rsidTr="006466C6">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27080C" w:rsidRPr="00AF223B" w:rsidRDefault="0027080C" w:rsidP="006466C6">
            <w:pPr>
              <w:rPr>
                <w:sz w:val="18"/>
                <w:szCs w:val="18"/>
              </w:rPr>
            </w:pPr>
            <w:r w:rsidRPr="00AF223B">
              <w:rPr>
                <w:sz w:val="18"/>
                <w:szCs w:val="18"/>
              </w:rPr>
              <w:t xml:space="preserve">  Данъчни приходи</w:t>
            </w:r>
          </w:p>
        </w:tc>
        <w:tc>
          <w:tcPr>
            <w:tcW w:w="1147" w:type="dxa"/>
            <w:tcBorders>
              <w:top w:val="nil"/>
              <w:left w:val="nil"/>
              <w:bottom w:val="nil"/>
              <w:right w:val="nil"/>
            </w:tcBorders>
            <w:shd w:val="clear" w:color="auto" w:fill="auto"/>
            <w:noWrap/>
            <w:vAlign w:val="bottom"/>
            <w:hideMark/>
          </w:tcPr>
          <w:p w:rsidR="0027080C" w:rsidRDefault="0027080C" w:rsidP="006466C6">
            <w:pPr>
              <w:jc w:val="right"/>
              <w:rPr>
                <w:sz w:val="18"/>
                <w:szCs w:val="18"/>
              </w:rPr>
            </w:pPr>
            <w:r>
              <w:rPr>
                <w:sz w:val="18"/>
                <w:szCs w:val="18"/>
              </w:rPr>
              <w:t>57 950,8</w:t>
            </w:r>
          </w:p>
        </w:tc>
        <w:tc>
          <w:tcPr>
            <w:tcW w:w="1227" w:type="dxa"/>
            <w:tcBorders>
              <w:top w:val="nil"/>
              <w:left w:val="nil"/>
              <w:bottom w:val="nil"/>
              <w:right w:val="nil"/>
            </w:tcBorders>
            <w:shd w:val="clear" w:color="auto" w:fill="auto"/>
            <w:noWrap/>
            <w:vAlign w:val="bottom"/>
            <w:hideMark/>
          </w:tcPr>
          <w:p w:rsidR="0027080C" w:rsidRDefault="0027080C" w:rsidP="006466C6">
            <w:pPr>
              <w:jc w:val="right"/>
              <w:rPr>
                <w:sz w:val="18"/>
                <w:szCs w:val="18"/>
              </w:rPr>
            </w:pPr>
            <w:r>
              <w:rPr>
                <w:sz w:val="18"/>
                <w:szCs w:val="18"/>
              </w:rPr>
              <w:t>12 026,5</w:t>
            </w:r>
          </w:p>
        </w:tc>
        <w:tc>
          <w:tcPr>
            <w:tcW w:w="1222" w:type="dxa"/>
            <w:tcBorders>
              <w:top w:val="nil"/>
              <w:left w:val="nil"/>
              <w:bottom w:val="nil"/>
              <w:right w:val="nil"/>
            </w:tcBorders>
            <w:shd w:val="clear" w:color="auto" w:fill="auto"/>
            <w:noWrap/>
            <w:vAlign w:val="bottom"/>
            <w:hideMark/>
          </w:tcPr>
          <w:p w:rsidR="0027080C" w:rsidRDefault="0027080C" w:rsidP="006466C6">
            <w:pPr>
              <w:jc w:val="right"/>
              <w:rPr>
                <w:color w:val="000000"/>
                <w:sz w:val="18"/>
                <w:szCs w:val="18"/>
              </w:rPr>
            </w:pPr>
            <w:r>
              <w:rPr>
                <w:color w:val="000000"/>
                <w:sz w:val="18"/>
                <w:szCs w:val="18"/>
              </w:rPr>
              <w:t>12 026,5</w:t>
            </w:r>
          </w:p>
        </w:tc>
        <w:tc>
          <w:tcPr>
            <w:tcW w:w="1199" w:type="dxa"/>
            <w:tcBorders>
              <w:top w:val="nil"/>
              <w:left w:val="nil"/>
              <w:bottom w:val="nil"/>
              <w:right w:val="nil"/>
            </w:tcBorders>
            <w:shd w:val="clear" w:color="auto" w:fill="auto"/>
            <w:noWrap/>
            <w:vAlign w:val="bottom"/>
            <w:hideMark/>
          </w:tcPr>
          <w:p w:rsidR="0027080C" w:rsidRDefault="0027080C" w:rsidP="006466C6">
            <w:pPr>
              <w:jc w:val="right"/>
              <w:rPr>
                <w:color w:val="000000"/>
                <w:sz w:val="18"/>
                <w:szCs w:val="18"/>
              </w:rPr>
            </w:pPr>
          </w:p>
        </w:tc>
        <w:tc>
          <w:tcPr>
            <w:tcW w:w="1209" w:type="dxa"/>
            <w:tcBorders>
              <w:top w:val="nil"/>
              <w:left w:val="nil"/>
              <w:bottom w:val="nil"/>
              <w:right w:val="single" w:sz="8" w:space="0" w:color="auto"/>
            </w:tcBorders>
            <w:shd w:val="clear" w:color="auto" w:fill="auto"/>
            <w:noWrap/>
            <w:vAlign w:val="bottom"/>
            <w:hideMark/>
          </w:tcPr>
          <w:p w:rsidR="0027080C" w:rsidRDefault="0027080C" w:rsidP="006466C6">
            <w:pPr>
              <w:jc w:val="right"/>
              <w:rPr>
                <w:sz w:val="18"/>
                <w:szCs w:val="18"/>
              </w:rPr>
            </w:pPr>
            <w:r>
              <w:rPr>
                <w:sz w:val="18"/>
                <w:szCs w:val="18"/>
              </w:rPr>
              <w:t>20,8%</w:t>
            </w:r>
          </w:p>
        </w:tc>
      </w:tr>
      <w:tr w:rsidR="0027080C" w:rsidRPr="004B7A23" w:rsidTr="006466C6">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27080C" w:rsidRPr="00AF223B" w:rsidRDefault="0027080C" w:rsidP="006466C6">
            <w:pPr>
              <w:rPr>
                <w:sz w:val="18"/>
                <w:szCs w:val="18"/>
              </w:rPr>
            </w:pPr>
            <w:r w:rsidRPr="00AF223B">
              <w:rPr>
                <w:sz w:val="18"/>
                <w:szCs w:val="18"/>
              </w:rPr>
              <w:t xml:space="preserve">  Неданъчни приходи</w:t>
            </w:r>
          </w:p>
        </w:tc>
        <w:tc>
          <w:tcPr>
            <w:tcW w:w="1147" w:type="dxa"/>
            <w:tcBorders>
              <w:top w:val="nil"/>
              <w:left w:val="nil"/>
              <w:bottom w:val="nil"/>
              <w:right w:val="nil"/>
            </w:tcBorders>
            <w:shd w:val="clear" w:color="auto" w:fill="auto"/>
            <w:noWrap/>
            <w:vAlign w:val="bottom"/>
            <w:hideMark/>
          </w:tcPr>
          <w:p w:rsidR="0027080C" w:rsidRDefault="0027080C" w:rsidP="006466C6">
            <w:pPr>
              <w:jc w:val="right"/>
              <w:rPr>
                <w:sz w:val="18"/>
                <w:szCs w:val="18"/>
              </w:rPr>
            </w:pPr>
            <w:r>
              <w:rPr>
                <w:sz w:val="18"/>
                <w:szCs w:val="18"/>
              </w:rPr>
              <w:t>10 258,2</w:t>
            </w:r>
          </w:p>
        </w:tc>
        <w:tc>
          <w:tcPr>
            <w:tcW w:w="1227" w:type="dxa"/>
            <w:tcBorders>
              <w:top w:val="nil"/>
              <w:left w:val="nil"/>
              <w:right w:val="nil"/>
            </w:tcBorders>
            <w:shd w:val="clear" w:color="auto" w:fill="auto"/>
            <w:noWrap/>
            <w:vAlign w:val="bottom"/>
            <w:hideMark/>
          </w:tcPr>
          <w:p w:rsidR="0027080C" w:rsidRDefault="0027080C" w:rsidP="006466C6">
            <w:pPr>
              <w:jc w:val="right"/>
              <w:rPr>
                <w:sz w:val="18"/>
                <w:szCs w:val="18"/>
              </w:rPr>
            </w:pPr>
            <w:r>
              <w:rPr>
                <w:sz w:val="18"/>
                <w:szCs w:val="18"/>
              </w:rPr>
              <w:t>2 321,7</w:t>
            </w:r>
          </w:p>
        </w:tc>
        <w:tc>
          <w:tcPr>
            <w:tcW w:w="1222" w:type="dxa"/>
            <w:tcBorders>
              <w:top w:val="nil"/>
              <w:left w:val="nil"/>
              <w:right w:val="nil"/>
            </w:tcBorders>
            <w:shd w:val="clear" w:color="auto" w:fill="auto"/>
            <w:noWrap/>
            <w:vAlign w:val="bottom"/>
            <w:hideMark/>
          </w:tcPr>
          <w:p w:rsidR="0027080C" w:rsidRDefault="0027080C" w:rsidP="006466C6">
            <w:pPr>
              <w:jc w:val="right"/>
              <w:rPr>
                <w:color w:val="000000"/>
                <w:sz w:val="18"/>
                <w:szCs w:val="18"/>
              </w:rPr>
            </w:pPr>
            <w:r>
              <w:rPr>
                <w:color w:val="000000"/>
                <w:sz w:val="18"/>
                <w:szCs w:val="18"/>
              </w:rPr>
              <w:t>2 323,3</w:t>
            </w:r>
          </w:p>
        </w:tc>
        <w:tc>
          <w:tcPr>
            <w:tcW w:w="1199" w:type="dxa"/>
            <w:tcBorders>
              <w:top w:val="nil"/>
              <w:left w:val="nil"/>
              <w:right w:val="nil"/>
            </w:tcBorders>
            <w:shd w:val="clear" w:color="auto" w:fill="auto"/>
            <w:noWrap/>
            <w:vAlign w:val="bottom"/>
            <w:hideMark/>
          </w:tcPr>
          <w:p w:rsidR="0027080C" w:rsidRDefault="0027080C" w:rsidP="006466C6">
            <w:pPr>
              <w:jc w:val="right"/>
              <w:rPr>
                <w:color w:val="000000"/>
                <w:sz w:val="18"/>
                <w:szCs w:val="18"/>
              </w:rPr>
            </w:pPr>
            <w:r>
              <w:rPr>
                <w:color w:val="000000"/>
                <w:sz w:val="18"/>
                <w:szCs w:val="18"/>
              </w:rPr>
              <w:t>-1,6</w:t>
            </w:r>
          </w:p>
        </w:tc>
        <w:tc>
          <w:tcPr>
            <w:tcW w:w="1209" w:type="dxa"/>
            <w:tcBorders>
              <w:top w:val="nil"/>
              <w:left w:val="nil"/>
              <w:right w:val="single" w:sz="8" w:space="0" w:color="auto"/>
            </w:tcBorders>
            <w:shd w:val="clear" w:color="auto" w:fill="auto"/>
            <w:noWrap/>
            <w:vAlign w:val="bottom"/>
            <w:hideMark/>
          </w:tcPr>
          <w:p w:rsidR="0027080C" w:rsidRDefault="0027080C" w:rsidP="006466C6">
            <w:pPr>
              <w:jc w:val="right"/>
              <w:rPr>
                <w:sz w:val="18"/>
                <w:szCs w:val="18"/>
              </w:rPr>
            </w:pPr>
            <w:r>
              <w:rPr>
                <w:sz w:val="18"/>
                <w:szCs w:val="18"/>
              </w:rPr>
              <w:t>22,6%</w:t>
            </w:r>
          </w:p>
        </w:tc>
      </w:tr>
      <w:tr w:rsidR="0027080C" w:rsidRPr="004B7A23" w:rsidTr="006466C6">
        <w:trPr>
          <w:trHeight w:val="250"/>
        </w:trPr>
        <w:tc>
          <w:tcPr>
            <w:tcW w:w="4250" w:type="dxa"/>
            <w:tcBorders>
              <w:top w:val="nil"/>
              <w:left w:val="single" w:sz="8" w:space="0" w:color="auto"/>
              <w:bottom w:val="single" w:sz="4" w:space="0" w:color="auto"/>
              <w:right w:val="single" w:sz="4" w:space="0" w:color="auto"/>
            </w:tcBorders>
            <w:shd w:val="clear" w:color="auto" w:fill="auto"/>
            <w:noWrap/>
            <w:vAlign w:val="bottom"/>
            <w:hideMark/>
          </w:tcPr>
          <w:p w:rsidR="0027080C" w:rsidRPr="00AF223B" w:rsidRDefault="0027080C" w:rsidP="006466C6">
            <w:pPr>
              <w:rPr>
                <w:sz w:val="18"/>
                <w:szCs w:val="18"/>
              </w:rPr>
            </w:pPr>
            <w:r w:rsidRPr="00AF223B">
              <w:rPr>
                <w:sz w:val="18"/>
                <w:szCs w:val="18"/>
              </w:rPr>
              <w:t xml:space="preserve">  Помощи и дарения</w:t>
            </w:r>
          </w:p>
        </w:tc>
        <w:tc>
          <w:tcPr>
            <w:tcW w:w="1147" w:type="dxa"/>
            <w:tcBorders>
              <w:top w:val="nil"/>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7 080,7</w:t>
            </w:r>
          </w:p>
        </w:tc>
        <w:tc>
          <w:tcPr>
            <w:tcW w:w="1227" w:type="dxa"/>
            <w:tcBorders>
              <w:top w:val="nil"/>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1 408,9</w:t>
            </w:r>
          </w:p>
        </w:tc>
        <w:tc>
          <w:tcPr>
            <w:tcW w:w="1222" w:type="dxa"/>
            <w:tcBorders>
              <w:top w:val="nil"/>
              <w:left w:val="nil"/>
              <w:bottom w:val="single" w:sz="4" w:space="0" w:color="auto"/>
              <w:right w:val="nil"/>
            </w:tcBorders>
            <w:shd w:val="clear" w:color="auto" w:fill="auto"/>
            <w:noWrap/>
            <w:vAlign w:val="bottom"/>
            <w:hideMark/>
          </w:tcPr>
          <w:p w:rsidR="0027080C" w:rsidRDefault="0027080C" w:rsidP="006466C6">
            <w:pPr>
              <w:jc w:val="right"/>
              <w:rPr>
                <w:color w:val="000000"/>
                <w:sz w:val="18"/>
                <w:szCs w:val="18"/>
              </w:rPr>
            </w:pPr>
            <w:r>
              <w:rPr>
                <w:color w:val="000000"/>
                <w:sz w:val="18"/>
                <w:szCs w:val="18"/>
              </w:rPr>
              <w:t>39,3</w:t>
            </w:r>
          </w:p>
        </w:tc>
        <w:tc>
          <w:tcPr>
            <w:tcW w:w="1199" w:type="dxa"/>
            <w:tcBorders>
              <w:top w:val="nil"/>
              <w:left w:val="nil"/>
              <w:bottom w:val="single" w:sz="4" w:space="0" w:color="auto"/>
              <w:right w:val="nil"/>
            </w:tcBorders>
            <w:shd w:val="clear" w:color="auto" w:fill="auto"/>
            <w:noWrap/>
            <w:vAlign w:val="bottom"/>
            <w:hideMark/>
          </w:tcPr>
          <w:p w:rsidR="0027080C" w:rsidRDefault="0027080C" w:rsidP="006466C6">
            <w:pPr>
              <w:jc w:val="right"/>
              <w:rPr>
                <w:color w:val="000000"/>
                <w:sz w:val="18"/>
                <w:szCs w:val="18"/>
              </w:rPr>
            </w:pPr>
            <w:r>
              <w:rPr>
                <w:color w:val="000000"/>
                <w:sz w:val="18"/>
                <w:szCs w:val="18"/>
              </w:rPr>
              <w:t>1 369,6</w:t>
            </w:r>
          </w:p>
        </w:tc>
        <w:tc>
          <w:tcPr>
            <w:tcW w:w="1209" w:type="dxa"/>
            <w:tcBorders>
              <w:top w:val="nil"/>
              <w:left w:val="nil"/>
              <w:bottom w:val="single" w:sz="4" w:space="0" w:color="auto"/>
              <w:right w:val="single" w:sz="8" w:space="0" w:color="auto"/>
            </w:tcBorders>
            <w:shd w:val="clear" w:color="auto" w:fill="auto"/>
            <w:noWrap/>
            <w:vAlign w:val="bottom"/>
            <w:hideMark/>
          </w:tcPr>
          <w:p w:rsidR="0027080C" w:rsidRDefault="0027080C" w:rsidP="006466C6">
            <w:pPr>
              <w:jc w:val="right"/>
              <w:rPr>
                <w:sz w:val="18"/>
                <w:szCs w:val="18"/>
              </w:rPr>
            </w:pPr>
            <w:r>
              <w:rPr>
                <w:sz w:val="18"/>
                <w:szCs w:val="18"/>
              </w:rPr>
              <w:t>19,9%</w:t>
            </w:r>
          </w:p>
        </w:tc>
      </w:tr>
      <w:tr w:rsidR="0027080C" w:rsidRPr="004B7A23" w:rsidTr="006466C6">
        <w:trPr>
          <w:trHeight w:val="472"/>
        </w:trPr>
        <w:tc>
          <w:tcPr>
            <w:tcW w:w="4250" w:type="dxa"/>
            <w:tcBorders>
              <w:top w:val="single" w:sz="4" w:space="0" w:color="auto"/>
              <w:left w:val="single" w:sz="8" w:space="0" w:color="auto"/>
              <w:bottom w:val="nil"/>
              <w:right w:val="single" w:sz="4" w:space="0" w:color="auto"/>
            </w:tcBorders>
            <w:shd w:val="clear" w:color="auto" w:fill="auto"/>
            <w:vAlign w:val="bottom"/>
            <w:hideMark/>
          </w:tcPr>
          <w:p w:rsidR="0027080C" w:rsidRPr="00AF223B" w:rsidRDefault="0027080C" w:rsidP="006466C6">
            <w:pPr>
              <w:rPr>
                <w:b/>
                <w:bCs/>
                <w:sz w:val="18"/>
                <w:szCs w:val="18"/>
              </w:rPr>
            </w:pPr>
            <w:r w:rsidRPr="00AF223B">
              <w:rPr>
                <w:b/>
                <w:bCs/>
                <w:sz w:val="18"/>
                <w:szCs w:val="18"/>
              </w:rPr>
              <w:t>РАЗХОДИ И ВНОСКА ЗА ОБЩИЯ БЮДЖЕТ НА ЕС</w:t>
            </w:r>
          </w:p>
        </w:tc>
        <w:tc>
          <w:tcPr>
            <w:tcW w:w="1147" w:type="dxa"/>
            <w:tcBorders>
              <w:top w:val="single" w:sz="4" w:space="0" w:color="auto"/>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81 509,0</w:t>
            </w:r>
          </w:p>
        </w:tc>
        <w:tc>
          <w:tcPr>
            <w:tcW w:w="1227" w:type="dxa"/>
            <w:tcBorders>
              <w:top w:val="single" w:sz="4" w:space="0" w:color="auto"/>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15 353,4</w:t>
            </w:r>
          </w:p>
        </w:tc>
        <w:tc>
          <w:tcPr>
            <w:tcW w:w="1222" w:type="dxa"/>
            <w:tcBorders>
              <w:top w:val="single" w:sz="4" w:space="0" w:color="auto"/>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14 795,4</w:t>
            </w:r>
          </w:p>
        </w:tc>
        <w:tc>
          <w:tcPr>
            <w:tcW w:w="1199" w:type="dxa"/>
            <w:tcBorders>
              <w:top w:val="single" w:sz="4" w:space="0" w:color="auto"/>
              <w:left w:val="nil"/>
              <w:bottom w:val="nil"/>
              <w:right w:val="nil"/>
            </w:tcBorders>
            <w:shd w:val="clear" w:color="auto" w:fill="auto"/>
            <w:noWrap/>
            <w:vAlign w:val="bottom"/>
            <w:hideMark/>
          </w:tcPr>
          <w:p w:rsidR="0027080C" w:rsidRDefault="0027080C" w:rsidP="006466C6">
            <w:pPr>
              <w:jc w:val="right"/>
              <w:rPr>
                <w:b/>
                <w:bCs/>
                <w:sz w:val="18"/>
                <w:szCs w:val="18"/>
              </w:rPr>
            </w:pPr>
            <w:r>
              <w:rPr>
                <w:b/>
                <w:bCs/>
                <w:sz w:val="18"/>
                <w:szCs w:val="18"/>
              </w:rPr>
              <w:t>558,0</w:t>
            </w:r>
          </w:p>
        </w:tc>
        <w:tc>
          <w:tcPr>
            <w:tcW w:w="1209" w:type="dxa"/>
            <w:tcBorders>
              <w:top w:val="nil"/>
              <w:left w:val="nil"/>
              <w:bottom w:val="nil"/>
              <w:right w:val="single" w:sz="8" w:space="0" w:color="auto"/>
            </w:tcBorders>
            <w:shd w:val="clear" w:color="auto" w:fill="auto"/>
            <w:noWrap/>
            <w:vAlign w:val="bottom"/>
            <w:hideMark/>
          </w:tcPr>
          <w:p w:rsidR="0027080C" w:rsidRDefault="0027080C" w:rsidP="006466C6">
            <w:pPr>
              <w:jc w:val="right"/>
              <w:rPr>
                <w:b/>
                <w:bCs/>
                <w:sz w:val="18"/>
                <w:szCs w:val="18"/>
              </w:rPr>
            </w:pPr>
            <w:r>
              <w:rPr>
                <w:b/>
                <w:bCs/>
                <w:sz w:val="18"/>
                <w:szCs w:val="18"/>
              </w:rPr>
              <w:t>18,8%</w:t>
            </w:r>
          </w:p>
        </w:tc>
      </w:tr>
      <w:tr w:rsidR="0027080C" w:rsidRPr="00E72DBA" w:rsidTr="006466C6">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27080C" w:rsidRPr="00E72DBA" w:rsidRDefault="0027080C" w:rsidP="006466C6">
            <w:pPr>
              <w:rPr>
                <w:sz w:val="18"/>
                <w:szCs w:val="18"/>
              </w:rPr>
            </w:pPr>
            <w:r w:rsidRPr="00E72DBA">
              <w:rPr>
                <w:sz w:val="18"/>
                <w:szCs w:val="18"/>
              </w:rPr>
              <w:t xml:space="preserve">  Нелихвени</w:t>
            </w:r>
            <w:r w:rsidRPr="00E72DBA">
              <w:rPr>
                <w:rStyle w:val="FootnoteReference"/>
                <w:sz w:val="18"/>
                <w:szCs w:val="18"/>
              </w:rPr>
              <w:footnoteReference w:id="5"/>
            </w:r>
          </w:p>
        </w:tc>
        <w:tc>
          <w:tcPr>
            <w:tcW w:w="1147"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77 857,2</w:t>
            </w:r>
          </w:p>
        </w:tc>
        <w:tc>
          <w:tcPr>
            <w:tcW w:w="1227"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14 676,4</w:t>
            </w:r>
          </w:p>
        </w:tc>
        <w:tc>
          <w:tcPr>
            <w:tcW w:w="1222"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14 118,4</w:t>
            </w:r>
          </w:p>
        </w:tc>
        <w:tc>
          <w:tcPr>
            <w:tcW w:w="1199"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558,0</w:t>
            </w:r>
          </w:p>
        </w:tc>
        <w:tc>
          <w:tcPr>
            <w:tcW w:w="1209" w:type="dxa"/>
            <w:tcBorders>
              <w:top w:val="nil"/>
              <w:left w:val="nil"/>
              <w:bottom w:val="nil"/>
              <w:right w:val="single" w:sz="8" w:space="0" w:color="auto"/>
            </w:tcBorders>
            <w:shd w:val="clear" w:color="auto" w:fill="auto"/>
            <w:noWrap/>
            <w:vAlign w:val="bottom"/>
            <w:hideMark/>
          </w:tcPr>
          <w:p w:rsidR="0027080C" w:rsidRPr="00E72DBA" w:rsidRDefault="0027080C" w:rsidP="006466C6">
            <w:pPr>
              <w:jc w:val="right"/>
              <w:rPr>
                <w:sz w:val="18"/>
                <w:szCs w:val="18"/>
              </w:rPr>
            </w:pPr>
            <w:r w:rsidRPr="00E72DBA">
              <w:rPr>
                <w:sz w:val="18"/>
                <w:szCs w:val="18"/>
              </w:rPr>
              <w:t>18,9%</w:t>
            </w:r>
          </w:p>
        </w:tc>
      </w:tr>
      <w:tr w:rsidR="0027080C" w:rsidRPr="004B7A23" w:rsidTr="006466C6">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27080C" w:rsidRPr="00E72DBA" w:rsidRDefault="0027080C" w:rsidP="006466C6">
            <w:pPr>
              <w:rPr>
                <w:sz w:val="18"/>
                <w:szCs w:val="18"/>
              </w:rPr>
            </w:pPr>
            <w:r w:rsidRPr="00E72DBA">
              <w:rPr>
                <w:sz w:val="18"/>
                <w:szCs w:val="18"/>
              </w:rPr>
              <w:t xml:space="preserve">  Лихвени</w:t>
            </w:r>
          </w:p>
        </w:tc>
        <w:tc>
          <w:tcPr>
            <w:tcW w:w="1147"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1 010,6</w:t>
            </w:r>
          </w:p>
        </w:tc>
        <w:tc>
          <w:tcPr>
            <w:tcW w:w="1227"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337,7</w:t>
            </w:r>
          </w:p>
        </w:tc>
        <w:tc>
          <w:tcPr>
            <w:tcW w:w="1222" w:type="dxa"/>
            <w:tcBorders>
              <w:top w:val="nil"/>
              <w:left w:val="nil"/>
              <w:bottom w:val="nil"/>
              <w:right w:val="nil"/>
            </w:tcBorders>
            <w:shd w:val="clear" w:color="auto" w:fill="auto"/>
            <w:noWrap/>
            <w:vAlign w:val="bottom"/>
            <w:hideMark/>
          </w:tcPr>
          <w:p w:rsidR="0027080C" w:rsidRPr="00E72DBA" w:rsidRDefault="0027080C" w:rsidP="006466C6">
            <w:pPr>
              <w:jc w:val="right"/>
              <w:rPr>
                <w:sz w:val="18"/>
                <w:szCs w:val="18"/>
              </w:rPr>
            </w:pPr>
            <w:r w:rsidRPr="00E72DBA">
              <w:rPr>
                <w:sz w:val="18"/>
                <w:szCs w:val="18"/>
              </w:rPr>
              <w:t>337,7</w:t>
            </w:r>
          </w:p>
        </w:tc>
        <w:tc>
          <w:tcPr>
            <w:tcW w:w="1199" w:type="dxa"/>
            <w:tcBorders>
              <w:top w:val="nil"/>
              <w:left w:val="nil"/>
              <w:bottom w:val="nil"/>
              <w:right w:val="nil"/>
            </w:tcBorders>
            <w:shd w:val="clear" w:color="auto" w:fill="auto"/>
            <w:noWrap/>
            <w:vAlign w:val="bottom"/>
          </w:tcPr>
          <w:p w:rsidR="0027080C" w:rsidRPr="00E72DBA" w:rsidRDefault="0027080C" w:rsidP="006466C6">
            <w:pPr>
              <w:jc w:val="right"/>
              <w:rPr>
                <w:sz w:val="18"/>
                <w:szCs w:val="18"/>
              </w:rPr>
            </w:pPr>
          </w:p>
        </w:tc>
        <w:tc>
          <w:tcPr>
            <w:tcW w:w="1209" w:type="dxa"/>
            <w:tcBorders>
              <w:top w:val="nil"/>
              <w:left w:val="nil"/>
              <w:bottom w:val="nil"/>
              <w:right w:val="single" w:sz="8" w:space="0" w:color="auto"/>
            </w:tcBorders>
            <w:shd w:val="clear" w:color="auto" w:fill="auto"/>
            <w:noWrap/>
            <w:vAlign w:val="bottom"/>
            <w:hideMark/>
          </w:tcPr>
          <w:p w:rsidR="0027080C" w:rsidRPr="00E72DBA" w:rsidRDefault="0027080C" w:rsidP="006466C6">
            <w:pPr>
              <w:jc w:val="right"/>
              <w:rPr>
                <w:sz w:val="18"/>
                <w:szCs w:val="18"/>
              </w:rPr>
            </w:pPr>
            <w:r w:rsidRPr="00E72DBA">
              <w:rPr>
                <w:sz w:val="18"/>
                <w:szCs w:val="18"/>
              </w:rPr>
              <w:t>33,4%</w:t>
            </w:r>
          </w:p>
        </w:tc>
      </w:tr>
      <w:tr w:rsidR="0027080C" w:rsidRPr="004B7A23" w:rsidTr="006466C6">
        <w:trPr>
          <w:trHeight w:val="250"/>
        </w:trPr>
        <w:tc>
          <w:tcPr>
            <w:tcW w:w="4250" w:type="dxa"/>
            <w:tcBorders>
              <w:top w:val="nil"/>
              <w:left w:val="single" w:sz="8" w:space="0" w:color="auto"/>
              <w:bottom w:val="nil"/>
              <w:right w:val="single" w:sz="4" w:space="0" w:color="auto"/>
            </w:tcBorders>
            <w:noWrap/>
            <w:vAlign w:val="bottom"/>
          </w:tcPr>
          <w:p w:rsidR="0027080C" w:rsidRPr="00AF223B" w:rsidRDefault="0027080C" w:rsidP="006466C6">
            <w:pPr>
              <w:rPr>
                <w:sz w:val="18"/>
                <w:szCs w:val="18"/>
              </w:rPr>
            </w:pPr>
            <w:r w:rsidRPr="00587800">
              <w:rPr>
                <w:sz w:val="18"/>
                <w:szCs w:val="18"/>
                <w:lang w:val="ru-RU"/>
              </w:rPr>
              <w:t xml:space="preserve">  </w:t>
            </w:r>
            <w:r w:rsidRPr="00AF223B">
              <w:rPr>
                <w:sz w:val="18"/>
                <w:szCs w:val="18"/>
              </w:rPr>
              <w:t>Резерв за неотложни и непредвидени разходи</w:t>
            </w:r>
          </w:p>
        </w:tc>
        <w:tc>
          <w:tcPr>
            <w:tcW w:w="1147" w:type="dxa"/>
            <w:tcBorders>
              <w:top w:val="nil"/>
              <w:left w:val="nil"/>
              <w:right w:val="nil"/>
            </w:tcBorders>
            <w:shd w:val="clear" w:color="auto" w:fill="auto"/>
            <w:noWrap/>
            <w:vAlign w:val="bottom"/>
          </w:tcPr>
          <w:p w:rsidR="0027080C" w:rsidRDefault="0027080C" w:rsidP="006466C6">
            <w:pPr>
              <w:jc w:val="right"/>
              <w:rPr>
                <w:sz w:val="18"/>
                <w:szCs w:val="18"/>
              </w:rPr>
            </w:pPr>
            <w:r>
              <w:rPr>
                <w:sz w:val="18"/>
                <w:szCs w:val="18"/>
              </w:rPr>
              <w:t>370,2</w:t>
            </w:r>
          </w:p>
        </w:tc>
        <w:tc>
          <w:tcPr>
            <w:tcW w:w="1227" w:type="dxa"/>
            <w:tcBorders>
              <w:top w:val="nil"/>
              <w:left w:val="nil"/>
              <w:right w:val="nil"/>
            </w:tcBorders>
            <w:shd w:val="clear" w:color="auto" w:fill="auto"/>
            <w:noWrap/>
            <w:vAlign w:val="bottom"/>
          </w:tcPr>
          <w:p w:rsidR="0027080C" w:rsidRDefault="0027080C" w:rsidP="006466C6">
            <w:pPr>
              <w:jc w:val="right"/>
              <w:rPr>
                <w:sz w:val="18"/>
                <w:szCs w:val="18"/>
              </w:rPr>
            </w:pPr>
          </w:p>
        </w:tc>
        <w:tc>
          <w:tcPr>
            <w:tcW w:w="1222" w:type="dxa"/>
            <w:tcBorders>
              <w:top w:val="nil"/>
              <w:left w:val="nil"/>
              <w:right w:val="nil"/>
            </w:tcBorders>
            <w:shd w:val="clear" w:color="auto" w:fill="auto"/>
            <w:noWrap/>
            <w:vAlign w:val="bottom"/>
          </w:tcPr>
          <w:p w:rsidR="0027080C" w:rsidRDefault="0027080C" w:rsidP="006466C6">
            <w:pPr>
              <w:rPr>
                <w:sz w:val="20"/>
                <w:szCs w:val="20"/>
              </w:rPr>
            </w:pPr>
          </w:p>
        </w:tc>
        <w:tc>
          <w:tcPr>
            <w:tcW w:w="1199" w:type="dxa"/>
            <w:tcBorders>
              <w:top w:val="nil"/>
              <w:left w:val="nil"/>
              <w:right w:val="nil"/>
            </w:tcBorders>
            <w:shd w:val="clear" w:color="auto" w:fill="auto"/>
            <w:noWrap/>
            <w:vAlign w:val="bottom"/>
          </w:tcPr>
          <w:p w:rsidR="0027080C" w:rsidRDefault="0027080C" w:rsidP="006466C6">
            <w:pPr>
              <w:rPr>
                <w:sz w:val="20"/>
                <w:szCs w:val="20"/>
              </w:rPr>
            </w:pPr>
          </w:p>
        </w:tc>
        <w:tc>
          <w:tcPr>
            <w:tcW w:w="1209" w:type="dxa"/>
            <w:tcBorders>
              <w:top w:val="nil"/>
              <w:left w:val="nil"/>
              <w:right w:val="single" w:sz="8" w:space="0" w:color="auto"/>
            </w:tcBorders>
            <w:shd w:val="clear" w:color="auto" w:fill="auto"/>
            <w:noWrap/>
            <w:vAlign w:val="bottom"/>
          </w:tcPr>
          <w:p w:rsidR="0027080C" w:rsidRDefault="0027080C" w:rsidP="006466C6">
            <w:pPr>
              <w:rPr>
                <w:sz w:val="18"/>
                <w:szCs w:val="18"/>
              </w:rPr>
            </w:pPr>
            <w:r>
              <w:rPr>
                <w:sz w:val="18"/>
                <w:szCs w:val="18"/>
              </w:rPr>
              <w:t> </w:t>
            </w:r>
          </w:p>
        </w:tc>
      </w:tr>
      <w:tr w:rsidR="0027080C" w:rsidRPr="004B7A23" w:rsidTr="006466C6">
        <w:trPr>
          <w:trHeight w:val="250"/>
        </w:trPr>
        <w:tc>
          <w:tcPr>
            <w:tcW w:w="4250" w:type="dxa"/>
            <w:tcBorders>
              <w:top w:val="nil"/>
              <w:left w:val="single" w:sz="8" w:space="0" w:color="auto"/>
              <w:bottom w:val="single" w:sz="4" w:space="0" w:color="auto"/>
              <w:right w:val="single" w:sz="4" w:space="0" w:color="auto"/>
            </w:tcBorders>
            <w:shd w:val="clear" w:color="auto" w:fill="auto"/>
            <w:noWrap/>
            <w:vAlign w:val="bottom"/>
            <w:hideMark/>
          </w:tcPr>
          <w:p w:rsidR="0027080C" w:rsidRPr="00AF223B" w:rsidRDefault="0027080C" w:rsidP="006466C6">
            <w:pPr>
              <w:rPr>
                <w:sz w:val="18"/>
                <w:szCs w:val="18"/>
              </w:rPr>
            </w:pPr>
            <w:r w:rsidRPr="00AF223B">
              <w:rPr>
                <w:sz w:val="18"/>
                <w:szCs w:val="18"/>
              </w:rPr>
              <w:t xml:space="preserve">  Вноска за общия бюджет на ЕС</w:t>
            </w:r>
          </w:p>
        </w:tc>
        <w:tc>
          <w:tcPr>
            <w:tcW w:w="1147" w:type="dxa"/>
            <w:tcBorders>
              <w:top w:val="nil"/>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2 271,1</w:t>
            </w:r>
          </w:p>
        </w:tc>
        <w:tc>
          <w:tcPr>
            <w:tcW w:w="1227" w:type="dxa"/>
            <w:tcBorders>
              <w:top w:val="nil"/>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339,3</w:t>
            </w:r>
          </w:p>
        </w:tc>
        <w:tc>
          <w:tcPr>
            <w:tcW w:w="1222" w:type="dxa"/>
            <w:tcBorders>
              <w:top w:val="nil"/>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339,3</w:t>
            </w:r>
          </w:p>
        </w:tc>
        <w:tc>
          <w:tcPr>
            <w:tcW w:w="1199" w:type="dxa"/>
            <w:tcBorders>
              <w:top w:val="nil"/>
              <w:left w:val="nil"/>
              <w:bottom w:val="single" w:sz="4" w:space="0" w:color="auto"/>
              <w:right w:val="nil"/>
            </w:tcBorders>
            <w:shd w:val="clear" w:color="auto" w:fill="auto"/>
            <w:noWrap/>
            <w:vAlign w:val="bottom"/>
          </w:tcPr>
          <w:p w:rsidR="0027080C" w:rsidRDefault="0027080C" w:rsidP="006466C6">
            <w:pPr>
              <w:jc w:val="right"/>
              <w:rPr>
                <w:sz w:val="18"/>
                <w:szCs w:val="18"/>
              </w:rPr>
            </w:pPr>
          </w:p>
        </w:tc>
        <w:tc>
          <w:tcPr>
            <w:tcW w:w="1209" w:type="dxa"/>
            <w:tcBorders>
              <w:top w:val="nil"/>
              <w:left w:val="nil"/>
              <w:bottom w:val="single" w:sz="4" w:space="0" w:color="auto"/>
              <w:right w:val="single" w:sz="8" w:space="0" w:color="auto"/>
            </w:tcBorders>
            <w:shd w:val="clear" w:color="auto" w:fill="auto"/>
            <w:noWrap/>
            <w:vAlign w:val="bottom"/>
            <w:hideMark/>
          </w:tcPr>
          <w:p w:rsidR="0027080C" w:rsidRDefault="0027080C" w:rsidP="006466C6">
            <w:pPr>
              <w:jc w:val="right"/>
              <w:rPr>
                <w:sz w:val="18"/>
                <w:szCs w:val="18"/>
              </w:rPr>
            </w:pPr>
            <w:r>
              <w:rPr>
                <w:sz w:val="18"/>
                <w:szCs w:val="18"/>
              </w:rPr>
              <w:t>14,9%</w:t>
            </w:r>
          </w:p>
        </w:tc>
      </w:tr>
      <w:tr w:rsidR="0027080C" w:rsidRPr="004B7A23" w:rsidTr="006466C6">
        <w:trPr>
          <w:trHeight w:val="250"/>
        </w:trPr>
        <w:tc>
          <w:tcPr>
            <w:tcW w:w="42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7080C" w:rsidRPr="00AF223B" w:rsidRDefault="0027080C" w:rsidP="006466C6">
            <w:pPr>
              <w:rPr>
                <w:sz w:val="18"/>
                <w:szCs w:val="18"/>
              </w:rPr>
            </w:pPr>
            <w:r w:rsidRPr="00AF223B">
              <w:rPr>
                <w:sz w:val="18"/>
                <w:szCs w:val="18"/>
              </w:rPr>
              <w:t>Трансфери</w:t>
            </w:r>
            <w:r w:rsidRPr="00AF223B">
              <w:rPr>
                <w:sz w:val="18"/>
                <w:szCs w:val="18"/>
                <w:lang w:val="en-US"/>
              </w:rPr>
              <w:t xml:space="preserve"> </w:t>
            </w:r>
            <w:r w:rsidRPr="00AF223B">
              <w:rPr>
                <w:sz w:val="18"/>
                <w:szCs w:val="18"/>
              </w:rPr>
              <w:t>-</w:t>
            </w:r>
            <w:r w:rsidRPr="00AF223B">
              <w:rPr>
                <w:sz w:val="18"/>
                <w:szCs w:val="18"/>
                <w:lang w:val="en-US"/>
              </w:rPr>
              <w:t xml:space="preserve"> </w:t>
            </w:r>
            <w:r w:rsidRPr="00AF223B">
              <w:rPr>
                <w:sz w:val="18"/>
                <w:szCs w:val="18"/>
              </w:rPr>
              <w:t>нето</w:t>
            </w:r>
          </w:p>
        </w:tc>
        <w:tc>
          <w:tcPr>
            <w:tcW w:w="1147" w:type="dxa"/>
            <w:tcBorders>
              <w:top w:val="single" w:sz="4" w:space="0" w:color="auto"/>
              <w:left w:val="nil"/>
              <w:bottom w:val="single" w:sz="4" w:space="0" w:color="auto"/>
              <w:right w:val="nil"/>
            </w:tcBorders>
            <w:shd w:val="clear" w:color="auto" w:fill="auto"/>
            <w:noWrap/>
            <w:vAlign w:val="bottom"/>
            <w:hideMark/>
          </w:tcPr>
          <w:p w:rsidR="0027080C" w:rsidRDefault="0027080C" w:rsidP="006466C6">
            <w:pPr>
              <w:jc w:val="right"/>
              <w:rPr>
                <w:sz w:val="18"/>
                <w:szCs w:val="18"/>
              </w:rPr>
            </w:pPr>
          </w:p>
        </w:tc>
        <w:tc>
          <w:tcPr>
            <w:tcW w:w="1227" w:type="dxa"/>
            <w:tcBorders>
              <w:top w:val="single" w:sz="4" w:space="0" w:color="auto"/>
              <w:left w:val="nil"/>
              <w:bottom w:val="single" w:sz="4" w:space="0" w:color="auto"/>
              <w:right w:val="nil"/>
            </w:tcBorders>
            <w:shd w:val="clear" w:color="auto" w:fill="auto"/>
            <w:noWrap/>
            <w:vAlign w:val="bottom"/>
            <w:hideMark/>
          </w:tcPr>
          <w:p w:rsidR="0027080C" w:rsidRDefault="0027080C" w:rsidP="006466C6">
            <w:pPr>
              <w:jc w:val="right"/>
              <w:rPr>
                <w:sz w:val="18"/>
                <w:szCs w:val="18"/>
              </w:rPr>
            </w:pPr>
          </w:p>
        </w:tc>
        <w:tc>
          <w:tcPr>
            <w:tcW w:w="1222" w:type="dxa"/>
            <w:tcBorders>
              <w:top w:val="single" w:sz="4" w:space="0" w:color="auto"/>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-215,3</w:t>
            </w:r>
          </w:p>
        </w:tc>
        <w:tc>
          <w:tcPr>
            <w:tcW w:w="1199" w:type="dxa"/>
            <w:tcBorders>
              <w:top w:val="single" w:sz="4" w:space="0" w:color="auto"/>
              <w:left w:val="nil"/>
              <w:bottom w:val="single" w:sz="4" w:space="0" w:color="auto"/>
              <w:right w:val="nil"/>
            </w:tcBorders>
            <w:shd w:val="clear" w:color="auto" w:fill="auto"/>
            <w:noWrap/>
            <w:vAlign w:val="bottom"/>
            <w:hideMark/>
          </w:tcPr>
          <w:p w:rsidR="0027080C" w:rsidRDefault="0027080C" w:rsidP="006466C6">
            <w:pPr>
              <w:jc w:val="right"/>
              <w:rPr>
                <w:sz w:val="18"/>
                <w:szCs w:val="18"/>
              </w:rPr>
            </w:pPr>
            <w:r>
              <w:rPr>
                <w:sz w:val="18"/>
                <w:szCs w:val="18"/>
              </w:rPr>
              <w:t>215,3</w:t>
            </w:r>
          </w:p>
        </w:tc>
        <w:tc>
          <w:tcPr>
            <w:tcW w:w="1209" w:type="dxa"/>
            <w:tcBorders>
              <w:top w:val="single" w:sz="4" w:space="0" w:color="auto"/>
              <w:left w:val="nil"/>
              <w:bottom w:val="single" w:sz="4" w:space="0" w:color="auto"/>
              <w:right w:val="single" w:sz="8" w:space="0" w:color="auto"/>
            </w:tcBorders>
            <w:shd w:val="clear" w:color="auto" w:fill="auto"/>
            <w:noWrap/>
            <w:vAlign w:val="bottom"/>
            <w:hideMark/>
          </w:tcPr>
          <w:p w:rsidR="0027080C" w:rsidRDefault="0027080C" w:rsidP="006466C6">
            <w:pPr>
              <w:rPr>
                <w:b/>
                <w:bCs/>
                <w:sz w:val="18"/>
                <w:szCs w:val="18"/>
              </w:rPr>
            </w:pPr>
            <w:r>
              <w:rPr>
                <w:b/>
                <w:bCs/>
                <w:sz w:val="18"/>
                <w:szCs w:val="18"/>
              </w:rPr>
              <w:t> </w:t>
            </w:r>
          </w:p>
        </w:tc>
      </w:tr>
      <w:tr w:rsidR="0027080C" w:rsidRPr="004B7A23" w:rsidTr="006466C6">
        <w:trPr>
          <w:trHeight w:val="265"/>
        </w:trPr>
        <w:tc>
          <w:tcPr>
            <w:tcW w:w="4250" w:type="dxa"/>
            <w:tcBorders>
              <w:top w:val="single" w:sz="4" w:space="0" w:color="auto"/>
              <w:left w:val="single" w:sz="8" w:space="0" w:color="auto"/>
              <w:bottom w:val="single" w:sz="8" w:space="0" w:color="auto"/>
              <w:right w:val="single" w:sz="4" w:space="0" w:color="auto"/>
            </w:tcBorders>
            <w:shd w:val="clear" w:color="000000" w:fill="FFFFFF" w:themeFill="background1"/>
            <w:noWrap/>
            <w:vAlign w:val="bottom"/>
            <w:hideMark/>
          </w:tcPr>
          <w:p w:rsidR="0027080C" w:rsidRPr="00AF223B" w:rsidRDefault="0027080C" w:rsidP="006466C6">
            <w:pPr>
              <w:rPr>
                <w:b/>
                <w:bCs/>
                <w:sz w:val="18"/>
                <w:szCs w:val="18"/>
              </w:rPr>
            </w:pPr>
            <w:r w:rsidRPr="00AF223B">
              <w:rPr>
                <w:b/>
                <w:bCs/>
                <w:sz w:val="18"/>
                <w:szCs w:val="18"/>
              </w:rPr>
              <w:t>БЮДЖЕТНО САЛДО</w:t>
            </w:r>
          </w:p>
        </w:tc>
        <w:tc>
          <w:tcPr>
            <w:tcW w:w="1147" w:type="dxa"/>
            <w:tcBorders>
              <w:top w:val="single" w:sz="4" w:space="0" w:color="auto"/>
              <w:left w:val="single" w:sz="4" w:space="0" w:color="auto"/>
              <w:bottom w:val="single" w:sz="8" w:space="0" w:color="auto"/>
              <w:right w:val="nil"/>
            </w:tcBorders>
            <w:shd w:val="clear" w:color="auto" w:fill="auto"/>
            <w:noWrap/>
            <w:vAlign w:val="bottom"/>
            <w:hideMark/>
          </w:tcPr>
          <w:p w:rsidR="0027080C" w:rsidRDefault="0027080C" w:rsidP="006466C6">
            <w:pPr>
              <w:jc w:val="right"/>
              <w:rPr>
                <w:b/>
                <w:bCs/>
                <w:sz w:val="18"/>
                <w:szCs w:val="18"/>
              </w:rPr>
            </w:pPr>
            <w:r>
              <w:rPr>
                <w:b/>
                <w:bCs/>
                <w:sz w:val="18"/>
                <w:szCs w:val="18"/>
              </w:rPr>
              <w:t>-6 219,3</w:t>
            </w:r>
          </w:p>
        </w:tc>
        <w:tc>
          <w:tcPr>
            <w:tcW w:w="1227" w:type="dxa"/>
            <w:tcBorders>
              <w:top w:val="single" w:sz="4" w:space="0" w:color="auto"/>
              <w:left w:val="nil"/>
              <w:bottom w:val="single" w:sz="8" w:space="0" w:color="auto"/>
              <w:right w:val="nil"/>
            </w:tcBorders>
            <w:shd w:val="clear" w:color="auto" w:fill="auto"/>
            <w:noWrap/>
            <w:vAlign w:val="bottom"/>
            <w:hideMark/>
          </w:tcPr>
          <w:p w:rsidR="0027080C" w:rsidRDefault="0027080C" w:rsidP="006466C6">
            <w:pPr>
              <w:jc w:val="right"/>
              <w:rPr>
                <w:b/>
                <w:bCs/>
                <w:sz w:val="18"/>
                <w:szCs w:val="18"/>
              </w:rPr>
            </w:pPr>
            <w:r>
              <w:rPr>
                <w:b/>
                <w:bCs/>
                <w:sz w:val="18"/>
                <w:szCs w:val="18"/>
              </w:rPr>
              <w:t>403,7</w:t>
            </w:r>
          </w:p>
        </w:tc>
        <w:tc>
          <w:tcPr>
            <w:tcW w:w="1222" w:type="dxa"/>
            <w:tcBorders>
              <w:top w:val="single" w:sz="4" w:space="0" w:color="auto"/>
              <w:left w:val="nil"/>
              <w:bottom w:val="single" w:sz="8" w:space="0" w:color="auto"/>
              <w:right w:val="nil"/>
            </w:tcBorders>
            <w:shd w:val="clear" w:color="auto" w:fill="auto"/>
            <w:noWrap/>
            <w:vAlign w:val="bottom"/>
            <w:hideMark/>
          </w:tcPr>
          <w:p w:rsidR="0027080C" w:rsidRDefault="0027080C" w:rsidP="006466C6">
            <w:pPr>
              <w:jc w:val="right"/>
              <w:rPr>
                <w:b/>
                <w:bCs/>
                <w:color w:val="000000"/>
                <w:sz w:val="18"/>
                <w:szCs w:val="18"/>
              </w:rPr>
            </w:pPr>
            <w:r>
              <w:rPr>
                <w:b/>
                <w:bCs/>
                <w:color w:val="000000"/>
                <w:sz w:val="18"/>
                <w:szCs w:val="18"/>
              </w:rPr>
              <w:t>-621,7</w:t>
            </w:r>
          </w:p>
        </w:tc>
        <w:tc>
          <w:tcPr>
            <w:tcW w:w="1199" w:type="dxa"/>
            <w:tcBorders>
              <w:top w:val="single" w:sz="4" w:space="0" w:color="auto"/>
              <w:left w:val="nil"/>
              <w:bottom w:val="single" w:sz="8" w:space="0" w:color="auto"/>
              <w:right w:val="nil"/>
            </w:tcBorders>
            <w:shd w:val="clear" w:color="auto" w:fill="auto"/>
            <w:noWrap/>
            <w:vAlign w:val="bottom"/>
            <w:hideMark/>
          </w:tcPr>
          <w:p w:rsidR="0027080C" w:rsidRDefault="0027080C" w:rsidP="006466C6">
            <w:pPr>
              <w:jc w:val="right"/>
              <w:rPr>
                <w:b/>
                <w:bCs/>
                <w:color w:val="000000"/>
                <w:sz w:val="18"/>
                <w:szCs w:val="18"/>
              </w:rPr>
            </w:pPr>
            <w:r>
              <w:rPr>
                <w:b/>
                <w:bCs/>
                <w:color w:val="000000"/>
                <w:sz w:val="18"/>
                <w:szCs w:val="18"/>
              </w:rPr>
              <w:t>1 025,4</w:t>
            </w:r>
          </w:p>
        </w:tc>
        <w:tc>
          <w:tcPr>
            <w:tcW w:w="1209" w:type="dxa"/>
            <w:tcBorders>
              <w:top w:val="single" w:sz="4" w:space="0" w:color="auto"/>
              <w:left w:val="nil"/>
              <w:bottom w:val="single" w:sz="8" w:space="0" w:color="auto"/>
              <w:right w:val="single" w:sz="8" w:space="0" w:color="auto"/>
            </w:tcBorders>
            <w:shd w:val="clear" w:color="auto" w:fill="auto"/>
            <w:noWrap/>
            <w:vAlign w:val="bottom"/>
          </w:tcPr>
          <w:p w:rsidR="0027080C" w:rsidRDefault="0027080C" w:rsidP="006466C6">
            <w:pPr>
              <w:jc w:val="right"/>
              <w:rPr>
                <w:sz w:val="18"/>
                <w:szCs w:val="18"/>
              </w:rPr>
            </w:pPr>
          </w:p>
        </w:tc>
      </w:tr>
    </w:tbl>
    <w:p w:rsidR="0027080C" w:rsidRPr="004B7A23" w:rsidRDefault="0027080C" w:rsidP="0027080C">
      <w:pPr>
        <w:ind w:left="360"/>
        <w:jc w:val="both"/>
        <w:rPr>
          <w:color w:val="0070C0"/>
          <w:sz w:val="22"/>
        </w:rPr>
      </w:pPr>
    </w:p>
    <w:p w:rsidR="0027080C" w:rsidRPr="004B7A23" w:rsidRDefault="0027080C" w:rsidP="0027080C">
      <w:pPr>
        <w:tabs>
          <w:tab w:val="num" w:pos="2880"/>
        </w:tabs>
        <w:jc w:val="both"/>
        <w:rPr>
          <w:rFonts w:eastAsia="Calibri"/>
          <w:color w:val="0070C0"/>
        </w:rPr>
      </w:pPr>
    </w:p>
    <w:p w:rsidR="0027080C" w:rsidRPr="00B01DFD" w:rsidRDefault="0027080C" w:rsidP="0027080C">
      <w:pPr>
        <w:numPr>
          <w:ilvl w:val="1"/>
          <w:numId w:val="10"/>
        </w:numPr>
        <w:tabs>
          <w:tab w:val="num" w:pos="426"/>
        </w:tabs>
        <w:ind w:left="0" w:firstLine="0"/>
        <w:jc w:val="both"/>
        <w:rPr>
          <w:rFonts w:eastAsia="Calibri"/>
        </w:rPr>
      </w:pPr>
      <w:r w:rsidRPr="00B01DFD">
        <w:rPr>
          <w:b/>
        </w:rPr>
        <w:t>Приходите, помощите и даренията по консолидираната фискална програма</w:t>
      </w:r>
      <w:r w:rsidRPr="00B01DFD">
        <w:t xml:space="preserve"> (КФП) за</w:t>
      </w:r>
      <w:r w:rsidRPr="00B01DFD">
        <w:rPr>
          <w:b/>
        </w:rPr>
        <w:t xml:space="preserve"> </w:t>
      </w:r>
      <w:r w:rsidRPr="00B01DFD">
        <w:t xml:space="preserve">първото тримесечие на 2024 г. са в размер на </w:t>
      </w:r>
      <w:r w:rsidRPr="00B01DFD">
        <w:rPr>
          <w:b/>
          <w:bCs/>
          <w:lang w:val="ru-RU"/>
        </w:rPr>
        <w:t>15 757,1 </w:t>
      </w:r>
      <w:r w:rsidRPr="00B01DFD">
        <w:rPr>
          <w:b/>
          <w:bCs/>
          <w:lang w:eastAsia="bg-BG"/>
        </w:rPr>
        <w:t>млн. лв</w:t>
      </w:r>
      <w:r w:rsidRPr="00B01DFD">
        <w:rPr>
          <w:bCs/>
          <w:lang w:eastAsia="bg-BG"/>
        </w:rPr>
        <w:t>.</w:t>
      </w:r>
      <w:r w:rsidRPr="00B01DFD">
        <w:rPr>
          <w:b/>
          <w:bCs/>
          <w:lang w:eastAsia="bg-BG"/>
        </w:rPr>
        <w:t>, което представлява 20,9 % от разчетите към ЗДБРБ за 2024 година.</w:t>
      </w:r>
      <w:r w:rsidRPr="00B01DFD">
        <w:rPr>
          <w:bCs/>
          <w:lang w:eastAsia="bg-BG"/>
        </w:rPr>
        <w:t xml:space="preserve"> </w:t>
      </w:r>
      <w:r w:rsidRPr="00B01DFD">
        <w:rPr>
          <w:rFonts w:eastAsia="Calibri"/>
        </w:rPr>
        <w:t xml:space="preserve">Постъпленията нарастват с 1 065,0 млн. лв. (7,2 %) спрямо отчетените към март 2023 г. Сравнени със същия период на 2023 г. данъчните приходи нарастват номинално с 209,1 млн. лв. (1,8 %), а неданъчните постъпления намаляват със 118,7 млн. лв. </w:t>
      </w:r>
      <w:r w:rsidRPr="00B01DFD">
        <w:rPr>
          <w:rFonts w:eastAsia="Calibri"/>
          <w:lang w:val="ru-RU"/>
        </w:rPr>
        <w:t>(</w:t>
      </w:r>
      <w:r w:rsidRPr="00B01DFD">
        <w:rPr>
          <w:rFonts w:eastAsia="Calibri"/>
        </w:rPr>
        <w:t>4,9 %) поради спад при постъпленията от продажба на квоти за емисии на парникови газове по бюджета на ФСЕС.</w:t>
      </w:r>
      <w:r w:rsidRPr="00B01DFD">
        <w:rPr>
          <w:rFonts w:eastAsia="Calibri"/>
          <w:lang w:val="ru-RU"/>
        </w:rPr>
        <w:t xml:space="preserve"> </w:t>
      </w:r>
      <w:r w:rsidRPr="00B01DFD">
        <w:rPr>
          <w:rFonts w:eastAsia="Calibri"/>
        </w:rPr>
        <w:t>Постъпленията в частта на помощите и даренията (основно грантове по програмите и фондовете на ЕС) нарастват с 974,6 млн. лева.</w:t>
      </w:r>
    </w:p>
    <w:p w:rsidR="0027080C" w:rsidRPr="00D62643" w:rsidRDefault="0027080C" w:rsidP="0027080C">
      <w:pPr>
        <w:spacing w:before="120"/>
        <w:jc w:val="both"/>
      </w:pPr>
      <w:r w:rsidRPr="00D62643">
        <w:t>Общата сума</w:t>
      </w:r>
      <w:r w:rsidRPr="00D62643">
        <w:rPr>
          <w:b/>
        </w:rPr>
        <w:t xml:space="preserve"> </w:t>
      </w:r>
      <w:r w:rsidRPr="00D62643">
        <w:t>на</w:t>
      </w:r>
      <w:r w:rsidRPr="00D62643">
        <w:rPr>
          <w:b/>
        </w:rPr>
        <w:t xml:space="preserve"> </w:t>
      </w:r>
      <w:r w:rsidRPr="00D62643">
        <w:rPr>
          <w:b/>
          <w:i/>
        </w:rPr>
        <w:t>данъчните постъпления</w:t>
      </w:r>
      <w:r w:rsidRPr="00D62643">
        <w:t xml:space="preserve"> (вкл. приходите от осигурителни вноски) е в размер на </w:t>
      </w:r>
      <w:r w:rsidRPr="00D62643">
        <w:rPr>
          <w:b/>
          <w:bCs/>
          <w:i/>
        </w:rPr>
        <w:t>12 026,5</w:t>
      </w:r>
      <w:r w:rsidRPr="00D62643">
        <w:rPr>
          <w:b/>
          <w:bCs/>
          <w:i/>
          <w:lang w:val="en-US"/>
        </w:rPr>
        <w:t> </w:t>
      </w:r>
      <w:r w:rsidRPr="00D62643">
        <w:rPr>
          <w:b/>
          <w:i/>
        </w:rPr>
        <w:t xml:space="preserve">млн. лв.,  </w:t>
      </w:r>
      <w:r w:rsidRPr="00D62643">
        <w:t xml:space="preserve">което представлява 20,8 % от разчетените за годината и формират 76,3 % от общите постъпления по КФП за периода. </w:t>
      </w:r>
    </w:p>
    <w:p w:rsidR="0027080C" w:rsidRPr="004B7A23" w:rsidRDefault="0027080C" w:rsidP="0027080C">
      <w:pPr>
        <w:spacing w:before="120"/>
        <w:jc w:val="both"/>
        <w:rPr>
          <w:color w:val="0070C0"/>
        </w:rPr>
      </w:pPr>
      <w:r w:rsidRPr="000A5B17">
        <w:t xml:space="preserve">Приходите в частта на </w:t>
      </w:r>
      <w:r w:rsidRPr="000A5B17">
        <w:rPr>
          <w:i/>
        </w:rPr>
        <w:t xml:space="preserve">преките данъци </w:t>
      </w:r>
      <w:r w:rsidRPr="000A5B17">
        <w:t xml:space="preserve">възлизат на 1 577,1 млн. лв., което представлява 12,3 % от разчета за 2024 г. Приходите от </w:t>
      </w:r>
      <w:r w:rsidRPr="000A5B17">
        <w:rPr>
          <w:i/>
        </w:rPr>
        <w:t>косвени данъци</w:t>
      </w:r>
      <w:r w:rsidRPr="000A5B17">
        <w:t xml:space="preserve"> са в размер на 5 637,5 </w:t>
      </w:r>
      <w:r w:rsidRPr="000A5B17">
        <w:rPr>
          <w:rFonts w:eastAsia="Calibri"/>
          <w:bCs/>
          <w:iCs/>
        </w:rPr>
        <w:t xml:space="preserve">млн. лв., което </w:t>
      </w:r>
      <w:r>
        <w:rPr>
          <w:rFonts w:eastAsia="Calibri"/>
          <w:bCs/>
          <w:iCs/>
        </w:rPr>
        <w:t>е</w:t>
      </w:r>
      <w:r w:rsidRPr="000A5B17">
        <w:rPr>
          <w:rFonts w:eastAsia="Calibri"/>
          <w:bCs/>
          <w:iCs/>
        </w:rPr>
        <w:t xml:space="preserve"> 22,1 % от предвидените в </w:t>
      </w:r>
      <w:r w:rsidRPr="00491A21">
        <w:rPr>
          <w:rFonts w:eastAsia="Calibri"/>
          <w:bCs/>
          <w:iCs/>
        </w:rPr>
        <w:t>ЗДБРБ за 2024 г.</w:t>
      </w:r>
      <w:r w:rsidRPr="00491A21">
        <w:t xml:space="preserve"> Постъпленията от </w:t>
      </w:r>
      <w:r w:rsidRPr="00491A21">
        <w:rPr>
          <w:i/>
        </w:rPr>
        <w:t>други данъци</w:t>
      </w:r>
      <w:r w:rsidRPr="00491A21">
        <w:t xml:space="preserve"> (включват други данъци по ЗКПО, имуществени и др. данъци) са в размер на 647,1 млн. лв. (в т. ч. 175,3 млн. лв. по бюджета на Фонд "Сигурност на електроенергийната система" при 552,5 млн. лв. към март 2023 г.), което представлява 35,0 % от годишния разчет. </w:t>
      </w:r>
      <w:r w:rsidRPr="0016452C">
        <w:t>Отчита се базов ефект в частта на другите данъци основно</w:t>
      </w:r>
      <w:r w:rsidRPr="00587800">
        <w:rPr>
          <w:lang w:val="ru-RU"/>
        </w:rPr>
        <w:t xml:space="preserve"> </w:t>
      </w:r>
      <w:r w:rsidRPr="0016452C">
        <w:t>в две направления. Първо, целевите вноски от производителите на електрическа енергия</w:t>
      </w:r>
      <w:r w:rsidRPr="00587800">
        <w:rPr>
          <w:lang w:val="ru-RU"/>
        </w:rPr>
        <w:t xml:space="preserve"> </w:t>
      </w:r>
      <w:r w:rsidRPr="0016452C">
        <w:t xml:space="preserve">по бюджета на ФСЕС намаляват във връзка с нормализирането на цените на електрическата енергия на Българската независима енергийна борса. Второ, постъпленията намаляват от временната солидарна вноска </w:t>
      </w:r>
      <w:r w:rsidRPr="00587800">
        <w:rPr>
          <w:lang w:val="ru-RU"/>
        </w:rPr>
        <w:t>(</w:t>
      </w:r>
      <w:r w:rsidRPr="0016452C">
        <w:t xml:space="preserve">която е с изтекъл срок на действие и не се прилага през 2024 година) за дружествата и местата на стопанска дейност от Съюза, извършващи дейност в отраслите на суровия нефт, природния газ, въглищата и нефтопреработването, за генерираните свръхпечалби съгласно член 14 от Регламент (ЕС) 2022/1854 на Съвета от 6 октомври 2022 г. относно спешна намеса за справяне с високите цени на енергията. Приходите от </w:t>
      </w:r>
      <w:r w:rsidRPr="0016452C">
        <w:rPr>
          <w:i/>
        </w:rPr>
        <w:t>социални и здравноосигурителни вноски</w:t>
      </w:r>
      <w:r w:rsidRPr="0016452C">
        <w:t xml:space="preserve"> са в размер на 4 164,9 млн. лв. или 23,5 % от</w:t>
      </w:r>
      <w:r w:rsidRPr="002A711D">
        <w:t xml:space="preserve"> разчета за 2024 година. </w:t>
      </w:r>
    </w:p>
    <w:p w:rsidR="0027080C" w:rsidRPr="00AD6BEE" w:rsidRDefault="0027080C" w:rsidP="0027080C">
      <w:pPr>
        <w:spacing w:before="120"/>
        <w:jc w:val="both"/>
      </w:pPr>
      <w:r w:rsidRPr="00AD6BEE">
        <w:rPr>
          <w:b/>
          <w:bCs/>
          <w:i/>
          <w:iCs/>
        </w:rPr>
        <w:t>Неданъчните приходи</w:t>
      </w:r>
      <w:r w:rsidRPr="00AD6BEE">
        <w:rPr>
          <w:b/>
          <w:bCs/>
          <w:iCs/>
        </w:rPr>
        <w:t xml:space="preserve"> </w:t>
      </w:r>
      <w:r w:rsidRPr="00AD6BEE">
        <w:t xml:space="preserve">са в размер на </w:t>
      </w:r>
      <w:r w:rsidRPr="00AD6BEE">
        <w:rPr>
          <w:b/>
          <w:i/>
        </w:rPr>
        <w:t xml:space="preserve">2 321,7 </w:t>
      </w:r>
      <w:r w:rsidRPr="00AD6BEE">
        <w:rPr>
          <w:b/>
          <w:bCs/>
          <w:i/>
        </w:rPr>
        <w:t xml:space="preserve">млн. лв., </w:t>
      </w:r>
      <w:r w:rsidRPr="00AD6BEE">
        <w:t>което представлява</w:t>
      </w:r>
      <w:r w:rsidRPr="00AD6BEE">
        <w:rPr>
          <w:i/>
        </w:rPr>
        <w:t xml:space="preserve"> </w:t>
      </w:r>
      <w:r w:rsidRPr="00AD6BEE">
        <w:t>22,6 %</w:t>
      </w:r>
      <w:r w:rsidRPr="00AD6BEE">
        <w:rPr>
          <w:b/>
          <w:i/>
        </w:rPr>
        <w:t xml:space="preserve"> </w:t>
      </w:r>
      <w:r w:rsidRPr="00AD6BEE">
        <w:t>от</w:t>
      </w:r>
      <w:r w:rsidRPr="00AD6BEE">
        <w:rPr>
          <w:b/>
          <w:i/>
        </w:rPr>
        <w:t xml:space="preserve"> </w:t>
      </w:r>
      <w:r w:rsidRPr="00AD6BEE">
        <w:t>годишните разчети.</w:t>
      </w:r>
      <w:r w:rsidRPr="00AD6BEE">
        <w:rPr>
          <w:rFonts w:eastAsia="Calibri"/>
        </w:rPr>
        <w:t xml:space="preserve"> В сравнение с предходната година тези приходи намаляват със 118,7 млн. лв. (4,9 %) поради спад при постъпленията от продажба на квоти за емисии на парникови газове по бюджета на ФСЕС</w:t>
      </w:r>
      <w:r w:rsidRPr="00AD6BEE">
        <w:t>.</w:t>
      </w:r>
      <w:r w:rsidRPr="00AD6BEE">
        <w:rPr>
          <w:rFonts w:eastAsia="Calibri"/>
        </w:rPr>
        <w:t xml:space="preserve"> </w:t>
      </w:r>
      <w:r w:rsidRPr="00AD6BEE">
        <w:rPr>
          <w:rFonts w:eastAsia="Calibri"/>
          <w:bCs/>
        </w:rPr>
        <w:t>Неданъчните приходи се 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AD6BEE">
        <w:rPr>
          <w:rFonts w:eastAsia="Calibri"/>
        </w:rPr>
        <w:t>.</w:t>
      </w:r>
      <w:r w:rsidRPr="00AD6BEE">
        <w:t xml:space="preserve"> </w:t>
      </w:r>
    </w:p>
    <w:p w:rsidR="0027080C" w:rsidRPr="00D4306B" w:rsidRDefault="0027080C" w:rsidP="0027080C">
      <w:pPr>
        <w:spacing w:before="120" w:after="120"/>
        <w:jc w:val="both"/>
      </w:pPr>
      <w:r w:rsidRPr="00D4306B">
        <w:t xml:space="preserve">Постъпленията от </w:t>
      </w:r>
      <w:r w:rsidRPr="00D4306B">
        <w:rPr>
          <w:b/>
          <w:i/>
        </w:rPr>
        <w:t>помощи</w:t>
      </w:r>
      <w:r w:rsidRPr="00D4306B">
        <w:t xml:space="preserve"> </w:t>
      </w:r>
      <w:r w:rsidRPr="00D4306B">
        <w:rPr>
          <w:b/>
          <w:i/>
        </w:rPr>
        <w:t xml:space="preserve">и дарения </w:t>
      </w:r>
      <w:r w:rsidRPr="00D4306B">
        <w:t xml:space="preserve">от страната и чужбина (основно помощи от фондовете на ЕС) </w:t>
      </w:r>
      <w:r w:rsidRPr="004F3635">
        <w:t xml:space="preserve">към март 2024 г. </w:t>
      </w:r>
      <w:r w:rsidRPr="00D4306B">
        <w:t xml:space="preserve">са в размер на </w:t>
      </w:r>
      <w:r w:rsidRPr="00D4306B">
        <w:rPr>
          <w:b/>
          <w:i/>
        </w:rPr>
        <w:t xml:space="preserve">1 408,9 млн. лв. </w:t>
      </w:r>
      <w:r w:rsidRPr="00D4306B">
        <w:t xml:space="preserve"> </w:t>
      </w:r>
    </w:p>
    <w:p w:rsidR="0027080C" w:rsidRPr="00ED7007" w:rsidRDefault="0027080C" w:rsidP="0027080C">
      <w:pPr>
        <w:spacing w:before="120" w:after="120"/>
        <w:jc w:val="both"/>
        <w:rPr>
          <w:color w:val="0070C0"/>
          <w:sz w:val="4"/>
        </w:rPr>
      </w:pPr>
    </w:p>
    <w:p w:rsidR="00737BBE" w:rsidRDefault="00737BBE" w:rsidP="0027080C">
      <w:pPr>
        <w:spacing w:before="120" w:after="120"/>
        <w:jc w:val="both"/>
        <w:rPr>
          <w:color w:val="0070C0"/>
        </w:rPr>
      </w:pPr>
      <w:r>
        <w:rPr>
          <w:noProof/>
          <w:color w:val="0070C0"/>
          <w:lang w:eastAsia="bg-BG"/>
        </w:rPr>
        <w:drawing>
          <wp:inline distT="0" distB="0" distL="0" distR="0" wp14:anchorId="2B31C2EE">
            <wp:extent cx="5846445" cy="23653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445" cy="2365375"/>
                    </a:xfrm>
                    <a:prstGeom prst="rect">
                      <a:avLst/>
                    </a:prstGeom>
                    <a:noFill/>
                  </pic:spPr>
                </pic:pic>
              </a:graphicData>
            </a:graphic>
          </wp:inline>
        </w:drawing>
      </w:r>
    </w:p>
    <w:p w:rsidR="0027080C" w:rsidRPr="00ED7007" w:rsidRDefault="0027080C" w:rsidP="0027080C">
      <w:pPr>
        <w:spacing w:before="120" w:after="120"/>
        <w:jc w:val="both"/>
        <w:rPr>
          <w:color w:val="0070C0"/>
          <w:sz w:val="14"/>
        </w:rPr>
      </w:pPr>
    </w:p>
    <w:p w:rsidR="0027080C" w:rsidRPr="00EE357C" w:rsidRDefault="0027080C" w:rsidP="0027080C">
      <w:pPr>
        <w:pStyle w:val="ListParagraph"/>
        <w:numPr>
          <w:ilvl w:val="0"/>
          <w:numId w:val="24"/>
        </w:numPr>
        <w:tabs>
          <w:tab w:val="left" w:pos="426"/>
        </w:tabs>
        <w:spacing w:line="240" w:lineRule="auto"/>
        <w:ind w:left="0" w:firstLine="0"/>
        <w:rPr>
          <w:rFonts w:ascii="Times New Roman" w:eastAsia="Calibri" w:hAnsi="Times New Roman"/>
        </w:rPr>
      </w:pPr>
      <w:r w:rsidRPr="00EE357C">
        <w:rPr>
          <w:rFonts w:ascii="Times New Roman" w:eastAsia="Calibri" w:hAnsi="Times New Roman"/>
          <w:b/>
        </w:rPr>
        <w:t xml:space="preserve">Разходите </w:t>
      </w:r>
      <w:r w:rsidRPr="00EE357C">
        <w:rPr>
          <w:rFonts w:ascii="Times New Roman" w:eastAsia="Calibri" w:hAnsi="Times New Roman"/>
        </w:rPr>
        <w:t xml:space="preserve">по КФП (вкл. вноската на Република България в бюджета на ЕС) към март 2024 г. възлизат на 15 353,4 млн. лв., което е 18,8 % от годишните разчети. През м. февруари 2024 г. в изпълнение на чл. 71, ал.1 от Постановление № 13 на Министерския съвет от 2024 г. от сметката за чужди средства по бюджета на Министерството на регионалното развитие и благоустройството бяха възстановени средства в общ размер на 1 200,0 млн. лв. В хода на изпълнението на бюджета за 2024 г. </w:t>
      </w:r>
      <w:r w:rsidR="0006432D" w:rsidRPr="0006432D">
        <w:rPr>
          <w:rFonts w:ascii="Times New Roman" w:eastAsia="Calibri" w:hAnsi="Times New Roman"/>
          <w:szCs w:val="28"/>
        </w:rPr>
        <w:t xml:space="preserve">по-голяма част от </w:t>
      </w:r>
      <w:r w:rsidRPr="00EE357C">
        <w:rPr>
          <w:rFonts w:ascii="Times New Roman" w:eastAsia="Calibri" w:hAnsi="Times New Roman"/>
        </w:rPr>
        <w:t xml:space="preserve">тези средства ще бъдат предоставяни с акт на Министерския съвет на базата на подписани споразумения с МРРБ като трансфери за общините за финансиране на Инвестиционната програма за общински проекти по реда на чл. 107 от Закона за държавния бюджет на Република България за 2024 г. При елиминирането на тази трансакция, с оглед съпоставимост с предходната година, разходите към края на март 2024 г. са 16 553,4 млн. лв. при </w:t>
      </w:r>
      <w:r w:rsidR="00E12613" w:rsidRPr="00587800">
        <w:rPr>
          <w:rFonts w:ascii="Times New Roman" w:eastAsia="Calibri" w:hAnsi="Times New Roman"/>
          <w:lang w:val="ru-RU"/>
        </w:rPr>
        <w:t>15</w:t>
      </w:r>
      <w:r w:rsidR="00E12613">
        <w:rPr>
          <w:rFonts w:ascii="Times New Roman" w:eastAsia="Calibri" w:hAnsi="Times New Roman"/>
          <w:lang w:val="en-US"/>
        </w:rPr>
        <w:t> </w:t>
      </w:r>
      <w:r w:rsidR="00E12613" w:rsidRPr="00587800">
        <w:rPr>
          <w:rFonts w:ascii="Times New Roman" w:eastAsia="Calibri" w:hAnsi="Times New Roman"/>
          <w:lang w:val="ru-RU"/>
        </w:rPr>
        <w:t>357</w:t>
      </w:r>
      <w:r w:rsidR="00E12613">
        <w:rPr>
          <w:rFonts w:ascii="Times New Roman" w:eastAsia="Calibri" w:hAnsi="Times New Roman"/>
        </w:rPr>
        <w:t>,2</w:t>
      </w:r>
      <w:r w:rsidRPr="00EE357C">
        <w:rPr>
          <w:rFonts w:ascii="Times New Roman" w:eastAsia="Calibri" w:hAnsi="Times New Roman"/>
        </w:rPr>
        <w:t xml:space="preserve"> млн. лв. за първите три месеца на 2023 г. </w:t>
      </w:r>
      <w:r w:rsidRPr="00EE357C">
        <w:rPr>
          <w:rFonts w:ascii="Times New Roman" w:eastAsia="Calibri" w:hAnsi="Times New Roman"/>
          <w:lang w:val="ru-RU"/>
        </w:rPr>
        <w:t>В отделните разходни показатели нарастване има при социалните разходи, вследствие на изплатените по-високи пенсии след влязлото в сила увеличение от юли 2023 г., както и на по-високите разходи за персонал, след увеличението на възнагражденията на педагогическия персонал и при някои други администрации с приетия в средата на 2023 г. ЗДБРБ за 2023 г. и други</w:t>
      </w:r>
      <w:r w:rsidRPr="00EE357C">
        <w:rPr>
          <w:rFonts w:ascii="Times New Roman" w:eastAsia="Calibri" w:hAnsi="Times New Roman"/>
        </w:rPr>
        <w:t>.</w:t>
      </w:r>
    </w:p>
    <w:p w:rsidR="0027080C" w:rsidRDefault="0027080C" w:rsidP="0027080C">
      <w:pPr>
        <w:spacing w:before="120" w:after="120"/>
        <w:jc w:val="both"/>
        <w:rPr>
          <w:rFonts w:eastAsia="Calibri"/>
          <w:bCs/>
          <w:color w:val="0070C0"/>
        </w:rPr>
      </w:pPr>
      <w:r w:rsidRPr="006F6F36">
        <w:rPr>
          <w:b/>
          <w:i/>
        </w:rPr>
        <w:t xml:space="preserve">Нелихвените </w:t>
      </w:r>
      <w:r w:rsidRPr="006F6F36">
        <w:rPr>
          <w:rFonts w:eastAsia="Calibri"/>
          <w:b/>
          <w:bCs/>
          <w:i/>
        </w:rPr>
        <w:t>разходи</w:t>
      </w:r>
      <w:r w:rsidRPr="006F6F36">
        <w:rPr>
          <w:rFonts w:eastAsia="Calibri"/>
          <w:bCs/>
        </w:rPr>
        <w:t xml:space="preserve"> към март 2024 г. </w:t>
      </w:r>
      <w:r w:rsidRPr="00587800">
        <w:rPr>
          <w:rFonts w:eastAsia="Calibri"/>
          <w:bCs/>
          <w:lang w:val="ru-RU"/>
        </w:rPr>
        <w:t>(</w:t>
      </w:r>
      <w:r w:rsidRPr="006F6F36">
        <w:rPr>
          <w:rFonts w:eastAsia="Calibri"/>
          <w:bCs/>
        </w:rPr>
        <w:t>на съпоставима база</w:t>
      </w:r>
      <w:r w:rsidRPr="00587800">
        <w:rPr>
          <w:rFonts w:eastAsia="Calibri"/>
          <w:bCs/>
          <w:lang w:val="ru-RU"/>
        </w:rPr>
        <w:t xml:space="preserve">) </w:t>
      </w:r>
      <w:r w:rsidRPr="006F6F36">
        <w:rPr>
          <w:rFonts w:eastAsia="Calibri"/>
          <w:bCs/>
        </w:rPr>
        <w:t xml:space="preserve">са в размер на 15 876,4 млн. лв., </w:t>
      </w:r>
      <w:r w:rsidRPr="009A4FAB">
        <w:rPr>
          <w:rFonts w:eastAsia="Calibri"/>
          <w:bCs/>
        </w:rPr>
        <w:t xml:space="preserve">което представлява 20,4 % от годишния разчет. </w:t>
      </w:r>
      <w:r w:rsidRPr="009A4FAB">
        <w:rPr>
          <w:rFonts w:eastAsia="Calibri"/>
          <w:bCs/>
          <w:i/>
        </w:rPr>
        <w:t>Текущите нелихвени разходи</w:t>
      </w:r>
      <w:r w:rsidRPr="009A4FAB">
        <w:rPr>
          <w:rFonts w:eastAsia="Calibri"/>
          <w:bCs/>
        </w:rPr>
        <w:t xml:space="preserve"> са в размер на 14 927,1 млн. лв. </w:t>
      </w:r>
      <w:r w:rsidRPr="009A4FAB">
        <w:rPr>
          <w:rFonts w:eastAsia="Calibri"/>
          <w:bCs/>
          <w:i/>
        </w:rPr>
        <w:t>Капиталовите разходи</w:t>
      </w:r>
      <w:r w:rsidRPr="009A4FAB">
        <w:rPr>
          <w:rFonts w:eastAsia="Calibri"/>
          <w:bCs/>
        </w:rPr>
        <w:t xml:space="preserve"> (вкл. нетния прираст на държавния резерв и елиминиране на 1 200 млн. лв. възстановен разход в изпълнение на ПМС №13/2024 г.) възлизат на 939,9 </w:t>
      </w:r>
      <w:r w:rsidRPr="006F75F8">
        <w:rPr>
          <w:rFonts w:eastAsia="Calibri"/>
          <w:bCs/>
        </w:rPr>
        <w:t xml:space="preserve">млн. лв. </w:t>
      </w:r>
      <w:r w:rsidRPr="006F75F8">
        <w:rPr>
          <w:rFonts w:eastAsia="Calibri"/>
          <w:bCs/>
          <w:i/>
        </w:rPr>
        <w:t>Предоставените текущи и капиталови трансфери за чужбина</w:t>
      </w:r>
      <w:r w:rsidRPr="006F75F8">
        <w:rPr>
          <w:rFonts w:eastAsia="Calibri"/>
          <w:bCs/>
        </w:rPr>
        <w:t xml:space="preserve"> са в размер на 9,4 млн. лв. </w:t>
      </w:r>
      <w:r w:rsidRPr="006F75F8">
        <w:rPr>
          <w:rFonts w:eastAsia="Calibri"/>
          <w:b/>
          <w:bCs/>
          <w:i/>
        </w:rPr>
        <w:t>Лихвените плащания</w:t>
      </w:r>
      <w:r w:rsidRPr="006F75F8">
        <w:rPr>
          <w:rFonts w:eastAsia="Calibri"/>
          <w:bCs/>
        </w:rPr>
        <w:t xml:space="preserve"> са в размер на 337,7 млн. лв. (33,4 % от планираните за годината и ръст от 34,5 млн. лв. спрямо същия период на 2023 г.)</w:t>
      </w:r>
      <w:r w:rsidRPr="004B7A23">
        <w:rPr>
          <w:rFonts w:eastAsia="Calibri"/>
          <w:bCs/>
          <w:color w:val="0070C0"/>
        </w:rPr>
        <w:t>.</w:t>
      </w:r>
    </w:p>
    <w:p w:rsidR="00DF52F8" w:rsidRPr="002A0D0E" w:rsidRDefault="00DF52F8" w:rsidP="00DF52F8">
      <w:pPr>
        <w:spacing w:before="120" w:after="120"/>
        <w:jc w:val="both"/>
      </w:pPr>
      <w:r w:rsidRPr="002A0D0E">
        <w:t>Разходите по КФП по основните разходни групи към март 2023 г. и 2024 г. на съпоставима база са представени на следната графика:</w:t>
      </w:r>
    </w:p>
    <w:p w:rsidR="00DF52F8" w:rsidRDefault="00DF52F8" w:rsidP="00DF52F8">
      <w:pPr>
        <w:spacing w:before="120" w:after="120"/>
        <w:jc w:val="both"/>
        <w:rPr>
          <w:color w:val="0070C0"/>
        </w:rPr>
      </w:pPr>
    </w:p>
    <w:p w:rsidR="00791A2F" w:rsidRPr="00F74EE5" w:rsidRDefault="00791A2F" w:rsidP="00DF52F8">
      <w:pPr>
        <w:spacing w:before="120" w:after="120"/>
        <w:jc w:val="both"/>
        <w:rPr>
          <w:color w:val="0070C0"/>
        </w:rPr>
      </w:pPr>
      <w:r>
        <w:rPr>
          <w:noProof/>
          <w:color w:val="0070C0"/>
          <w:lang w:eastAsia="bg-BG"/>
        </w:rPr>
        <w:drawing>
          <wp:inline distT="0" distB="0" distL="0" distR="0" wp14:anchorId="4B9E4845">
            <wp:extent cx="6059805" cy="2670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670175"/>
                    </a:xfrm>
                    <a:prstGeom prst="rect">
                      <a:avLst/>
                    </a:prstGeom>
                    <a:noFill/>
                  </pic:spPr>
                </pic:pic>
              </a:graphicData>
            </a:graphic>
          </wp:inline>
        </w:drawing>
      </w:r>
    </w:p>
    <w:p w:rsidR="00DF52F8" w:rsidRPr="008B6ECD" w:rsidRDefault="00DF52F8" w:rsidP="00DF52F8">
      <w:pPr>
        <w:ind w:left="360"/>
        <w:jc w:val="both"/>
        <w:rPr>
          <w:sz w:val="18"/>
          <w:szCs w:val="16"/>
        </w:rPr>
      </w:pPr>
      <w:r w:rsidRPr="008B6ECD">
        <w:rPr>
          <w:sz w:val="18"/>
          <w:szCs w:val="16"/>
          <w:lang w:val="ru-RU"/>
        </w:rPr>
        <w:t>*</w:t>
      </w:r>
      <w:r w:rsidRPr="008B6ECD">
        <w:rPr>
          <w:sz w:val="16"/>
          <w:szCs w:val="16"/>
          <w:lang w:val="ru-RU"/>
        </w:rPr>
        <w:t xml:space="preserve">  </w:t>
      </w:r>
      <w:r w:rsidRPr="008B6ECD">
        <w:rPr>
          <w:sz w:val="18"/>
          <w:szCs w:val="16"/>
        </w:rPr>
        <w:t xml:space="preserve">Вкл. нетния прираст на държавния резерв </w:t>
      </w:r>
    </w:p>
    <w:p w:rsidR="00DF52F8" w:rsidRPr="00F74EE5" w:rsidRDefault="00DF52F8" w:rsidP="00DF52F8">
      <w:pPr>
        <w:spacing w:after="120"/>
        <w:jc w:val="both"/>
        <w:rPr>
          <w:color w:val="0070C0"/>
          <w:sz w:val="2"/>
        </w:rPr>
      </w:pPr>
    </w:p>
    <w:p w:rsidR="0027080C" w:rsidRPr="00F74EE5" w:rsidRDefault="0027080C" w:rsidP="0027080C">
      <w:pPr>
        <w:spacing w:after="120"/>
        <w:jc w:val="both"/>
        <w:rPr>
          <w:color w:val="0070C0"/>
          <w:sz w:val="2"/>
        </w:rPr>
      </w:pPr>
    </w:p>
    <w:p w:rsidR="0027080C" w:rsidRPr="00301FFD" w:rsidRDefault="0027080C" w:rsidP="00DF52F8">
      <w:pPr>
        <w:pStyle w:val="ListParagraph"/>
        <w:numPr>
          <w:ilvl w:val="0"/>
          <w:numId w:val="24"/>
        </w:numPr>
        <w:tabs>
          <w:tab w:val="left" w:pos="426"/>
        </w:tabs>
        <w:spacing w:before="240" w:line="240" w:lineRule="auto"/>
        <w:ind w:left="0" w:firstLine="0"/>
        <w:contextualSpacing w:val="0"/>
        <w:rPr>
          <w:rFonts w:ascii="Times New Roman" w:hAnsi="Times New Roman"/>
        </w:rPr>
      </w:pPr>
      <w:r w:rsidRPr="00301FFD">
        <w:rPr>
          <w:rFonts w:ascii="Times New Roman" w:hAnsi="Times New Roman"/>
          <w:b/>
        </w:rPr>
        <w:t>Частта от вноската на Република България в общия бюджет на ЕС</w:t>
      </w:r>
      <w:r w:rsidRPr="00301FFD">
        <w:rPr>
          <w:rFonts w:ascii="Times New Roman" w:hAnsi="Times New Roman"/>
        </w:rPr>
        <w:t>, изплатена 31.03.2024</w:t>
      </w:r>
      <w:r w:rsidRPr="00301FFD">
        <w:rPr>
          <w:rFonts w:ascii="Times New Roman" w:hAnsi="Times New Roman"/>
          <w:lang w:val="en-US"/>
        </w:rPr>
        <w:t> </w:t>
      </w:r>
      <w:r w:rsidRPr="00301FFD">
        <w:rPr>
          <w:rFonts w:ascii="Times New Roman" w:hAnsi="Times New Roman"/>
        </w:rPr>
        <w:t xml:space="preserve">г. </w:t>
      </w:r>
      <w:r w:rsidRPr="00301FFD">
        <w:rPr>
          <w:rFonts w:ascii="Times New Roman" w:hAnsi="Times New Roman"/>
          <w:bCs/>
        </w:rPr>
        <w:t xml:space="preserve">от централния бюджет, възлиза на </w:t>
      </w:r>
      <w:r w:rsidRPr="00301FFD">
        <w:rPr>
          <w:rFonts w:ascii="Times New Roman" w:hAnsi="Times New Roman"/>
          <w:b/>
          <w:bCs/>
          <w:lang w:val="ru-RU"/>
        </w:rPr>
        <w:t xml:space="preserve">339,3 </w:t>
      </w:r>
      <w:r w:rsidRPr="00301FFD">
        <w:rPr>
          <w:rFonts w:ascii="Times New Roman" w:hAnsi="Times New Roman"/>
          <w:b/>
          <w:bCs/>
        </w:rPr>
        <w:t>млн. лв.</w:t>
      </w:r>
      <w:r w:rsidRPr="00301FFD">
        <w:rPr>
          <w:rFonts w:ascii="Times New Roman" w:hAnsi="Times New Roman"/>
          <w:bCs/>
        </w:rPr>
        <w:t>, което е в изпълнение на действащото към момента законодателство в областта на собствените ресурси на ЕС</w:t>
      </w:r>
      <w:r w:rsidRPr="00301FFD">
        <w:rPr>
          <w:rFonts w:ascii="Times New Roman" w:hAnsi="Times New Roman"/>
        </w:rPr>
        <w:t xml:space="preserve">. </w:t>
      </w:r>
    </w:p>
    <w:p w:rsidR="0027080C" w:rsidRPr="00301FFD" w:rsidRDefault="0027080C" w:rsidP="0027080C">
      <w:pPr>
        <w:pStyle w:val="ListParagraph"/>
        <w:numPr>
          <w:ilvl w:val="0"/>
          <w:numId w:val="24"/>
        </w:numPr>
        <w:tabs>
          <w:tab w:val="left" w:pos="426"/>
        </w:tabs>
        <w:spacing w:line="240" w:lineRule="auto"/>
        <w:ind w:left="0" w:firstLine="0"/>
        <w:rPr>
          <w:rFonts w:ascii="Times New Roman" w:hAnsi="Times New Roman"/>
        </w:rPr>
      </w:pPr>
      <w:r w:rsidRPr="00301FFD">
        <w:rPr>
          <w:rFonts w:ascii="Times New Roman" w:hAnsi="Times New Roman"/>
          <w:b/>
        </w:rPr>
        <w:t xml:space="preserve">Бюджетното салдо </w:t>
      </w:r>
      <w:r w:rsidRPr="00301FFD">
        <w:rPr>
          <w:rFonts w:ascii="Times New Roman" w:hAnsi="Times New Roman"/>
          <w:bCs/>
        </w:rPr>
        <w:t xml:space="preserve">по консолидираната фискална програма </w:t>
      </w:r>
      <w:r w:rsidRPr="00301FFD">
        <w:rPr>
          <w:rFonts w:ascii="Times New Roman" w:hAnsi="Times New Roman"/>
        </w:rPr>
        <w:t>към март 2024 г.</w:t>
      </w:r>
      <w:r w:rsidRPr="00301FFD">
        <w:rPr>
          <w:rFonts w:ascii="Times New Roman" w:hAnsi="Times New Roman"/>
          <w:bCs/>
        </w:rPr>
        <w:t xml:space="preserve"> е положително в размер на 403,7 млн. лв. (0,2 % от прогнозния БВП).</w:t>
      </w:r>
    </w:p>
    <w:p w:rsidR="0027080C" w:rsidRPr="0064689D" w:rsidRDefault="0027080C" w:rsidP="0027080C">
      <w:pPr>
        <w:numPr>
          <w:ilvl w:val="0"/>
          <w:numId w:val="8"/>
        </w:numPr>
        <w:tabs>
          <w:tab w:val="num" w:pos="0"/>
          <w:tab w:val="left" w:pos="426"/>
          <w:tab w:val="left" w:pos="720"/>
        </w:tabs>
        <w:spacing w:before="120" w:after="60"/>
        <w:ind w:left="0" w:firstLine="0"/>
        <w:jc w:val="both"/>
        <w:rPr>
          <w:sz w:val="22"/>
        </w:rPr>
      </w:pPr>
      <w:r w:rsidRPr="0064689D">
        <w:rPr>
          <w:b/>
          <w:szCs w:val="28"/>
        </w:rPr>
        <w:t>Общият размер</w:t>
      </w:r>
      <w:r w:rsidRPr="0064689D">
        <w:rPr>
          <w:bCs/>
          <w:sz w:val="22"/>
        </w:rPr>
        <w:t xml:space="preserve"> </w:t>
      </w:r>
      <w:r w:rsidRPr="0064689D">
        <w:rPr>
          <w:b/>
          <w:bCs/>
          <w:szCs w:val="28"/>
        </w:rPr>
        <w:t>на касовите постъпления от ЕС</w:t>
      </w:r>
      <w:r w:rsidRPr="0064689D">
        <w:rPr>
          <w:bCs/>
          <w:szCs w:val="28"/>
        </w:rPr>
        <w:t xml:space="preserve"> (от Структурните и Кохезионния фондове, от</w:t>
      </w:r>
      <w:r w:rsidRPr="0064689D">
        <w:rPr>
          <w:szCs w:val="28"/>
        </w:rPr>
        <w:t xml:space="preserve"> ЕЗФРСР и ЕФМДР</w:t>
      </w:r>
      <w:r w:rsidRPr="0064689D">
        <w:rPr>
          <w:bCs/>
          <w:szCs w:val="28"/>
        </w:rPr>
        <w:t xml:space="preserve">, от средства за директни плащания към земеделските производители и плащания по пазарни мерки и др.) за </w:t>
      </w:r>
      <w:r w:rsidRPr="0064689D">
        <w:t>първото тримесечие на 2024 </w:t>
      </w:r>
      <w:r w:rsidRPr="0064689D">
        <w:rPr>
          <w:bCs/>
          <w:szCs w:val="28"/>
        </w:rPr>
        <w:t xml:space="preserve"> г. е </w:t>
      </w:r>
      <w:r w:rsidRPr="0064689D">
        <w:rPr>
          <w:b/>
          <w:bCs/>
          <w:szCs w:val="28"/>
        </w:rPr>
        <w:t>1 963,9 млн. лв.</w:t>
      </w:r>
      <w:r w:rsidRPr="0064689D">
        <w:rPr>
          <w:b/>
          <w:szCs w:val="28"/>
        </w:rPr>
        <w:t xml:space="preserve"> </w:t>
      </w:r>
      <w:r w:rsidRPr="0064689D">
        <w:rPr>
          <w:b/>
          <w:bCs/>
          <w:szCs w:val="28"/>
        </w:rPr>
        <w:t xml:space="preserve">Нетните постъпления от ЕС към </w:t>
      </w:r>
      <w:r w:rsidR="00BD0864">
        <w:rPr>
          <w:b/>
          <w:bCs/>
          <w:szCs w:val="28"/>
        </w:rPr>
        <w:t>31</w:t>
      </w:r>
      <w:r w:rsidRPr="0064689D">
        <w:rPr>
          <w:b/>
          <w:bCs/>
          <w:szCs w:val="28"/>
        </w:rPr>
        <w:t>.</w:t>
      </w:r>
      <w:r w:rsidR="00BD0864">
        <w:rPr>
          <w:b/>
          <w:bCs/>
          <w:szCs w:val="28"/>
        </w:rPr>
        <w:t>03</w:t>
      </w:r>
      <w:r w:rsidRPr="0064689D">
        <w:rPr>
          <w:b/>
          <w:bCs/>
          <w:szCs w:val="28"/>
        </w:rPr>
        <w:t>.202</w:t>
      </w:r>
      <w:r w:rsidR="00BD0864">
        <w:rPr>
          <w:b/>
          <w:bCs/>
          <w:szCs w:val="28"/>
        </w:rPr>
        <w:t>4</w:t>
      </w:r>
      <w:r w:rsidRPr="0064689D">
        <w:rPr>
          <w:b/>
          <w:bCs/>
          <w:szCs w:val="28"/>
        </w:rPr>
        <w:t xml:space="preserve"> г. </w:t>
      </w:r>
      <w:r w:rsidRPr="0064689D">
        <w:rPr>
          <w:bCs/>
          <w:szCs w:val="28"/>
        </w:rPr>
        <w:t xml:space="preserve">(касови постъпления от ЕС, намалени с вноската в общия бюджет на ЕС) са положителни в размер на </w:t>
      </w:r>
      <w:r w:rsidRPr="0064689D">
        <w:rPr>
          <w:b/>
          <w:bCs/>
          <w:szCs w:val="28"/>
        </w:rPr>
        <w:t>1 624,6 млн. лева</w:t>
      </w:r>
      <w:r w:rsidRPr="0064689D">
        <w:rPr>
          <w:sz w:val="22"/>
        </w:rPr>
        <w:t>.</w:t>
      </w:r>
    </w:p>
    <w:p w:rsidR="0027080C" w:rsidRPr="00F5746F" w:rsidRDefault="0027080C" w:rsidP="0027080C">
      <w:pPr>
        <w:numPr>
          <w:ilvl w:val="2"/>
          <w:numId w:val="14"/>
        </w:numPr>
        <w:tabs>
          <w:tab w:val="left" w:pos="426"/>
        </w:tabs>
        <w:spacing w:before="120" w:after="240"/>
        <w:ind w:left="0" w:firstLine="0"/>
        <w:jc w:val="both"/>
        <w:rPr>
          <w:sz w:val="8"/>
          <w:szCs w:val="8"/>
        </w:rPr>
      </w:pPr>
      <w:r w:rsidRPr="00F5746F">
        <w:rPr>
          <w:b/>
        </w:rPr>
        <w:t>Фискалният резерв</w:t>
      </w:r>
      <w:r w:rsidRPr="00F5746F">
        <w:rPr>
          <w:b/>
          <w:bCs/>
          <w:vertAlign w:val="superscript"/>
          <w:lang w:eastAsia="bg-BG"/>
        </w:rPr>
        <w:footnoteReference w:id="6"/>
      </w:r>
      <w:r w:rsidRPr="00F5746F">
        <w:rPr>
          <w:bCs/>
          <w:lang w:eastAsia="bg-BG"/>
        </w:rPr>
        <w:t xml:space="preserve"> </w:t>
      </w:r>
      <w:r w:rsidRPr="00F5746F">
        <w:rPr>
          <w:bCs/>
        </w:rPr>
        <w:t xml:space="preserve">към 31.03.2024 г. е </w:t>
      </w:r>
      <w:r w:rsidR="00A27F83" w:rsidRPr="00C16C4F">
        <w:rPr>
          <w:b/>
          <w:bCs/>
        </w:rPr>
        <w:t>11</w:t>
      </w:r>
      <w:r w:rsidR="00A27F83">
        <w:rPr>
          <w:b/>
          <w:bCs/>
        </w:rPr>
        <w:t> 877,9</w:t>
      </w:r>
      <w:r w:rsidR="00A27F83" w:rsidRPr="00C16C4F">
        <w:rPr>
          <w:b/>
          <w:bCs/>
        </w:rPr>
        <w:t xml:space="preserve"> мл</w:t>
      </w:r>
      <w:r w:rsidR="00A27F83">
        <w:rPr>
          <w:b/>
          <w:bCs/>
        </w:rPr>
        <w:t>н</w:t>
      </w:r>
      <w:r w:rsidR="00A27F83" w:rsidRPr="00C16C4F">
        <w:rPr>
          <w:b/>
          <w:bCs/>
        </w:rPr>
        <w:t>. лв.</w:t>
      </w:r>
      <w:r w:rsidR="00A27F83" w:rsidRPr="00C16C4F">
        <w:rPr>
          <w:bCs/>
        </w:rPr>
        <w:t>, в т.</w:t>
      </w:r>
      <w:r w:rsidR="00A27F83">
        <w:rPr>
          <w:bCs/>
        </w:rPr>
        <w:t xml:space="preserve"> </w:t>
      </w:r>
      <w:r w:rsidR="00A27F83" w:rsidRPr="00C16C4F">
        <w:rPr>
          <w:bCs/>
        </w:rPr>
        <w:t xml:space="preserve">ч. </w:t>
      </w:r>
      <w:r w:rsidR="00A27F83">
        <w:rPr>
          <w:bCs/>
        </w:rPr>
        <w:t>9 977,9 </w:t>
      </w:r>
      <w:r w:rsidR="00A27F83" w:rsidRPr="00C16C4F">
        <w:rPr>
          <w:bCs/>
        </w:rPr>
        <w:t xml:space="preserve"> </w:t>
      </w:r>
      <w:r w:rsidR="00A27F83" w:rsidRPr="00F41B6A">
        <w:rPr>
          <w:bCs/>
        </w:rPr>
        <w:t>млн</w:t>
      </w:r>
      <w:r w:rsidR="00A27F83" w:rsidRPr="00C16C4F">
        <w:rPr>
          <w:bCs/>
        </w:rPr>
        <w:t xml:space="preserve">. лв. </w:t>
      </w:r>
      <w:r w:rsidR="00A27F83" w:rsidRPr="00697D5B">
        <w:rPr>
          <w:bCs/>
        </w:rPr>
        <w:t>депозити на фискалния резерв в БНБ и банки и 1</w:t>
      </w:r>
      <w:r w:rsidR="00A27F83">
        <w:rPr>
          <w:bCs/>
        </w:rPr>
        <w:t xml:space="preserve"> 900,0</w:t>
      </w:r>
      <w:r w:rsidR="00A27F83" w:rsidRPr="00697D5B">
        <w:rPr>
          <w:bCs/>
        </w:rPr>
        <w:t xml:space="preserve"> </w:t>
      </w:r>
      <w:r w:rsidR="00A27F83" w:rsidRPr="00F41B6A">
        <w:rPr>
          <w:bCs/>
        </w:rPr>
        <w:t>млн</w:t>
      </w:r>
      <w:r w:rsidR="00A27F83" w:rsidRPr="00697D5B">
        <w:rPr>
          <w:bCs/>
        </w:rPr>
        <w:t>. лв. вземания от фондовете на Европейския съюз за сертифицирани разходи, аванси и други</w:t>
      </w:r>
      <w:r w:rsidRPr="00F5746F">
        <w:rPr>
          <w:bCs/>
          <w:lang w:eastAsia="bg-BG"/>
        </w:rPr>
        <w:t>.</w:t>
      </w:r>
      <w:r w:rsidRPr="00F5746F">
        <w:rPr>
          <w:bCs/>
        </w:rPr>
        <w:t xml:space="preserve"> </w:t>
      </w:r>
    </w:p>
    <w:p w:rsidR="00222173" w:rsidRPr="004B7A23" w:rsidRDefault="00222173" w:rsidP="00222173">
      <w:pPr>
        <w:tabs>
          <w:tab w:val="left" w:pos="426"/>
        </w:tabs>
        <w:spacing w:before="120" w:after="120"/>
        <w:jc w:val="both"/>
        <w:rPr>
          <w:color w:val="0070C0"/>
          <w:sz w:val="8"/>
          <w:szCs w:val="8"/>
        </w:rPr>
      </w:pPr>
    </w:p>
    <w:p w:rsidR="00222173" w:rsidRPr="004B7A23" w:rsidRDefault="00222173" w:rsidP="00222173">
      <w:pPr>
        <w:tabs>
          <w:tab w:val="left" w:pos="426"/>
        </w:tabs>
        <w:spacing w:before="120" w:after="120"/>
        <w:jc w:val="both"/>
        <w:rPr>
          <w:color w:val="0070C0"/>
          <w:sz w:val="8"/>
          <w:szCs w:val="8"/>
        </w:rPr>
      </w:pPr>
    </w:p>
    <w:p w:rsidR="00222173" w:rsidRPr="004B7A23" w:rsidRDefault="00222173" w:rsidP="00222173">
      <w:pPr>
        <w:rPr>
          <w:color w:val="0070C0"/>
          <w:sz w:val="8"/>
          <w:szCs w:val="8"/>
        </w:rPr>
      </w:pPr>
      <w:r w:rsidRPr="004B7A23">
        <w:rPr>
          <w:color w:val="0070C0"/>
          <w:sz w:val="8"/>
          <w:szCs w:val="8"/>
        </w:rPr>
        <w:br w:type="page"/>
      </w:r>
    </w:p>
    <w:p w:rsidR="009D59A8" w:rsidRPr="009D59A8" w:rsidRDefault="009D59A8" w:rsidP="009D59A8">
      <w:pPr>
        <w:pStyle w:val="ListParagraph"/>
        <w:numPr>
          <w:ilvl w:val="0"/>
          <w:numId w:val="9"/>
        </w:numPr>
        <w:rPr>
          <w:rFonts w:ascii="Times New Roman" w:hAnsi="Times New Roman"/>
          <w:b/>
          <w:bCs/>
          <w:szCs w:val="24"/>
        </w:rPr>
      </w:pPr>
      <w:r w:rsidRPr="009D59A8">
        <w:rPr>
          <w:rFonts w:ascii="Times New Roman" w:hAnsi="Times New Roman"/>
          <w:b/>
          <w:bCs/>
          <w:szCs w:val="24"/>
        </w:rPr>
        <w:t>Промени в данъчното законодателство за 202</w:t>
      </w:r>
      <w:r>
        <w:rPr>
          <w:rFonts w:ascii="Times New Roman" w:hAnsi="Times New Roman"/>
          <w:b/>
          <w:bCs/>
          <w:szCs w:val="24"/>
        </w:rPr>
        <w:t>4</w:t>
      </w:r>
      <w:r w:rsidRPr="009D59A8">
        <w:rPr>
          <w:rFonts w:ascii="Times New Roman" w:hAnsi="Times New Roman"/>
          <w:b/>
          <w:bCs/>
          <w:szCs w:val="24"/>
        </w:rPr>
        <w:t xml:space="preserve"> г.</w:t>
      </w:r>
    </w:p>
    <w:p w:rsidR="004D0198" w:rsidRPr="004D0198" w:rsidRDefault="004D0198" w:rsidP="004D0198">
      <w:pPr>
        <w:spacing w:before="120" w:after="120"/>
        <w:ind w:right="-43" w:firstLine="567"/>
        <w:jc w:val="both"/>
        <w:rPr>
          <w:lang w:eastAsia="bg-BG"/>
        </w:rPr>
      </w:pPr>
      <w:r w:rsidRPr="004D0198">
        <w:rPr>
          <w:lang w:eastAsia="bg-BG"/>
        </w:rPr>
        <w:t>През предходната година бяха направени изменения в областта на данъчното облагане, които влизат в сила през 2024 г. и са както следва:</w:t>
      </w:r>
    </w:p>
    <w:p w:rsidR="004D0198" w:rsidRPr="00587800" w:rsidRDefault="004D0198" w:rsidP="004D0198">
      <w:pPr>
        <w:widowControl w:val="0"/>
        <w:suppressAutoHyphens/>
        <w:spacing w:after="120"/>
        <w:ind w:right="-284" w:firstLine="567"/>
        <w:jc w:val="both"/>
        <w:outlineLvl w:val="0"/>
        <w:rPr>
          <w:b/>
          <w:u w:val="single"/>
          <w:lang w:val="ru-RU"/>
        </w:rPr>
      </w:pPr>
      <w:r w:rsidRPr="004D0198">
        <w:rPr>
          <w:b/>
          <w:u w:val="single"/>
        </w:rPr>
        <w:t>По Закона за корпоративното подоходно облагане</w:t>
      </w:r>
      <w:r w:rsidRPr="00587800">
        <w:rPr>
          <w:b/>
          <w:u w:val="single"/>
          <w:lang w:val="ru-RU"/>
        </w:rPr>
        <w:t xml:space="preserve"> (</w:t>
      </w:r>
      <w:r w:rsidRPr="004D0198">
        <w:rPr>
          <w:b/>
          <w:u w:val="single"/>
        </w:rPr>
        <w:t>ЗКПО</w:t>
      </w:r>
      <w:r w:rsidRPr="00587800">
        <w:rPr>
          <w:b/>
          <w:u w:val="single"/>
          <w:lang w:val="ru-RU"/>
        </w:rPr>
        <w:t>)</w:t>
      </w:r>
    </w:p>
    <w:p w:rsidR="004D0198" w:rsidRPr="004D0198" w:rsidRDefault="004D0198" w:rsidP="004D0198">
      <w:pPr>
        <w:spacing w:before="120" w:after="120"/>
        <w:ind w:right="-43" w:firstLine="567"/>
        <w:jc w:val="both"/>
        <w:rPr>
          <w:lang w:eastAsia="bg-BG"/>
        </w:rPr>
      </w:pPr>
      <w:r w:rsidRPr="004D0198">
        <w:rPr>
          <w:lang w:eastAsia="bg-BG"/>
        </w:rPr>
        <w:t>Промените в областта на прякото облагане са приети със ЗИД на ЗКПО г. (</w:t>
      </w:r>
      <w:proofErr w:type="spellStart"/>
      <w:r w:rsidRPr="004D0198">
        <w:rPr>
          <w:lang w:eastAsia="bg-BG"/>
        </w:rPr>
        <w:t>обн</w:t>
      </w:r>
      <w:proofErr w:type="spellEnd"/>
      <w:r w:rsidRPr="004D0198">
        <w:rPr>
          <w:lang w:eastAsia="bg-BG"/>
        </w:rPr>
        <w:t xml:space="preserve">., ДВ, </w:t>
      </w:r>
      <w:r w:rsidRPr="00587800">
        <w:rPr>
          <w:lang w:val="ru-RU" w:eastAsia="bg-BG"/>
        </w:rPr>
        <w:t>бр. 106 от 22.12.2023 г</w:t>
      </w:r>
      <w:r w:rsidRPr="004D0198">
        <w:rPr>
          <w:lang w:eastAsia="bg-BG"/>
        </w:rPr>
        <w:t>., в сила от 1.01.2024 г.)</w:t>
      </w:r>
    </w:p>
    <w:p w:rsidR="004D0198" w:rsidRPr="004D0198" w:rsidRDefault="004D0198" w:rsidP="0037671F">
      <w:pPr>
        <w:numPr>
          <w:ilvl w:val="0"/>
          <w:numId w:val="40"/>
        </w:numPr>
        <w:tabs>
          <w:tab w:val="left" w:pos="851"/>
        </w:tabs>
        <w:spacing w:after="120"/>
        <w:ind w:left="0" w:firstLine="567"/>
        <w:jc w:val="both"/>
        <w:rPr>
          <w:rFonts w:eastAsia="Calibri"/>
          <w:bCs/>
          <w:iCs/>
        </w:rPr>
      </w:pPr>
      <w:r w:rsidRPr="004D0198">
        <w:rPr>
          <w:rFonts w:eastAsia="Calibri"/>
          <w:b/>
          <w:i/>
        </w:rPr>
        <w:t xml:space="preserve">Въвеждане на </w:t>
      </w:r>
      <w:r w:rsidRPr="004D0198">
        <w:rPr>
          <w:rFonts w:eastAsia="Calibri"/>
          <w:b/>
          <w:bCs/>
          <w:i/>
        </w:rPr>
        <w:t xml:space="preserve">минимално ефективно корпоративно данъчно облагане на многонационални групи предприятия и на големи национални групи предприятия </w:t>
      </w:r>
      <w:r w:rsidRPr="004D0198">
        <w:rPr>
          <w:rFonts w:eastAsia="Calibri"/>
        </w:rPr>
        <w:t xml:space="preserve">в съответствие с Директива (ЕС) 2022/2523 на Съвета за от 14 декември 2022 година за гарантиране на глобално минимално равнище на данъчно облагане на многонационалните групи от предприятия и големите национални групи в Съюза. С разпоредбите на Директива (ЕС) 2022/2523 се въвежда рамка за глобалното минимално равнище от 15 на сто на данъчно облагане на ниво ЕС на многонационална група предприятия. С директивата се въвежда система от две взаимосвързани правила, насочени към определяне и събиране на допълнителен данък в една държава членка, винаги когато ефективната корпоративна данъчна ставка на дружествата от дадена многонационална група предприятия в тази държава членка е по-ниска от 15 на сто. Всички дружества, които са част от многонационални или национални групи предприятия с годишни приходи в консолидираните финансови отчети на крайното образувание майка на групата през поне две от четирите данъчни години, непосредствено предшестващи текущата данъчна година, от най-малко 750,0 млн. евро, които се намират в държава-членка на ЕС, в която се облагат с ниска данъчна ставка, т.е. по-ниска от 15 на сто, каквато е и България, ще подлежат на облагане с този допълнителен данък. Допълнителният данък за тези дружества ще се дължи от крайното предприятие майка или някое от междинните предприятия майки на групата и ще се събира от държавата членка, в която е разположено. За да се даде възможност на държавите членки да използват приходите от допълнителния данък, дължими по отношение на облагани с ниска данъчна ставка съставни образувания, намиращи се на тяхна територия, Директива (ЕС) 2022/2523 предоставя възможност за избор на държавите членки да въведат национален допълнителен данък. Предвид това в страната се въведе национален допълнителен данък, съгласно който съставните образувания на една </w:t>
      </w:r>
      <w:r w:rsidRPr="004D0198">
        <w:rPr>
          <w:rFonts w:eastAsia="Calibri"/>
          <w:bCs/>
        </w:rPr>
        <w:t>многонационална група предприятия</w:t>
      </w:r>
      <w:r w:rsidRPr="004D0198">
        <w:rPr>
          <w:rFonts w:eastAsia="Calibri"/>
        </w:rPr>
        <w:t>, които се намират в Република България,</w:t>
      </w:r>
      <w:r w:rsidRPr="004D0198">
        <w:rPr>
          <w:rFonts w:eastAsia="Calibri"/>
          <w:bCs/>
        </w:rPr>
        <w:t xml:space="preserve"> или на голяма национална група предприятия</w:t>
      </w:r>
      <w:r w:rsidRPr="004D0198">
        <w:rPr>
          <w:rFonts w:eastAsia="Calibri"/>
        </w:rPr>
        <w:t xml:space="preserve">, се предвижда да подлежат на облагане с национален допълнителен данък. </w:t>
      </w:r>
    </w:p>
    <w:p w:rsidR="004D0198" w:rsidRPr="004D0198" w:rsidRDefault="004D0198" w:rsidP="004D0198">
      <w:pPr>
        <w:tabs>
          <w:tab w:val="left" w:pos="993"/>
        </w:tabs>
        <w:spacing w:after="120"/>
        <w:ind w:firstLine="567"/>
        <w:jc w:val="both"/>
        <w:rPr>
          <w:rFonts w:eastAsia="Calibri"/>
          <w:bCs/>
        </w:rPr>
      </w:pPr>
      <w:r w:rsidRPr="004D0198">
        <w:rPr>
          <w:rFonts w:eastAsia="Calibri"/>
          <w:bCs/>
        </w:rPr>
        <w:t xml:space="preserve">В тази връзка са въведени </w:t>
      </w:r>
      <w:proofErr w:type="spellStart"/>
      <w:r w:rsidRPr="004D0198">
        <w:rPr>
          <w:rFonts w:eastAsia="Calibri"/>
          <w:bCs/>
        </w:rPr>
        <w:t>административнонаказателни</w:t>
      </w:r>
      <w:proofErr w:type="spellEnd"/>
      <w:r w:rsidRPr="004D0198">
        <w:rPr>
          <w:rFonts w:eastAsia="Calibri"/>
          <w:bCs/>
        </w:rPr>
        <w:t xml:space="preserve"> разпоредби в ЗКПО при облагане на многонационалните и големите национални групи предприятия с допълнителен данък и с национален допълнителен данък, както и са актуализирани разпоредбите свързани с режима за прилагане на ваучерите за храна на хартиен носител и/или на електронен носител;</w:t>
      </w:r>
    </w:p>
    <w:p w:rsidR="004D0198" w:rsidRPr="008856FD" w:rsidRDefault="004D0198" w:rsidP="004B317D">
      <w:pPr>
        <w:numPr>
          <w:ilvl w:val="0"/>
          <w:numId w:val="41"/>
        </w:numPr>
        <w:tabs>
          <w:tab w:val="left" w:pos="851"/>
        </w:tabs>
        <w:spacing w:after="120"/>
        <w:ind w:firstLine="207"/>
        <w:jc w:val="both"/>
        <w:rPr>
          <w:rFonts w:eastAsia="Calibri"/>
          <w:b/>
          <w:i/>
        </w:rPr>
      </w:pPr>
      <w:r w:rsidRPr="008856FD">
        <w:rPr>
          <w:rFonts w:eastAsia="Calibri"/>
          <w:b/>
          <w:i/>
        </w:rPr>
        <w:t>Промени в размера и вида на предоставените ваучери за храна</w:t>
      </w:r>
    </w:p>
    <w:p w:rsidR="004D0198" w:rsidRPr="004D0198" w:rsidRDefault="004D0198" w:rsidP="004D0198">
      <w:pPr>
        <w:tabs>
          <w:tab w:val="left" w:pos="993"/>
          <w:tab w:val="left" w:pos="1134"/>
        </w:tabs>
        <w:ind w:firstLine="567"/>
        <w:contextualSpacing/>
        <w:jc w:val="both"/>
        <w:rPr>
          <w:rFonts w:eastAsia="Calibri"/>
          <w:bCs/>
          <w:iCs/>
        </w:rPr>
      </w:pPr>
      <w:r w:rsidRPr="004D0198">
        <w:rPr>
          <w:rFonts w:eastAsia="Calibri"/>
          <w:bCs/>
          <w:iCs/>
        </w:rPr>
        <w:t>От 1 януари 2024 г. се въвеждат електронни ваучери за храна с цел намаляване на административната тежест чрез дигитализация и осигуряване на по-конкурентна среда за всички лица, участващи в схемата за данъчното облекчение – оператори на ваучери за храна, работодатели, наети лица и други. Предвиден е шестмесечен преходен период, през който да функционират както ваучерите за храна на хартиен носител, така и електронните ваучери за храна. Предвижда се от 1 юли 2024 г. да се премине изцяло към ваучери за храна на електронен носител (чл. 59 от ЗДБРБ, ДВ брой: 108, от дата 30.12.2023 г.).</w:t>
      </w:r>
    </w:p>
    <w:p w:rsidR="004D0198" w:rsidRPr="004D0198" w:rsidRDefault="001A314B" w:rsidP="004D0198">
      <w:pPr>
        <w:tabs>
          <w:tab w:val="left" w:pos="993"/>
          <w:tab w:val="left" w:pos="1134"/>
        </w:tabs>
        <w:ind w:firstLine="567"/>
        <w:contextualSpacing/>
        <w:jc w:val="both"/>
        <w:rPr>
          <w:rFonts w:eastAsia="Calibri"/>
          <w:bCs/>
          <w:iCs/>
        </w:rPr>
      </w:pPr>
      <w:r w:rsidRPr="004D0198">
        <w:rPr>
          <w:rFonts w:eastAsia="Calibri"/>
          <w:bCs/>
          <w:iCs/>
        </w:rPr>
        <w:t>Запазва се действащото данъчно облекчение за предоставяне на наетите лица на социални разходи под формата на ваучери за храна (на хартиен и електронен носител) в необлагаем с данък размер до 200 лв. месечно. (чл. 209а. от ЗКПО</w:t>
      </w:r>
      <w:r w:rsidRPr="00587800">
        <w:rPr>
          <w:rFonts w:eastAsia="Calibri"/>
          <w:bCs/>
          <w:iCs/>
          <w:lang w:val="ru-RU"/>
        </w:rPr>
        <w:t xml:space="preserve"> (</w:t>
      </w:r>
      <w:r w:rsidRPr="004D0198">
        <w:rPr>
          <w:rFonts w:eastAsia="Calibri"/>
          <w:bCs/>
          <w:iCs/>
        </w:rPr>
        <w:t>Нов – ДВ, бр. 66 от 2023 г., в сила от 1.01.2024 г.))</w:t>
      </w:r>
      <w:r w:rsidR="004D0198" w:rsidRPr="004D0198">
        <w:rPr>
          <w:rFonts w:eastAsia="Calibri"/>
          <w:bCs/>
          <w:iCs/>
        </w:rPr>
        <w:t>.</w:t>
      </w:r>
    </w:p>
    <w:p w:rsidR="004D0198" w:rsidRPr="004D0198" w:rsidRDefault="004D0198" w:rsidP="004D0198">
      <w:pPr>
        <w:tabs>
          <w:tab w:val="left" w:pos="993"/>
          <w:tab w:val="left" w:pos="1134"/>
        </w:tabs>
        <w:ind w:firstLine="567"/>
        <w:contextualSpacing/>
        <w:jc w:val="both"/>
        <w:rPr>
          <w:rFonts w:eastAsia="Calibri"/>
          <w:bCs/>
          <w:iCs/>
        </w:rPr>
      </w:pPr>
      <w:r w:rsidRPr="004D0198">
        <w:rPr>
          <w:rFonts w:eastAsia="Calibri"/>
          <w:bCs/>
          <w:iCs/>
        </w:rPr>
        <w:t>С цел намаляване на административната тежест част от обстоятелствата, за придобиване право на осъществяване дейност като оператор са предвидени да се установяват служебно. Прецизирани са разпоредбите за получаване на разрешение за такава дейност и условията за кандидатстване ( чл. 209, ал. 3 и чл. 209а, ал. 4 от ЗКПО, ДВ бр. 106 от 2023 г., в сила от 1.01.2024</w:t>
      </w:r>
      <w:r w:rsidR="00CC564F">
        <w:rPr>
          <w:rFonts w:eastAsia="Calibri"/>
          <w:bCs/>
          <w:iCs/>
        </w:rPr>
        <w:t> </w:t>
      </w:r>
      <w:r w:rsidRPr="004D0198">
        <w:rPr>
          <w:rFonts w:eastAsia="Calibri"/>
          <w:bCs/>
          <w:iCs/>
        </w:rPr>
        <w:t>г.).</w:t>
      </w:r>
    </w:p>
    <w:p w:rsidR="004D0198" w:rsidRPr="004D0198" w:rsidRDefault="004D0198" w:rsidP="004D0198">
      <w:pPr>
        <w:tabs>
          <w:tab w:val="left" w:pos="993"/>
          <w:tab w:val="left" w:pos="1134"/>
        </w:tabs>
        <w:ind w:firstLine="567"/>
        <w:contextualSpacing/>
        <w:jc w:val="both"/>
        <w:rPr>
          <w:rFonts w:eastAsia="Calibri"/>
          <w:bCs/>
          <w:iCs/>
        </w:rPr>
      </w:pPr>
      <w:r w:rsidRPr="004D0198">
        <w:rPr>
          <w:lang w:eastAsia="bg-BG"/>
        </w:rPr>
        <w:t xml:space="preserve">С приетите промени в ЗДБРБ 2024 г. е увеличена общата годишна </w:t>
      </w:r>
      <w:r w:rsidRPr="004D0198">
        <w:rPr>
          <w:rFonts w:eastAsia="Calibri"/>
          <w:b/>
          <w:i/>
        </w:rPr>
        <w:t>квота за предоставяне на ваучери за храна</w:t>
      </w:r>
      <w:r w:rsidRPr="004D0198">
        <w:rPr>
          <w:lang w:eastAsia="bg-BG"/>
        </w:rPr>
        <w:t xml:space="preserve"> по чл. 209, ал. 7 от Закона за корпоративното подоходно облагане от 1,4 млрд. лв. на 1,6 млрд. лв. за 2024 година </w:t>
      </w:r>
      <w:r w:rsidRPr="00587800">
        <w:rPr>
          <w:lang w:val="ru-RU" w:eastAsia="bg-BG"/>
        </w:rPr>
        <w:t>(</w:t>
      </w:r>
      <w:r w:rsidRPr="004D0198">
        <w:rPr>
          <w:lang w:eastAsia="bg-BG"/>
        </w:rPr>
        <w:t>преди 1 млрд. лв. на 1,4 млрд. лв. за 2023 г.</w:t>
      </w:r>
      <w:r w:rsidRPr="00587800">
        <w:rPr>
          <w:lang w:val="ru-RU" w:eastAsia="bg-BG"/>
        </w:rPr>
        <w:t>)</w:t>
      </w:r>
      <w:r w:rsidRPr="004D0198">
        <w:rPr>
          <w:lang w:eastAsia="bg-BG"/>
        </w:rPr>
        <w:t>;</w:t>
      </w:r>
    </w:p>
    <w:p w:rsidR="004D0198" w:rsidRPr="004D0198" w:rsidRDefault="004D0198" w:rsidP="004B317D">
      <w:pPr>
        <w:numPr>
          <w:ilvl w:val="0"/>
          <w:numId w:val="42"/>
        </w:numPr>
        <w:tabs>
          <w:tab w:val="left" w:pos="851"/>
        </w:tabs>
        <w:spacing w:after="120"/>
        <w:ind w:left="0" w:firstLine="567"/>
        <w:jc w:val="both"/>
        <w:rPr>
          <w:rFonts w:eastAsia="Calibri"/>
          <w:bCs/>
          <w:iCs/>
        </w:rPr>
      </w:pPr>
      <w:r w:rsidRPr="004D0198">
        <w:rPr>
          <w:rFonts w:eastAsia="Calibri"/>
        </w:rPr>
        <w:t xml:space="preserve">Въвеждането на </w:t>
      </w:r>
      <w:r w:rsidRPr="004D0198">
        <w:rPr>
          <w:rFonts w:eastAsia="Calibri"/>
          <w:b/>
        </w:rPr>
        <w:t>нова схема за държавна помощ за земеделски стопани</w:t>
      </w:r>
      <w:r w:rsidRPr="004D0198">
        <w:rPr>
          <w:rFonts w:eastAsia="Calibri"/>
        </w:rPr>
        <w:t>, свързана с изменение на правната уредба за прилагане на държавна помощ за земеделски стопани под формата на данъчно облекчение по чл. 189б от ЗКПО и чл. 48, ал. 6 от ЗДДФЛ, съобразно условията на Регламент (ЕС) №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w:t>
      </w:r>
      <w:r w:rsidRPr="004D0198">
        <w:rPr>
          <w:rFonts w:eastAsia="Calibri"/>
          <w:vertAlign w:val="superscript"/>
        </w:rPr>
        <w:footnoteReference w:id="7"/>
      </w:r>
      <w:r w:rsidRPr="004D0198">
        <w:rPr>
          <w:rFonts w:eastAsia="Calibri"/>
        </w:rPr>
        <w:t xml:space="preserve"> (Регламент (ЕС) № 2022/2472). Новият регламент за групово освобождаване в земеделието - Регламент (ЕС) № 2022/2472 се прилага от 1 януари 2023 г. до 31 декември 2029 година. Регламентът предвижда промяна в интензитета и прага за уведомяване по помощта за инвестиции в земеделски стопанства във връзка с първичното селскостопанско производство, предвид което е разработена нова схема за държавна помощ, която да е в съответствие с новите правила на Регламент (ЕС) № 2022/2472 и за прилагането на която следва да се получи одобрение от Комисията;</w:t>
      </w:r>
    </w:p>
    <w:p w:rsidR="004D0198" w:rsidRPr="004D0198" w:rsidRDefault="004D0198" w:rsidP="000561EA">
      <w:pPr>
        <w:numPr>
          <w:ilvl w:val="0"/>
          <w:numId w:val="37"/>
        </w:numPr>
        <w:tabs>
          <w:tab w:val="left" w:pos="993"/>
          <w:tab w:val="left" w:pos="1134"/>
          <w:tab w:val="left" w:pos="1560"/>
        </w:tabs>
        <w:ind w:hanging="219"/>
        <w:contextualSpacing/>
        <w:jc w:val="both"/>
        <w:rPr>
          <w:rFonts w:eastAsia="Calibri"/>
          <w:b/>
          <w:szCs w:val="20"/>
        </w:rPr>
      </w:pPr>
      <w:r w:rsidRPr="004D0198">
        <w:rPr>
          <w:rFonts w:eastAsia="Calibri"/>
          <w:b/>
          <w:szCs w:val="20"/>
        </w:rPr>
        <w:t xml:space="preserve">Приети са синхронизиращи изменения на ЗКПО с тези на Закона за местните данъци и такси </w:t>
      </w:r>
    </w:p>
    <w:p w:rsidR="004D0198" w:rsidRPr="004D0198" w:rsidRDefault="004D0198" w:rsidP="004D0198">
      <w:pPr>
        <w:ind w:firstLine="567"/>
        <w:contextualSpacing/>
        <w:jc w:val="both"/>
        <w:rPr>
          <w:lang w:eastAsia="bg-BG"/>
        </w:rPr>
      </w:pPr>
      <w:r w:rsidRPr="004D0198">
        <w:rPr>
          <w:lang w:eastAsia="bg-BG"/>
        </w:rPr>
        <w:t>Прецизиран е текста по чл. 93 от ЗКПО като е добавена ал. 2 относно приспадане на дължимият и внесен патентен данък по реда на ЗМДТ при определяне на годишния корпоративен данък. В случаите когато отпаднат основанията за облагане с патентен данък, от годишния корпоративен данък се приспада дължимият и внесен патентен данък по реда на Закона за местните данъци и такси към датата на подаване на декларацията за отпадане на основанията за облагане с патентен данък. Размерът на патентния данък по изречение първо се удостоверява с документ, издаден от компетентната община</w:t>
      </w:r>
      <w:r w:rsidRPr="00587800">
        <w:rPr>
          <w:lang w:val="ru-RU" w:eastAsia="bg-BG"/>
        </w:rPr>
        <w:t>;</w:t>
      </w:r>
    </w:p>
    <w:p w:rsidR="004D0198" w:rsidRPr="004D0198" w:rsidRDefault="004D0198" w:rsidP="004D0198">
      <w:pPr>
        <w:ind w:firstLine="567"/>
        <w:contextualSpacing/>
        <w:jc w:val="both"/>
        <w:rPr>
          <w:lang w:eastAsia="bg-BG"/>
        </w:rPr>
      </w:pPr>
    </w:p>
    <w:p w:rsidR="004D0198" w:rsidRPr="004D0198" w:rsidRDefault="004D0198" w:rsidP="000561EA">
      <w:pPr>
        <w:numPr>
          <w:ilvl w:val="0"/>
          <w:numId w:val="37"/>
        </w:numPr>
        <w:tabs>
          <w:tab w:val="left" w:pos="993"/>
          <w:tab w:val="left" w:pos="1134"/>
          <w:tab w:val="left" w:pos="1560"/>
        </w:tabs>
        <w:ind w:hanging="219"/>
        <w:contextualSpacing/>
        <w:jc w:val="both"/>
        <w:rPr>
          <w:rFonts w:eastAsia="Calibri"/>
          <w:b/>
          <w:szCs w:val="20"/>
        </w:rPr>
      </w:pPr>
      <w:r w:rsidRPr="004D0198">
        <w:rPr>
          <w:rFonts w:eastAsia="Calibri"/>
          <w:b/>
          <w:szCs w:val="20"/>
        </w:rPr>
        <w:t>Оптимизиране на разпоредбите, въвеждащи режима на данъчното облагане при напускане съгласно чл. 5 от Директива (ЕС) 2016/1164 на Съвета от 12 юли 2016 година за установяване на правила срещу практиките за избягване на данъци, които пряко засягат функционирането на вътрешния пазар</w:t>
      </w:r>
    </w:p>
    <w:p w:rsidR="004D0198" w:rsidRPr="004D0198" w:rsidRDefault="004D0198" w:rsidP="007B36EF">
      <w:pPr>
        <w:spacing w:after="120"/>
        <w:ind w:firstLine="567"/>
        <w:jc w:val="both"/>
        <w:rPr>
          <w:lang w:eastAsia="bg-BG"/>
        </w:rPr>
      </w:pPr>
      <w:r w:rsidRPr="004D0198">
        <w:rPr>
          <w:lang w:eastAsia="bg-BG"/>
        </w:rPr>
        <w:t>Промяната касае трансфера на активи/дейност към друга част на предприятието, разположена извън страната, които са част от общия режим за данъчно регулиране при трансфер между част на едно предприятие, разположена в страната, и друга част на същото предприятие, разположена извън страната. С промяната се предотвратява възможност за съдебно оспорване от страна на ЕК и се постига пълно съответствие с разпоредбата на чл. 5 от Директива (ЕС) 2016/1164 на Съвета от 12 юли 2016 година за установяване на правила срещу практиките за избягване на данъци, които пряко засягат функционирането на вътрешния пазар;</w:t>
      </w:r>
    </w:p>
    <w:p w:rsidR="004D0198" w:rsidRPr="000561EA" w:rsidRDefault="004D0198" w:rsidP="000561EA">
      <w:pPr>
        <w:numPr>
          <w:ilvl w:val="0"/>
          <w:numId w:val="37"/>
        </w:numPr>
        <w:tabs>
          <w:tab w:val="left" w:pos="993"/>
          <w:tab w:val="left" w:pos="1134"/>
          <w:tab w:val="left" w:pos="1560"/>
        </w:tabs>
        <w:ind w:hanging="219"/>
        <w:contextualSpacing/>
        <w:jc w:val="both"/>
        <w:rPr>
          <w:rFonts w:eastAsia="Calibri"/>
          <w:b/>
          <w:szCs w:val="20"/>
        </w:rPr>
      </w:pPr>
      <w:r w:rsidRPr="000561EA">
        <w:rPr>
          <w:rFonts w:eastAsia="Calibri"/>
          <w:b/>
          <w:szCs w:val="20"/>
        </w:rPr>
        <w:t xml:space="preserve">Мерки, свързани с необходимостта от постигане на яснота и синхронизиране на някои текстове на ЗКПО </w:t>
      </w:r>
    </w:p>
    <w:p w:rsidR="004D0198" w:rsidRPr="004D0198" w:rsidRDefault="004D0198" w:rsidP="004D0198">
      <w:pPr>
        <w:ind w:firstLine="567"/>
        <w:jc w:val="both"/>
        <w:rPr>
          <w:lang w:eastAsia="bg-BG"/>
        </w:rPr>
      </w:pPr>
      <w:r w:rsidRPr="004D0198">
        <w:rPr>
          <w:rFonts w:eastAsia="Calibri"/>
          <w:lang w:eastAsia="bg-BG"/>
        </w:rPr>
        <w:t>Въвежда се яснота относно елементите на фактически състав на нарушение, изразяващо се в скрито разпределение на печалба. В тази връзка са въведени изменения в Закона за административните нарушения и наказания, с които случаите на скрито разпределение на печалбата да попадат в обхвата на чл. 34, ал. 2 от същия закон. Промяната е продиктувана от наличието на спорове относно датата на извършване на нарушението и съответно датата, от която започва да тече срокът по чл. 34, ал. 1, изречение второ от Закона за административните нарушения и наказания, като с това се цели предотвратяване на некоректно тълкуване на текстовете на ЗКПО във връзка с скритото разпределение на печалбата</w:t>
      </w:r>
      <w:r w:rsidRPr="004D0198">
        <w:rPr>
          <w:lang w:eastAsia="bg-BG"/>
        </w:rPr>
        <w:t xml:space="preserve">. Актуализирана е и разпоредба в закона, съгласно която </w:t>
      </w:r>
      <w:r w:rsidRPr="00587800">
        <w:rPr>
          <w:lang w:val="ru-RU" w:eastAsia="bg-BG"/>
        </w:rPr>
        <w:t>(</w:t>
      </w:r>
      <w:r w:rsidRPr="004D0198">
        <w:rPr>
          <w:lang w:eastAsia="bg-BG"/>
        </w:rPr>
        <w:t xml:space="preserve">чл. 267 от ЗКПО </w:t>
      </w:r>
      <w:r w:rsidRPr="00587800">
        <w:rPr>
          <w:rFonts w:eastAsia="Calibri"/>
          <w:lang w:val="ru-RU" w:eastAsia="bg-BG"/>
        </w:rPr>
        <w:t xml:space="preserve">- </w:t>
      </w:r>
      <w:r w:rsidRPr="004D0198">
        <w:rPr>
          <w:rFonts w:eastAsia="Calibri"/>
          <w:lang w:eastAsia="bg-BG"/>
        </w:rPr>
        <w:t>бр. 106 от 2023 г., в сила от 1.01.2024 г.) данъчно</w:t>
      </w:r>
      <w:r w:rsidRPr="004D0198">
        <w:rPr>
          <w:lang w:eastAsia="bg-BG"/>
        </w:rPr>
        <w:t xml:space="preserve"> задължено лице, което не посочи в данъчната си декларация извършеното скрито разпределение на печалба, се наказва с имуществена санкция в размер 20 на сто от сумата, представляваща скрито разпределение на печалба</w:t>
      </w:r>
      <w:r w:rsidRPr="00587800">
        <w:rPr>
          <w:lang w:val="ru-RU" w:eastAsia="bg-BG"/>
        </w:rPr>
        <w:t>;</w:t>
      </w:r>
    </w:p>
    <w:p w:rsidR="004D0198" w:rsidRPr="004D0198" w:rsidRDefault="004D0198" w:rsidP="00644788">
      <w:pPr>
        <w:numPr>
          <w:ilvl w:val="0"/>
          <w:numId w:val="37"/>
        </w:numPr>
        <w:tabs>
          <w:tab w:val="left" w:pos="851"/>
        </w:tabs>
        <w:spacing w:after="120"/>
        <w:ind w:left="0" w:firstLine="567"/>
        <w:jc w:val="both"/>
        <w:rPr>
          <w:rFonts w:eastAsia="Calibri"/>
          <w:bCs/>
          <w:iCs/>
        </w:rPr>
      </w:pPr>
      <w:r w:rsidRPr="004D0198">
        <w:rPr>
          <w:rFonts w:eastAsia="Calibri"/>
          <w:bCs/>
          <w:iCs/>
        </w:rPr>
        <w:t xml:space="preserve">Продължава действието на </w:t>
      </w:r>
      <w:r w:rsidRPr="004D0198">
        <w:rPr>
          <w:rFonts w:eastAsia="Calibri"/>
          <w:b/>
          <w:bCs/>
          <w:iCs/>
        </w:rPr>
        <w:t>данъчното облекчение, представляващо държавна помощ за регионално развитие.</w:t>
      </w:r>
      <w:r w:rsidRPr="004D0198">
        <w:rPr>
          <w:rFonts w:eastAsia="Calibri"/>
          <w:bCs/>
          <w:iCs/>
        </w:rPr>
        <w:t xml:space="preserve"> На 06.06.2023 г. е постановено положително решение на ЕК относно съответствие с Насоките за регионална държавна помощ (2021/C 153/01) за прилагане на нова схема на </w:t>
      </w:r>
      <w:r w:rsidRPr="004D0198">
        <w:rPr>
          <w:rFonts w:eastAsia="Calibri"/>
          <w:b/>
          <w:bCs/>
          <w:iCs/>
        </w:rPr>
        <w:t>данъчното облекчение, представляващо държавна помощ за регионално развитие</w:t>
      </w:r>
      <w:r w:rsidRPr="004D0198">
        <w:rPr>
          <w:rFonts w:eastAsia="Calibri"/>
          <w:bCs/>
          <w:iCs/>
        </w:rPr>
        <w:t>, с което започна преотстъпването на корпоративен данък съгласно чл. 184 във връзка с чл. 189 от ЗКПО, и което следва да се прилага в срок до 31 декември 2027 г. Данъчната преференция се предоставя с цел да насърчи икономическата активност за МСП, като ги стимулира да инвестират в материални и нематериални активи в предприятия, намиращи се в общини с безработица, по-висока от средната за страната, като се очаква така да се запазят или увеличат нивата на заетост в тези общини.</w:t>
      </w:r>
    </w:p>
    <w:p w:rsidR="004D0198" w:rsidRPr="00587800" w:rsidRDefault="004D0198" w:rsidP="004D0198">
      <w:pPr>
        <w:widowControl w:val="0"/>
        <w:suppressAutoHyphens/>
        <w:spacing w:after="120"/>
        <w:ind w:right="-284" w:firstLine="567"/>
        <w:jc w:val="both"/>
        <w:outlineLvl w:val="0"/>
        <w:rPr>
          <w:b/>
          <w:u w:val="single"/>
          <w:lang w:val="ru-RU"/>
        </w:rPr>
      </w:pPr>
      <w:r w:rsidRPr="004D0198">
        <w:rPr>
          <w:b/>
          <w:u w:val="single"/>
        </w:rPr>
        <w:t xml:space="preserve">По Закона за данъците върху доходите на физически лица </w:t>
      </w:r>
      <w:r w:rsidRPr="00587800">
        <w:rPr>
          <w:b/>
          <w:u w:val="single"/>
          <w:lang w:val="ru-RU"/>
        </w:rPr>
        <w:t>(</w:t>
      </w:r>
      <w:r w:rsidRPr="004D0198">
        <w:rPr>
          <w:rFonts w:eastAsia="Calibri"/>
          <w:b/>
        </w:rPr>
        <w:t>ЗДДФЛ</w:t>
      </w:r>
      <w:r w:rsidRPr="00587800">
        <w:rPr>
          <w:rFonts w:eastAsia="Calibri"/>
          <w:b/>
          <w:lang w:val="ru-RU"/>
        </w:rPr>
        <w:t>)</w:t>
      </w:r>
    </w:p>
    <w:p w:rsidR="004D0198" w:rsidRPr="004D0198" w:rsidRDefault="004D0198" w:rsidP="00644788">
      <w:pPr>
        <w:numPr>
          <w:ilvl w:val="0"/>
          <w:numId w:val="37"/>
        </w:numPr>
        <w:tabs>
          <w:tab w:val="left" w:pos="851"/>
        </w:tabs>
        <w:spacing w:after="120"/>
        <w:ind w:left="0" w:firstLine="567"/>
        <w:jc w:val="both"/>
        <w:rPr>
          <w:rFonts w:eastAsia="Calibri"/>
          <w:b/>
        </w:rPr>
      </w:pPr>
      <w:r w:rsidRPr="004D0198">
        <w:rPr>
          <w:rFonts w:eastAsia="Calibri"/>
          <w:bCs/>
        </w:rPr>
        <w:t>Запазва се ползването в увеличен размер на данъчните облекчения по чл. 22в и 22г от ЗДДФЛ (за деца и за деца с увреждания) и през 2024 г., както следва: 6 000 лв. годишно за едно ненавършило пълнолетие дете, 12 000 лв. - за две ненавършили пълнолетие деца, 18 000 лв. - за три и повече ненавършили пълнолетие деца и съответно, за деца с увреждания в размер на 12</w:t>
      </w:r>
      <w:r w:rsidR="00E96AEB">
        <w:rPr>
          <w:rFonts w:eastAsia="Calibri"/>
          <w:bCs/>
        </w:rPr>
        <w:t> </w:t>
      </w:r>
      <w:r w:rsidRPr="004D0198">
        <w:rPr>
          <w:rFonts w:eastAsia="Calibri"/>
          <w:bCs/>
        </w:rPr>
        <w:t>000</w:t>
      </w:r>
      <w:r w:rsidR="00E96AEB">
        <w:rPr>
          <w:rFonts w:eastAsia="Calibri"/>
          <w:bCs/>
        </w:rPr>
        <w:t> </w:t>
      </w:r>
      <w:r w:rsidRPr="004D0198">
        <w:rPr>
          <w:rFonts w:eastAsia="Calibri"/>
          <w:bCs/>
        </w:rPr>
        <w:t>лв. годишно, с възможност за авансово ползване през годината;</w:t>
      </w:r>
      <w:r w:rsidRPr="004D0198">
        <w:rPr>
          <w:rFonts w:eastAsia="Calibri"/>
          <w:b/>
        </w:rPr>
        <w:t xml:space="preserve"> </w:t>
      </w:r>
    </w:p>
    <w:p w:rsidR="004D0198" w:rsidRPr="004D0198" w:rsidRDefault="004D0198" w:rsidP="00644788">
      <w:pPr>
        <w:numPr>
          <w:ilvl w:val="0"/>
          <w:numId w:val="37"/>
        </w:numPr>
        <w:tabs>
          <w:tab w:val="left" w:pos="851"/>
        </w:tabs>
        <w:spacing w:after="120"/>
        <w:ind w:left="0" w:firstLine="567"/>
        <w:jc w:val="both"/>
        <w:rPr>
          <w:rFonts w:eastAsia="Calibri"/>
        </w:rPr>
      </w:pPr>
      <w:r w:rsidRPr="004D0198">
        <w:rPr>
          <w:rFonts w:eastAsia="Calibri"/>
        </w:rPr>
        <w:t xml:space="preserve">Предоставена е възможност на </w:t>
      </w:r>
      <w:r w:rsidRPr="004D0198">
        <w:rPr>
          <w:rFonts w:eastAsia="Calibri"/>
          <w:b/>
        </w:rPr>
        <w:t>местните физически лица да декларират в годишната данъчна декларация придобитите през годината доходи, които са освободени от облагане</w:t>
      </w:r>
      <w:r w:rsidRPr="004D0198">
        <w:rPr>
          <w:rFonts w:eastAsia="Calibri"/>
        </w:rPr>
        <w:t xml:space="preserve"> по силата на закона, придобитите доходи облагаеми с окончателен данък, полученото имущество по наследство, завет и дарение, както и полученото имущество с възстановено право на собственост по реда на нормативен акт. До промяната, доходите, облагаеми с окончателен данък, не се включваха в годишната данъчна декларация по чл. 50 от ЗДДФЛ, независимо от желанието на лицата– чл. 50а, ал. 1 от ЗДДФЛ (Доп. – ДВ, бр. 106 от 2023 г., в сила от 1.01.2024 г.);</w:t>
      </w:r>
    </w:p>
    <w:p w:rsidR="004D0198" w:rsidRPr="004D0198" w:rsidRDefault="004D0198" w:rsidP="00644788">
      <w:pPr>
        <w:numPr>
          <w:ilvl w:val="0"/>
          <w:numId w:val="37"/>
        </w:numPr>
        <w:tabs>
          <w:tab w:val="left" w:pos="851"/>
        </w:tabs>
        <w:spacing w:after="120"/>
        <w:ind w:left="0" w:firstLine="567"/>
        <w:jc w:val="both"/>
        <w:rPr>
          <w:rFonts w:eastAsia="Calibri"/>
        </w:rPr>
      </w:pPr>
      <w:r w:rsidRPr="004D0198">
        <w:rPr>
          <w:rFonts w:eastAsia="Calibri"/>
        </w:rPr>
        <w:t xml:space="preserve">Приети промени в ЗДДФЛ за въвеждане на </w:t>
      </w:r>
      <w:r w:rsidRPr="004D0198">
        <w:rPr>
          <w:rFonts w:eastAsia="Calibri"/>
          <w:b/>
        </w:rPr>
        <w:t>нормативно признати разходи</w:t>
      </w:r>
      <w:r w:rsidRPr="004D0198">
        <w:rPr>
          <w:rFonts w:eastAsia="Calibri"/>
        </w:rPr>
        <w:t xml:space="preserve"> в размер на 10 на сто при определянето на облагаемия доход от продажба или замяна на финансови активи и чуждестранна валута. Прието е и виртуалните валути да бъдат изрично посочени като финансов актив; </w:t>
      </w:r>
    </w:p>
    <w:p w:rsidR="004D0198" w:rsidRPr="004D0198" w:rsidRDefault="004D0198" w:rsidP="00644788">
      <w:pPr>
        <w:numPr>
          <w:ilvl w:val="0"/>
          <w:numId w:val="37"/>
        </w:numPr>
        <w:tabs>
          <w:tab w:val="left" w:pos="851"/>
        </w:tabs>
        <w:spacing w:after="120"/>
        <w:ind w:left="0" w:firstLine="567"/>
        <w:jc w:val="both"/>
        <w:rPr>
          <w:rFonts w:eastAsia="Calibri"/>
        </w:rPr>
      </w:pPr>
      <w:r w:rsidRPr="004D0198">
        <w:rPr>
          <w:rFonts w:eastAsia="Calibri"/>
        </w:rPr>
        <w:t xml:space="preserve">Освобождаване от облагане на </w:t>
      </w:r>
      <w:r w:rsidRPr="004D0198">
        <w:rPr>
          <w:rFonts w:eastAsia="Calibri"/>
          <w:b/>
        </w:rPr>
        <w:t>доходите от продажба или замяна на движимо имущество, предадено на лица</w:t>
      </w:r>
      <w:r w:rsidRPr="004D0198">
        <w:rPr>
          <w:rFonts w:eastAsia="Calibri"/>
        </w:rPr>
        <w:t>, които имат право да извършват събиране, транспортиране, оползотворяване или обезвреждане на отпадъци в съответствие със Закона за управление на отпадъците;</w:t>
      </w:r>
    </w:p>
    <w:p w:rsidR="004D0198" w:rsidRPr="004D0198" w:rsidRDefault="004D0198" w:rsidP="00644788">
      <w:pPr>
        <w:numPr>
          <w:ilvl w:val="0"/>
          <w:numId w:val="37"/>
        </w:numPr>
        <w:tabs>
          <w:tab w:val="left" w:pos="851"/>
        </w:tabs>
        <w:spacing w:after="120"/>
        <w:ind w:left="0" w:firstLine="567"/>
        <w:jc w:val="both"/>
        <w:rPr>
          <w:rFonts w:eastAsia="Calibri"/>
          <w:bCs/>
          <w:iCs/>
        </w:rPr>
      </w:pPr>
      <w:r w:rsidRPr="004D0198">
        <w:rPr>
          <w:rFonts w:eastAsia="Calibri"/>
          <w:b/>
        </w:rPr>
        <w:t>Включване в обхвата на патентния данък</w:t>
      </w:r>
      <w:r w:rsidRPr="004D0198">
        <w:rPr>
          <w:rFonts w:eastAsia="Calibri"/>
          <w:b/>
          <w:bCs/>
          <w:iCs/>
        </w:rPr>
        <w:t xml:space="preserve"> на юридическите лица, осъществяващи дейност като заведения за хранене и развлечения</w:t>
      </w:r>
      <w:r w:rsidRPr="004D0198">
        <w:rPr>
          <w:rFonts w:eastAsia="Calibri"/>
          <w:bCs/>
          <w:iCs/>
        </w:rPr>
        <w:t xml:space="preserve"> с цел </w:t>
      </w:r>
      <w:r w:rsidRPr="004D0198">
        <w:rPr>
          <w:rFonts w:eastAsia="Calibri"/>
        </w:rPr>
        <w:t>изсветляване на целия сектор на заведенията за хранене и развлечения;</w:t>
      </w:r>
    </w:p>
    <w:p w:rsidR="004D0198" w:rsidRPr="00694B05" w:rsidRDefault="004D0198" w:rsidP="00644788">
      <w:pPr>
        <w:numPr>
          <w:ilvl w:val="0"/>
          <w:numId w:val="37"/>
        </w:numPr>
        <w:tabs>
          <w:tab w:val="left" w:pos="851"/>
        </w:tabs>
        <w:spacing w:after="120"/>
        <w:ind w:left="0" w:firstLine="567"/>
        <w:jc w:val="both"/>
        <w:rPr>
          <w:rFonts w:eastAsia="Calibri"/>
          <w:b/>
        </w:rPr>
      </w:pPr>
      <w:r w:rsidRPr="004D0198">
        <w:rPr>
          <w:rFonts w:eastAsia="Calibri"/>
        </w:rPr>
        <w:t xml:space="preserve">Въведена е нова разпоредба (Чл. 22з. от ЗДДФЛ - ДВ, бр. 106 от 2023 г., в сила от 1.01.2024) свързана с </w:t>
      </w:r>
      <w:r w:rsidRPr="004D0198">
        <w:rPr>
          <w:rFonts w:eastAsia="Calibri"/>
          <w:b/>
          <w:bCs/>
          <w:iCs/>
        </w:rPr>
        <w:t>данъчните облекчения за физически лица, регистрирани като земеделски стопани</w:t>
      </w:r>
      <w:r w:rsidRPr="004D0198">
        <w:rPr>
          <w:rFonts w:eastAsia="Calibri"/>
        </w:rPr>
        <w:t>, съгласно която физическите лица, регистрирани като земеделски стопани, които са получили субсидия или друго подпомагане от Европейския фонд за гарантиране на земеделието и Европейския фонд за развитие на селските райони, могат да ползват данъчно облекчение, като намалят сумата от годишните данъчни основи с размера на получената през годината субсидия, съответно подпомагане от двата фонда, до размера на годишните данъчни основи преди намалението, но с не повече от 100 000 лева.</w:t>
      </w:r>
    </w:p>
    <w:p w:rsidR="00694B05" w:rsidRPr="004D0198" w:rsidRDefault="00694B05" w:rsidP="004D0198">
      <w:pPr>
        <w:ind w:firstLine="567"/>
        <w:jc w:val="both"/>
        <w:rPr>
          <w:rFonts w:eastAsia="Calibri"/>
          <w:bCs/>
        </w:rPr>
      </w:pPr>
    </w:p>
    <w:p w:rsidR="004D0198" w:rsidRPr="004D0198" w:rsidRDefault="004D0198" w:rsidP="004D0198">
      <w:pPr>
        <w:widowControl w:val="0"/>
        <w:suppressAutoHyphens/>
        <w:spacing w:after="120"/>
        <w:ind w:right="-284" w:firstLine="567"/>
        <w:jc w:val="both"/>
        <w:outlineLvl w:val="0"/>
        <w:rPr>
          <w:b/>
          <w:u w:val="single"/>
          <w:lang w:val="en-US"/>
        </w:rPr>
      </w:pPr>
      <w:r w:rsidRPr="004D0198">
        <w:rPr>
          <w:b/>
          <w:u w:val="single"/>
        </w:rPr>
        <w:t>По Данъчно-осигурителния процесуален кодекс</w:t>
      </w:r>
      <w:r w:rsidRPr="004D0198">
        <w:rPr>
          <w:b/>
          <w:u w:val="single"/>
          <w:lang w:val="en-US"/>
        </w:rPr>
        <w:t xml:space="preserve"> </w:t>
      </w:r>
    </w:p>
    <w:p w:rsidR="004D0198" w:rsidRPr="004D0198" w:rsidRDefault="00CA34CE" w:rsidP="00E670C5">
      <w:pPr>
        <w:numPr>
          <w:ilvl w:val="0"/>
          <w:numId w:val="37"/>
        </w:numPr>
        <w:tabs>
          <w:tab w:val="left" w:pos="851"/>
        </w:tabs>
        <w:spacing w:after="120"/>
        <w:ind w:left="0" w:firstLine="567"/>
        <w:jc w:val="both"/>
        <w:rPr>
          <w:rFonts w:eastAsia="Calibri"/>
          <w:bCs/>
        </w:rPr>
      </w:pPr>
      <w:r w:rsidRPr="004D0198">
        <w:rPr>
          <w:rFonts w:eastAsia="Calibri"/>
          <w:bCs/>
        </w:rPr>
        <w:t xml:space="preserve">Въвеждане в ДОПК на </w:t>
      </w:r>
      <w:r w:rsidRPr="004D0198">
        <w:rPr>
          <w:rFonts w:eastAsia="Calibri"/>
          <w:b/>
          <w:bCs/>
        </w:rPr>
        <w:t>задължително предварително деклариране на данни за превозите на стоки с висок фискален риск</w:t>
      </w:r>
      <w:r w:rsidRPr="004D0198">
        <w:rPr>
          <w:rFonts w:eastAsia="Calibri"/>
          <w:bCs/>
        </w:rPr>
        <w:t xml:space="preserve"> на територията на Република България с </w:t>
      </w:r>
      <w:r w:rsidRPr="004D0198">
        <w:rPr>
          <w:rFonts w:eastAsia="Calibri"/>
        </w:rPr>
        <w:t>цел надграждане и усъвършенстване на фискалния контрол (ДВ, бр. 66 от 2023 г.). Тази мярка беше приета по-рано през 2023 г. с измененията на Данъчно-осигурителния процесуален кодекс (ДВ, бр. 66 от 2023 г., в сила от 1.10.2023 г.) и започна да действа след приемането на Наредба Н-5 от 29.09.2023 г. за условията за осъществяване на фискален контрол върху движението на стоки с висок фискален риск на територията на Република България (ДВ, бр. 83 от 3.10.2023 г., в сила от 3.10.2023 г.). От 3 януари 2024 г.</w:t>
      </w:r>
      <w:r>
        <w:rPr>
          <w:rFonts w:eastAsia="Calibri"/>
        </w:rPr>
        <w:t>,</w:t>
      </w:r>
      <w:r w:rsidRPr="004D0198">
        <w:rPr>
          <w:rFonts w:eastAsia="Calibri"/>
        </w:rPr>
        <w:t xml:space="preserve"> </w:t>
      </w:r>
      <w:r w:rsidRPr="00083D6B">
        <w:rPr>
          <w:rFonts w:eastAsia="Calibri"/>
        </w:rPr>
        <w:t>ч</w:t>
      </w:r>
      <w:r w:rsidRPr="001F6FB8">
        <w:rPr>
          <w:rFonts w:eastAsia="Calibri"/>
        </w:rPr>
        <w:t>рез надграждане на електронната услуга</w:t>
      </w:r>
      <w:r>
        <w:rPr>
          <w:rFonts w:eastAsia="Calibri"/>
          <w:bCs/>
        </w:rPr>
        <w:t xml:space="preserve"> за </w:t>
      </w:r>
      <w:r w:rsidRPr="00083D6B">
        <w:rPr>
          <w:rFonts w:eastAsia="Calibri"/>
        </w:rPr>
        <w:t xml:space="preserve">предварително деклариране на данни, НАП добавя декларирането на стоки с висок фискален риск, започващи от територията на трета държава и завършващи на територията на страната, както и когато започват и завършват на територията на страната. </w:t>
      </w:r>
      <w:r>
        <w:rPr>
          <w:rFonts w:eastAsia="Calibri"/>
        </w:rPr>
        <w:t>Разширяването на м</w:t>
      </w:r>
      <w:r w:rsidRPr="00083D6B">
        <w:rPr>
          <w:rFonts w:eastAsia="Calibri"/>
        </w:rPr>
        <w:t xml:space="preserve">ярката цели по-ефективна превенция и противодействие на данъчните измами и укриването и </w:t>
      </w:r>
      <w:proofErr w:type="spellStart"/>
      <w:r w:rsidRPr="00083D6B">
        <w:rPr>
          <w:rFonts w:eastAsia="Calibri"/>
        </w:rPr>
        <w:t>неплащането</w:t>
      </w:r>
      <w:proofErr w:type="spellEnd"/>
      <w:r w:rsidRPr="00083D6B">
        <w:rPr>
          <w:rFonts w:eastAsia="Calibri"/>
        </w:rPr>
        <w:t xml:space="preserve"> на данъци</w:t>
      </w:r>
      <w:r w:rsidR="004D0198" w:rsidRPr="004D0198">
        <w:rPr>
          <w:rFonts w:eastAsia="Calibri"/>
          <w:bCs/>
        </w:rPr>
        <w:t>;</w:t>
      </w:r>
    </w:p>
    <w:p w:rsidR="004D0198" w:rsidRPr="004D0198" w:rsidRDefault="004D0198" w:rsidP="00E670C5">
      <w:pPr>
        <w:tabs>
          <w:tab w:val="left" w:pos="851"/>
        </w:tabs>
        <w:spacing w:before="120" w:after="120"/>
        <w:ind w:right="-43" w:firstLine="567"/>
        <w:jc w:val="both"/>
        <w:rPr>
          <w:lang w:eastAsia="bg-BG"/>
        </w:rPr>
      </w:pPr>
      <w:r w:rsidRPr="004D0198">
        <w:rPr>
          <w:lang w:eastAsia="bg-BG"/>
        </w:rPr>
        <w:t xml:space="preserve">Промените в областта на данъчната политика приети със </w:t>
      </w:r>
      <w:r w:rsidRPr="004D0198">
        <w:rPr>
          <w:b/>
          <w:lang w:eastAsia="bg-BG"/>
        </w:rPr>
        <w:t>ЗИД на ДОПК</w:t>
      </w:r>
      <w:r w:rsidRPr="004D0198">
        <w:rPr>
          <w:lang w:eastAsia="bg-BG"/>
        </w:rPr>
        <w:t xml:space="preserve"> (</w:t>
      </w:r>
      <w:proofErr w:type="spellStart"/>
      <w:r w:rsidRPr="004D0198">
        <w:rPr>
          <w:lang w:eastAsia="bg-BG"/>
        </w:rPr>
        <w:t>обн</w:t>
      </w:r>
      <w:proofErr w:type="spellEnd"/>
      <w:r w:rsidRPr="004D0198">
        <w:rPr>
          <w:lang w:eastAsia="bg-BG"/>
        </w:rPr>
        <w:t xml:space="preserve">., ДВ, </w:t>
      </w:r>
      <w:r w:rsidRPr="00587800">
        <w:rPr>
          <w:lang w:val="ru-RU" w:eastAsia="bg-BG"/>
        </w:rPr>
        <w:t>бр. 106 от 22.12.2023 г</w:t>
      </w:r>
      <w:r w:rsidRPr="004D0198">
        <w:rPr>
          <w:lang w:eastAsia="bg-BG"/>
        </w:rPr>
        <w:t>., в сила от 1.01.2024 г.) включват следните мерки/изменения:</w:t>
      </w:r>
    </w:p>
    <w:p w:rsidR="004D0198" w:rsidRPr="004D0198" w:rsidRDefault="004D0198" w:rsidP="00E670C5">
      <w:pPr>
        <w:numPr>
          <w:ilvl w:val="0"/>
          <w:numId w:val="37"/>
        </w:numPr>
        <w:tabs>
          <w:tab w:val="left" w:pos="851"/>
        </w:tabs>
        <w:spacing w:after="120"/>
        <w:ind w:left="0" w:firstLine="567"/>
        <w:jc w:val="both"/>
        <w:rPr>
          <w:rFonts w:eastAsia="Calibri"/>
        </w:rPr>
      </w:pPr>
      <w:r w:rsidRPr="004D0198">
        <w:rPr>
          <w:rFonts w:eastAsia="Calibri"/>
        </w:rPr>
        <w:t>Приети са промени в ДОПК (</w:t>
      </w:r>
      <w:proofErr w:type="spellStart"/>
      <w:r w:rsidRPr="004D0198">
        <w:rPr>
          <w:rFonts w:eastAsia="Calibri"/>
        </w:rPr>
        <w:t>обн</w:t>
      </w:r>
      <w:proofErr w:type="spellEnd"/>
      <w:r w:rsidRPr="004D0198">
        <w:rPr>
          <w:rFonts w:eastAsia="Calibri"/>
        </w:rPr>
        <w:t xml:space="preserve">., ДВ, бр. 100 от 2022 г., в сила от 01.01.2024 г.), с които се </w:t>
      </w:r>
      <w:r w:rsidRPr="004D0198">
        <w:rPr>
          <w:rFonts w:eastAsia="Calibri"/>
          <w:b/>
        </w:rPr>
        <w:t>подобрява цялостната уредба на обмена на информация и административното сътрудничество и се разширява обхватът на автоматичния обмен на информация</w:t>
      </w:r>
      <w:r w:rsidRPr="004D0198">
        <w:rPr>
          <w:rFonts w:eastAsia="Calibri"/>
        </w:rPr>
        <w:t>, като се включва и информацията, предоставяна от операторите на цифрови платформи за продавачи, извършващи дейност чрез тези платформи. Развитието на цифровизацията на икономиката и възможностите за укриване на доходи, особено в случаите, когато дейността се извършва чрез цифрови платформи, установени в други юрисдикции, мотивира разширяването на обхвата на автоматичния обмен на информация за данъчни цели по отношение на доходите, реализирани чрез такива платформи, и техните получатели. Промените са в съответствие с изискванията на Директива (ЕС) 2021/514 и в отговор на направени изменения в Директива 2011/16/ЕС на Съвета от 15 февруари 2011 г. относно административното сътрудничество в областта на данъчното облагане и прецизиране в тази връзка на националните законодателства на държавите членки по еднозначен начин, които от своя страна гарантират правна сигурност и яснота на правилата в областта на административното сътрудничество и обмена на информация;</w:t>
      </w:r>
    </w:p>
    <w:p w:rsidR="004D0198" w:rsidRPr="004D0198" w:rsidRDefault="004D0198" w:rsidP="00E670C5">
      <w:pPr>
        <w:numPr>
          <w:ilvl w:val="0"/>
          <w:numId w:val="37"/>
        </w:numPr>
        <w:tabs>
          <w:tab w:val="left" w:pos="851"/>
        </w:tabs>
        <w:spacing w:after="120"/>
        <w:ind w:left="0" w:firstLine="567"/>
        <w:jc w:val="both"/>
        <w:rPr>
          <w:rFonts w:eastAsia="Calibri"/>
        </w:rPr>
      </w:pPr>
      <w:r w:rsidRPr="004D0198">
        <w:rPr>
          <w:rFonts w:eastAsia="Calibri"/>
        </w:rPr>
        <w:t>Въведена е нова разпоредба относно разкриването на д</w:t>
      </w:r>
      <w:r w:rsidRPr="00587800">
        <w:rPr>
          <w:rFonts w:eastAsia="Calibri"/>
          <w:lang w:val="ru-RU"/>
        </w:rPr>
        <w:t xml:space="preserve">анни, представляващи данъчна и осигурителна информация, </w:t>
      </w:r>
      <w:r w:rsidRPr="004D0198">
        <w:rPr>
          <w:rFonts w:eastAsia="Calibri"/>
        </w:rPr>
        <w:t xml:space="preserve">съгласно чл. 74, ал. 9 от ДОПК </w:t>
      </w:r>
      <w:r w:rsidRPr="00587800">
        <w:rPr>
          <w:rFonts w:eastAsia="Calibri"/>
          <w:lang w:val="ru-RU"/>
        </w:rPr>
        <w:t>(нова – ДВ, бр. 66 от 2023 г., в сила от 3.05.2024 г.)</w:t>
      </w:r>
      <w:r w:rsidRPr="004D0198">
        <w:rPr>
          <w:rFonts w:eastAsia="Calibri"/>
        </w:rPr>
        <w:t>.</w:t>
      </w:r>
      <w:r w:rsidRPr="00587800">
        <w:rPr>
          <w:rFonts w:eastAsia="Calibri"/>
          <w:lang w:val="ru-RU"/>
        </w:rPr>
        <w:t xml:space="preserve"> </w:t>
      </w:r>
      <w:r w:rsidRPr="004D0198">
        <w:rPr>
          <w:rFonts w:eastAsia="Calibri"/>
        </w:rPr>
        <w:t xml:space="preserve">С приетата разпоредба, такава информация се предоставя и по искане на нотариус или на съдия по вписванията във връзка с проверка по чл. 264, ал. 1 и 2 от ДОПК за наличие или липса на непогасени, подлежащи на принудително изпълнение публични задължения на </w:t>
      </w:r>
      <w:proofErr w:type="spellStart"/>
      <w:r w:rsidRPr="004D0198">
        <w:rPr>
          <w:rFonts w:eastAsia="Calibri"/>
        </w:rPr>
        <w:t>прехвърлител</w:t>
      </w:r>
      <w:proofErr w:type="spellEnd"/>
      <w:r w:rsidRPr="004D0198">
        <w:rPr>
          <w:rFonts w:eastAsia="Calibri"/>
        </w:rPr>
        <w:t xml:space="preserve"> или учредител на вещни права, съответно на ипотекарен длъжник или залогодател;</w:t>
      </w:r>
    </w:p>
    <w:p w:rsidR="004D0198" w:rsidRPr="004D0198" w:rsidRDefault="004D0198" w:rsidP="00E670C5">
      <w:pPr>
        <w:numPr>
          <w:ilvl w:val="0"/>
          <w:numId w:val="37"/>
        </w:numPr>
        <w:tabs>
          <w:tab w:val="left" w:pos="851"/>
        </w:tabs>
        <w:spacing w:after="120"/>
        <w:ind w:left="0" w:firstLine="567"/>
        <w:jc w:val="both"/>
        <w:rPr>
          <w:rFonts w:eastAsia="Calibri"/>
        </w:rPr>
      </w:pPr>
      <w:r w:rsidRPr="004D0198">
        <w:rPr>
          <w:rFonts w:eastAsia="Calibri"/>
        </w:rPr>
        <w:t>Прецизират се разпоредбите свързани с начина и срока на извършване на безкасово плащане, въвежда се нова разпоредба за условията и реда за разплащания с публични средства (Нов – ДВ, бр. 66 от 2023 г., в сила от 3.05.2024 г.), както и се прецизират разпоредбите свързани с условията за определяне на доходите подлежащо на принудително изпълнение.</w:t>
      </w:r>
    </w:p>
    <w:p w:rsidR="004D0198" w:rsidRPr="004D0198" w:rsidRDefault="004D0198" w:rsidP="004D0198">
      <w:pPr>
        <w:ind w:firstLine="567"/>
        <w:jc w:val="both"/>
        <w:rPr>
          <w:lang w:eastAsia="bg-BG"/>
        </w:rPr>
      </w:pPr>
    </w:p>
    <w:p w:rsidR="004D0198" w:rsidRPr="00587800" w:rsidRDefault="004D0198" w:rsidP="004D0198">
      <w:pPr>
        <w:widowControl w:val="0"/>
        <w:suppressAutoHyphens/>
        <w:spacing w:after="120"/>
        <w:ind w:right="-284" w:firstLine="567"/>
        <w:jc w:val="both"/>
        <w:outlineLvl w:val="0"/>
        <w:rPr>
          <w:lang w:val="ru-RU" w:eastAsia="bg-BG"/>
        </w:rPr>
      </w:pPr>
      <w:r w:rsidRPr="004D0198">
        <w:rPr>
          <w:b/>
          <w:u w:val="single"/>
        </w:rPr>
        <w:t xml:space="preserve">По Закона за данък върху добавената стойност </w:t>
      </w:r>
      <w:r w:rsidRPr="00587800">
        <w:rPr>
          <w:b/>
          <w:u w:val="single"/>
          <w:lang w:val="ru-RU"/>
        </w:rPr>
        <w:t>(</w:t>
      </w:r>
      <w:r w:rsidRPr="004D0198">
        <w:rPr>
          <w:b/>
          <w:lang w:eastAsia="bg-BG"/>
        </w:rPr>
        <w:t>ЗДДС</w:t>
      </w:r>
      <w:r w:rsidRPr="00587800">
        <w:rPr>
          <w:b/>
          <w:lang w:val="ru-RU" w:eastAsia="bg-BG"/>
        </w:rPr>
        <w:t>)</w:t>
      </w:r>
    </w:p>
    <w:p w:rsidR="004D0198" w:rsidRPr="004D0198" w:rsidRDefault="004D0198" w:rsidP="00E670C5">
      <w:pPr>
        <w:numPr>
          <w:ilvl w:val="0"/>
          <w:numId w:val="37"/>
        </w:numPr>
        <w:tabs>
          <w:tab w:val="left" w:pos="851"/>
        </w:tabs>
        <w:spacing w:after="120"/>
        <w:ind w:left="0" w:firstLine="567"/>
        <w:jc w:val="both"/>
        <w:rPr>
          <w:rFonts w:eastAsia="Calibri"/>
          <w:bCs/>
        </w:rPr>
      </w:pPr>
      <w:r w:rsidRPr="004D0198">
        <w:rPr>
          <w:rFonts w:eastAsia="Calibri"/>
          <w:bCs/>
        </w:rPr>
        <w:t xml:space="preserve">Удължен е срокът на прилагане на </w:t>
      </w:r>
      <w:r w:rsidRPr="004D0198">
        <w:rPr>
          <w:rFonts w:eastAsia="Calibri"/>
          <w:b/>
          <w:bCs/>
        </w:rPr>
        <w:t>нулевата ставка на ДДС за доставки на хляб и брашно</w:t>
      </w:r>
      <w:r w:rsidRPr="004D0198">
        <w:rPr>
          <w:rFonts w:eastAsia="Calibri"/>
          <w:bCs/>
        </w:rPr>
        <w:t xml:space="preserve"> с място на изпълнение на територията на страната, при внос и при облагаеми </w:t>
      </w:r>
      <w:proofErr w:type="spellStart"/>
      <w:r w:rsidRPr="004D0198">
        <w:rPr>
          <w:rFonts w:eastAsia="Calibri"/>
          <w:bCs/>
        </w:rPr>
        <w:t>вътреобщностни</w:t>
      </w:r>
      <w:proofErr w:type="spellEnd"/>
      <w:r w:rsidRPr="004D0198">
        <w:rPr>
          <w:rFonts w:eastAsia="Calibri"/>
          <w:bCs/>
        </w:rPr>
        <w:t xml:space="preserve"> придобивания</w:t>
      </w:r>
      <w:r w:rsidRPr="004D0198">
        <w:rPr>
          <w:rFonts w:eastAsia="Calibri"/>
          <w:bCs/>
          <w:iCs/>
        </w:rPr>
        <w:t xml:space="preserve"> до 30.06.2024 г. </w:t>
      </w:r>
      <w:r w:rsidRPr="004D0198">
        <w:rPr>
          <w:rFonts w:eastAsia="Calibri"/>
          <w:bCs/>
        </w:rPr>
        <w:t xml:space="preserve">До тогава ще действа и </w:t>
      </w:r>
      <w:r w:rsidRPr="004D0198">
        <w:rPr>
          <w:rFonts w:eastAsia="Calibri"/>
          <w:b/>
          <w:bCs/>
        </w:rPr>
        <w:t>намалената данъчна ставка от 9 % на ДДС за доставка на услуга за използване на спортни съоръжения и обща туристическа услуга</w:t>
      </w:r>
      <w:r w:rsidRPr="004D0198">
        <w:rPr>
          <w:rFonts w:eastAsia="Calibri"/>
          <w:bCs/>
          <w:iCs/>
        </w:rPr>
        <w:t>;</w:t>
      </w:r>
    </w:p>
    <w:p w:rsidR="004D0198" w:rsidRPr="004D0198" w:rsidRDefault="004D0198" w:rsidP="00E670C5">
      <w:pPr>
        <w:numPr>
          <w:ilvl w:val="0"/>
          <w:numId w:val="37"/>
        </w:numPr>
        <w:tabs>
          <w:tab w:val="left" w:pos="851"/>
        </w:tabs>
        <w:spacing w:after="120"/>
        <w:ind w:left="0" w:firstLine="567"/>
        <w:jc w:val="both"/>
        <w:rPr>
          <w:rFonts w:eastAsia="Calibri"/>
          <w:bCs/>
        </w:rPr>
      </w:pPr>
      <w:r w:rsidRPr="004D0198">
        <w:rPr>
          <w:rFonts w:eastAsia="Calibri"/>
          <w:bCs/>
        </w:rPr>
        <w:t xml:space="preserve">Удължен е и срокът на действие на прилагане на </w:t>
      </w:r>
      <w:r w:rsidRPr="004D0198">
        <w:rPr>
          <w:rFonts w:eastAsia="Calibri"/>
          <w:b/>
          <w:bCs/>
        </w:rPr>
        <w:t xml:space="preserve">намалената ставка от 9 % на ДДС за доставките на ресторантьорски и кетъринг услуги </w:t>
      </w:r>
      <w:r w:rsidRPr="004D0198">
        <w:rPr>
          <w:rFonts w:eastAsia="Calibri"/>
          <w:bCs/>
        </w:rPr>
        <w:t>до края на 2024 г.;</w:t>
      </w:r>
    </w:p>
    <w:p w:rsidR="004D0198" w:rsidRPr="004D0198" w:rsidRDefault="004D0198" w:rsidP="00E670C5">
      <w:pPr>
        <w:numPr>
          <w:ilvl w:val="0"/>
          <w:numId w:val="37"/>
        </w:numPr>
        <w:tabs>
          <w:tab w:val="left" w:pos="851"/>
        </w:tabs>
        <w:spacing w:after="200"/>
        <w:ind w:left="0" w:firstLine="567"/>
        <w:jc w:val="both"/>
        <w:rPr>
          <w:bCs/>
          <w:lang w:eastAsia="bg-BG"/>
        </w:rPr>
      </w:pPr>
      <w:r w:rsidRPr="004D0198">
        <w:rPr>
          <w:bCs/>
          <w:lang w:eastAsia="bg-BG"/>
        </w:rPr>
        <w:t xml:space="preserve">Приета е нова разпоредба (чл. 123 ал. 10 от ЗДДС), с която декларирането (с декларацията по чл. 55, ал. 1 от ЗДДФЛ и чл. 201, ал. 1 от ЗКПО, в срок до края на месеца, следващ тримесечието) на данни от текущата счетоводна отчетност за </w:t>
      </w:r>
      <w:r w:rsidRPr="004D0198">
        <w:rPr>
          <w:b/>
          <w:bCs/>
          <w:lang w:eastAsia="bg-BG"/>
        </w:rPr>
        <w:t>наличните парични средства в касите</w:t>
      </w:r>
      <w:r w:rsidRPr="004D0198">
        <w:rPr>
          <w:bCs/>
          <w:lang w:eastAsia="bg-BG"/>
        </w:rPr>
        <w:t>, както и размерът на вземанията (включително от предоставени заеми) от собственици физически лица, работници, служители, лица, наети по договор за управление и контрол, и подотчетни лица, при условие че в края на календарно тримесечие общата сума на наличностите и вземанията надхвърля  50 000 лв.;</w:t>
      </w:r>
    </w:p>
    <w:p w:rsidR="004D0198" w:rsidRPr="004D0198" w:rsidRDefault="004D0198" w:rsidP="00E670C5">
      <w:pPr>
        <w:numPr>
          <w:ilvl w:val="0"/>
          <w:numId w:val="37"/>
        </w:numPr>
        <w:tabs>
          <w:tab w:val="left" w:pos="851"/>
        </w:tabs>
        <w:spacing w:after="200"/>
        <w:ind w:left="0" w:firstLine="567"/>
        <w:jc w:val="both"/>
        <w:rPr>
          <w:lang w:eastAsia="bg-BG"/>
        </w:rPr>
      </w:pPr>
      <w:r w:rsidRPr="004D0198">
        <w:rPr>
          <w:bCs/>
          <w:lang w:eastAsia="bg-BG"/>
        </w:rPr>
        <w:t xml:space="preserve">С цел да се разреши проблемът с измамите с ДДС при електронната търговия, чрез засилване на сътрудничеството между данъчните органи и доставчиците на платежни услуги, както и във връзка с </w:t>
      </w:r>
      <w:r w:rsidRPr="004D0198">
        <w:rPr>
          <w:b/>
          <w:bCs/>
          <w:lang w:eastAsia="bg-BG"/>
        </w:rPr>
        <w:t>изискванията за</w:t>
      </w:r>
      <w:r w:rsidRPr="004D0198">
        <w:rPr>
          <w:b/>
          <w:lang w:eastAsia="bg-BG"/>
        </w:rPr>
        <w:t xml:space="preserve"> доставчиците на платежни услуги</w:t>
      </w:r>
      <w:r w:rsidRPr="004D0198">
        <w:rPr>
          <w:lang w:eastAsia="bg-BG"/>
        </w:rPr>
        <w:t>,</w:t>
      </w:r>
      <w:r w:rsidRPr="004D0198">
        <w:rPr>
          <w:bCs/>
          <w:lang w:eastAsia="bg-BG"/>
        </w:rPr>
        <w:t xml:space="preserve"> въведени с разпоредбите на Директива (ЕС) 2020/284 на Съвета от 18 февруари 2020 година за изменение на Директива 2006/112/ЕО по отношение на въвеждането на определени изисквания за доставчиците на платежни услуги (Директива (ЕС) 2020/284)</w:t>
      </w:r>
      <w:r w:rsidRPr="004D0198">
        <w:rPr>
          <w:lang w:eastAsia="bg-BG"/>
        </w:rPr>
        <w:t xml:space="preserve">, са направени съответните изменения и в ЗДДС (ЗИД на ЗДДС, </w:t>
      </w:r>
      <w:proofErr w:type="spellStart"/>
      <w:r w:rsidRPr="004D0198">
        <w:rPr>
          <w:lang w:eastAsia="bg-BG"/>
        </w:rPr>
        <w:t>обн</w:t>
      </w:r>
      <w:proofErr w:type="spellEnd"/>
      <w:r w:rsidRPr="004D0198">
        <w:rPr>
          <w:lang w:eastAsia="bg-BG"/>
        </w:rPr>
        <w:t xml:space="preserve">., ДВ, бр. 102 от 2022 г., в сила от 01.01.2023 г.). Директива (ЕС) 2020/284 има за цел да допълни законодателния ДДС пакет за облагане на електронната търговия, който влезе в сила на 1 юли 2021 година. Директива (ЕС) 2020/284 съдържа задължения за доставчиците на платежни услуги да предават определена информация за трансграничните плащания, произхождащи от държави членки и за бенефициента („получателя”) на тези </w:t>
      </w:r>
      <w:proofErr w:type="spellStart"/>
      <w:r w:rsidRPr="004D0198">
        <w:rPr>
          <w:lang w:eastAsia="bg-BG"/>
        </w:rPr>
        <w:t>презгранични</w:t>
      </w:r>
      <w:proofErr w:type="spellEnd"/>
      <w:r w:rsidRPr="004D0198">
        <w:rPr>
          <w:lang w:eastAsia="bg-BG"/>
        </w:rPr>
        <w:t xml:space="preserve"> плащания, с цел правилното отчитане и облагане с ДДС на електронната търговия в ЕС; </w:t>
      </w:r>
    </w:p>
    <w:p w:rsidR="004D0198" w:rsidRPr="004D0198" w:rsidRDefault="004D0198" w:rsidP="00E670C5">
      <w:pPr>
        <w:numPr>
          <w:ilvl w:val="0"/>
          <w:numId w:val="39"/>
        </w:numPr>
        <w:tabs>
          <w:tab w:val="left" w:pos="851"/>
        </w:tabs>
        <w:spacing w:after="120"/>
        <w:ind w:firstLine="567"/>
        <w:jc w:val="both"/>
        <w:rPr>
          <w:rFonts w:eastAsia="Calibri"/>
          <w:bCs/>
          <w:iCs/>
        </w:rPr>
      </w:pPr>
      <w:r w:rsidRPr="004D0198">
        <w:rPr>
          <w:bCs/>
          <w:lang w:eastAsia="bg-BG"/>
        </w:rPr>
        <w:t>Предвидена в ЗДДС мярка за „изсветляване на сивата икономика“, която дава възможност получателят по доставка да има право да задържи плащането на стойността на доставката</w:t>
      </w:r>
      <w:r w:rsidRPr="004D0198">
        <w:rPr>
          <w:rFonts w:eastAsia="Calibri"/>
          <w:bCs/>
          <w:iCs/>
        </w:rPr>
        <w:t xml:space="preserve">/продажбата, когато доставчикът не издаде </w:t>
      </w:r>
      <w:r w:rsidRPr="004D0198">
        <w:rPr>
          <w:rFonts w:eastAsia="Calibri"/>
          <w:b/>
          <w:bCs/>
          <w:iCs/>
        </w:rPr>
        <w:t>касова бележка.</w:t>
      </w:r>
      <w:r w:rsidRPr="004D0198">
        <w:rPr>
          <w:rFonts w:eastAsia="Calibri"/>
          <w:bCs/>
          <w:iCs/>
        </w:rPr>
        <w:t xml:space="preserve"> Това право на доставчикът няма да се прилага в случаите, когато ЗДДС или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допускат при доставки/продажби в търговски обект да не се издава фискална касова бележка от фискално устройство (фискален бон) или касова бележка от интегрирана автоматизирана система за управление на търговската дейност (системен бон);</w:t>
      </w:r>
    </w:p>
    <w:p w:rsidR="004D0198" w:rsidRPr="004D0198" w:rsidRDefault="004D0198" w:rsidP="00E670C5">
      <w:pPr>
        <w:numPr>
          <w:ilvl w:val="0"/>
          <w:numId w:val="39"/>
        </w:numPr>
        <w:tabs>
          <w:tab w:val="left" w:pos="851"/>
          <w:tab w:val="left" w:pos="1134"/>
        </w:tabs>
        <w:ind w:firstLine="567"/>
        <w:jc w:val="both"/>
        <w:rPr>
          <w:lang w:eastAsia="bg-BG"/>
        </w:rPr>
      </w:pPr>
      <w:r w:rsidRPr="004D0198">
        <w:rPr>
          <w:bCs/>
        </w:rPr>
        <w:t xml:space="preserve">Въведено е </w:t>
      </w:r>
      <w:r w:rsidRPr="004D0198">
        <w:rPr>
          <w:b/>
          <w:bCs/>
        </w:rPr>
        <w:t>отсрочено плащане на ДДС при централизирано оформяне при внос на стоки</w:t>
      </w:r>
      <w:r w:rsidRPr="004D0198">
        <w:rPr>
          <w:bCs/>
        </w:rPr>
        <w:t xml:space="preserve">. Отсроченото плащане означава, че плащането на ДДС при внос на митницата се отлага за определен на национално равнище период. Това попада в обхвата на чл. 211, ал. 1 от Директива 2006/112/ЕО от 28 ноември 2006 година относно общата система на данъка върху добавената стойност (Директива 2006/112/ЕО). Текстове целят регламентиране на отсроченото плащане в случаите на централизирано оформяне при внос, във връзка с внедряването в Митническата информационна система за внасяне на функционалността за централизирано оформяне при внос в края на октомври 2023 година </w:t>
      </w:r>
      <w:r w:rsidRPr="00587800">
        <w:rPr>
          <w:lang w:val="ru-RU" w:eastAsia="bg-BG"/>
        </w:rPr>
        <w:t>(Нов</w:t>
      </w:r>
      <w:r w:rsidRPr="004D0198">
        <w:rPr>
          <w:lang w:eastAsia="bg-BG"/>
        </w:rPr>
        <w:t>и</w:t>
      </w:r>
      <w:r w:rsidRPr="00587800">
        <w:rPr>
          <w:lang w:val="ru-RU" w:eastAsia="bg-BG"/>
        </w:rPr>
        <w:t xml:space="preserve"> – ДВ, бр. 106 от 2023 г., в сила от 1.01.2024 г.)</w:t>
      </w:r>
      <w:r w:rsidRPr="004D0198">
        <w:rPr>
          <w:bCs/>
        </w:rPr>
        <w:t>;</w:t>
      </w:r>
    </w:p>
    <w:p w:rsidR="004D0198" w:rsidRPr="00587800" w:rsidRDefault="004D0198" w:rsidP="0011137B">
      <w:pPr>
        <w:numPr>
          <w:ilvl w:val="0"/>
          <w:numId w:val="39"/>
        </w:numPr>
        <w:tabs>
          <w:tab w:val="left" w:pos="851"/>
          <w:tab w:val="left" w:pos="1134"/>
        </w:tabs>
        <w:spacing w:before="120"/>
        <w:ind w:firstLine="567"/>
        <w:jc w:val="both"/>
        <w:rPr>
          <w:lang w:val="ru-RU" w:eastAsia="bg-BG"/>
        </w:rPr>
      </w:pPr>
      <w:r w:rsidRPr="004D0198">
        <w:rPr>
          <w:rFonts w:eastAsia="Calibri"/>
        </w:rPr>
        <w:t xml:space="preserve">Прецизирани са разпоредбите за определяне на данъчната основа при пропорционалното разпределяне на преките разходи определяне на преките разходи в зависимост от степента на използване на съответната стока или услуга за лични нужди или цели различни от независимата икономическа дейност. </w:t>
      </w:r>
      <w:r w:rsidRPr="00587800">
        <w:rPr>
          <w:rFonts w:eastAsia="Calibri"/>
          <w:lang w:val="ru-RU"/>
        </w:rPr>
        <w:t>(</w:t>
      </w:r>
      <w:r w:rsidRPr="00587800">
        <w:rPr>
          <w:lang w:val="ru-RU" w:eastAsia="bg-BG"/>
        </w:rPr>
        <w:t>чл. 27, ал. 6 от ЗДДС</w:t>
      </w:r>
      <w:r w:rsidR="00D50728">
        <w:rPr>
          <w:lang w:eastAsia="bg-BG"/>
        </w:rPr>
        <w:t xml:space="preserve"> -</w:t>
      </w:r>
      <w:r w:rsidRPr="00587800">
        <w:rPr>
          <w:lang w:val="ru-RU" w:eastAsia="bg-BG"/>
        </w:rPr>
        <w:t xml:space="preserve"> бр. 106 от 2023 г., в сила от 1.01.2024 г.)</w:t>
      </w:r>
      <w:r w:rsidRPr="004D0198">
        <w:rPr>
          <w:lang w:eastAsia="bg-BG"/>
        </w:rPr>
        <w:t>;</w:t>
      </w:r>
    </w:p>
    <w:p w:rsidR="004D0198" w:rsidRPr="004D0198" w:rsidRDefault="004D0198" w:rsidP="0011137B">
      <w:pPr>
        <w:numPr>
          <w:ilvl w:val="0"/>
          <w:numId w:val="39"/>
        </w:numPr>
        <w:tabs>
          <w:tab w:val="left" w:pos="851"/>
          <w:tab w:val="left" w:pos="1134"/>
        </w:tabs>
        <w:spacing w:before="120"/>
        <w:ind w:firstLine="567"/>
        <w:jc w:val="both"/>
        <w:rPr>
          <w:rFonts w:eastAsia="Calibri"/>
          <w:bCs/>
          <w:iCs/>
        </w:rPr>
      </w:pPr>
      <w:r w:rsidRPr="004D0198">
        <w:rPr>
          <w:rFonts w:eastAsia="Calibri"/>
        </w:rPr>
        <w:t>Прецизирани</w:t>
      </w:r>
      <w:r w:rsidRPr="004D0198">
        <w:rPr>
          <w:rFonts w:eastAsia="Calibri"/>
          <w:bCs/>
        </w:rPr>
        <w:t xml:space="preserve"> са текстовете относно корекция на ползван данъчен кредит за стока или</w:t>
      </w:r>
      <w:r w:rsidRPr="004D0198">
        <w:rPr>
          <w:rFonts w:eastAsia="Calibri"/>
          <w:b/>
          <w:bCs/>
        </w:rPr>
        <w:t xml:space="preserve"> услуга в съответствие с решение на СЕС </w:t>
      </w:r>
      <w:r w:rsidRPr="004D0198">
        <w:t>(Изм. – ДВ, бр. 106 от 2023 г., в сила от 1.01.2024 г.)</w:t>
      </w:r>
    </w:p>
    <w:p w:rsidR="004D0198" w:rsidRPr="004D0198" w:rsidRDefault="004D0198" w:rsidP="002B05FE">
      <w:pPr>
        <w:spacing w:before="100" w:beforeAutospacing="1"/>
        <w:ind w:firstLine="567"/>
        <w:jc w:val="both"/>
        <w:rPr>
          <w:bCs/>
          <w:iCs/>
          <w:lang w:eastAsia="bg-BG"/>
        </w:rPr>
      </w:pPr>
      <w:r w:rsidRPr="004D0198">
        <w:rPr>
          <w:iCs/>
          <w:lang w:eastAsia="bg-BG"/>
        </w:rPr>
        <w:t xml:space="preserve">Във връзка с отстраняване на несъответствие на административната практика с правото на Съюза, са предложени разпоредби за случаите на унищожаване или бракуване на стоки, при които не се извършва корекция на ползвания данъчен кредит. По повод запитването по информационна фаза с № EUP (2021) 10021 на ЕК относно корекция на приспадането на ДДС в ситуации, свързани с унищожаването или бракуването на стоки. Предложените разпоредби имат за цел да се прецизира </w:t>
      </w:r>
      <w:proofErr w:type="spellStart"/>
      <w:r w:rsidRPr="004D0198">
        <w:rPr>
          <w:iCs/>
          <w:lang w:eastAsia="bg-BG"/>
        </w:rPr>
        <w:t>относимата</w:t>
      </w:r>
      <w:proofErr w:type="spellEnd"/>
      <w:r w:rsidRPr="004D0198">
        <w:rPr>
          <w:iCs/>
          <w:lang w:eastAsia="bg-BG"/>
        </w:rPr>
        <w:t xml:space="preserve"> регламентация, като предложенията са съобразени и с постановеното в решение на СЕС по дело С-127/22 „Българска телекомуникационна компания“ ЕАД. Делото е образувано по </w:t>
      </w:r>
      <w:proofErr w:type="spellStart"/>
      <w:r w:rsidRPr="004D0198">
        <w:rPr>
          <w:iCs/>
          <w:lang w:eastAsia="bg-BG"/>
        </w:rPr>
        <w:t>преюдициално</w:t>
      </w:r>
      <w:proofErr w:type="spellEnd"/>
      <w:r w:rsidRPr="004D0198">
        <w:rPr>
          <w:iCs/>
          <w:lang w:eastAsia="bg-BG"/>
        </w:rPr>
        <w:t xml:space="preserve"> запитване на Върховния административен съд и се отнася до проблематика, която съответства на констатираното от ЕК</w:t>
      </w:r>
      <w:r w:rsidRPr="004D0198">
        <w:rPr>
          <w:bCs/>
          <w:iCs/>
          <w:lang w:eastAsia="bg-BG"/>
        </w:rPr>
        <w:t>;</w:t>
      </w:r>
    </w:p>
    <w:p w:rsidR="004D0198" w:rsidRPr="004D0198" w:rsidRDefault="004D0198" w:rsidP="002B05FE">
      <w:pPr>
        <w:numPr>
          <w:ilvl w:val="0"/>
          <w:numId w:val="39"/>
        </w:numPr>
        <w:tabs>
          <w:tab w:val="left" w:pos="851"/>
          <w:tab w:val="left" w:pos="1134"/>
        </w:tabs>
        <w:spacing w:before="120" w:after="120"/>
        <w:ind w:firstLine="567"/>
        <w:jc w:val="both"/>
        <w:rPr>
          <w:rFonts w:eastAsia="Calibri"/>
          <w:bCs/>
          <w:iCs/>
        </w:rPr>
      </w:pPr>
      <w:r w:rsidRPr="004D0198">
        <w:rPr>
          <w:rFonts w:eastAsia="Calibri"/>
          <w:bCs/>
        </w:rPr>
        <w:t>Прецизирана е разпоредбата относно условията за упражняване правото на приспадане на данъчен кредит</w:t>
      </w:r>
      <w:r w:rsidRPr="004D0198">
        <w:rPr>
          <w:rFonts w:eastAsia="Calibri"/>
          <w:b/>
          <w:bCs/>
        </w:rPr>
        <w:t xml:space="preserve"> </w:t>
      </w:r>
      <w:r w:rsidRPr="004D0198">
        <w:t>(</w:t>
      </w:r>
      <w:r w:rsidRPr="00587800">
        <w:rPr>
          <w:lang w:val="ru-RU"/>
        </w:rPr>
        <w:t>доп., бр. 106 от 2023 г., в сила от 1.01.2024 г.</w:t>
      </w:r>
      <w:r w:rsidRPr="004D0198">
        <w:t>)</w:t>
      </w:r>
    </w:p>
    <w:p w:rsidR="004D0198" w:rsidRPr="004D0198" w:rsidRDefault="004D0198" w:rsidP="002B05FE">
      <w:pPr>
        <w:tabs>
          <w:tab w:val="left" w:pos="851"/>
        </w:tabs>
        <w:spacing w:before="120"/>
        <w:ind w:firstLine="567"/>
        <w:jc w:val="both"/>
        <w:rPr>
          <w:bCs/>
          <w:iCs/>
          <w:lang w:eastAsia="bg-BG"/>
        </w:rPr>
      </w:pPr>
      <w:r w:rsidRPr="004D0198">
        <w:rPr>
          <w:iCs/>
          <w:lang w:eastAsia="bg-BG"/>
        </w:rPr>
        <w:t>С оглед принципите на правна сигурност, пропорционалност и неутралност на ДДС, са уредени по нов начин случаите, при които данъчно задължено лице не е изпълнило в срок задължението си за подаване на заявление за регистрация по закона. Целта на направените промени е да се даде възможност на лицата, които не са подали или не са подали в срок заявление за регистрация по ЗДДС, предвид което са регистрирани по-късно, да могат да издават данъчни документи, в които да начисляват дължимия ДДС за извършените от тях облагаеми доставки за периодите, за които е трябвало да бъдат регистрирани. Съответно е регламентирана и възможност за упражняване на право на приспадане на данъчен кредит за начисления по коректно издаден данъчен документ ДДС от регистрирано</w:t>
      </w:r>
      <w:r w:rsidRPr="004D0198">
        <w:rPr>
          <w:bCs/>
          <w:iCs/>
          <w:lang w:eastAsia="bg-BG"/>
        </w:rPr>
        <w:t xml:space="preserve"> лице - получател по съответната доставка;</w:t>
      </w:r>
    </w:p>
    <w:p w:rsidR="004D0198" w:rsidRPr="004D0198" w:rsidRDefault="004D0198" w:rsidP="002B05FE">
      <w:pPr>
        <w:numPr>
          <w:ilvl w:val="0"/>
          <w:numId w:val="39"/>
        </w:numPr>
        <w:tabs>
          <w:tab w:val="left" w:pos="851"/>
          <w:tab w:val="left" w:pos="1134"/>
        </w:tabs>
        <w:spacing w:before="120"/>
        <w:ind w:firstLine="567"/>
        <w:jc w:val="both"/>
        <w:rPr>
          <w:rFonts w:eastAsia="Calibri"/>
          <w:bCs/>
        </w:rPr>
      </w:pPr>
      <w:r w:rsidRPr="004D0198">
        <w:rPr>
          <w:rFonts w:eastAsia="Calibri"/>
          <w:bCs/>
        </w:rPr>
        <w:t>Прецизирани са текстове по отношение предоставеното допълнително обезпечение към направено вече годишно обезпечение от лицата търгуващи с течни горива. Съгласно действащите разпоредби на ЗДДС допълнителното обезпечение при промяна на обстоятелства е в размер на 20 на сто, независимо че данъчно задълженото лице е предоставило годишно обезпечение в размер на 10 на сто, тъй като е отговаряло на условията за това. За тези случаи е предложено допълнителното обезпечение към направено вече годишно обезпечение също да е в размер на 10 на сто, с което се постига уеднаквяване на прилагания размер на обезпечението. Предложено е прецизиране на формулировката „констатирано нарушение“, която е заменена с „наказателно постановление и непогасените публични вземания, събирани от НАП“;</w:t>
      </w:r>
    </w:p>
    <w:p w:rsidR="004D0198" w:rsidRPr="004D0198" w:rsidRDefault="004D0198" w:rsidP="002B05FE">
      <w:pPr>
        <w:numPr>
          <w:ilvl w:val="0"/>
          <w:numId w:val="39"/>
        </w:numPr>
        <w:tabs>
          <w:tab w:val="left" w:pos="851"/>
          <w:tab w:val="left" w:pos="1134"/>
        </w:tabs>
        <w:spacing w:before="120"/>
        <w:ind w:firstLine="567"/>
        <w:jc w:val="both"/>
        <w:rPr>
          <w:rFonts w:eastAsia="Calibri"/>
          <w:bCs/>
        </w:rPr>
      </w:pPr>
      <w:r w:rsidRPr="004D0198">
        <w:rPr>
          <w:rFonts w:eastAsia="Calibri"/>
          <w:bCs/>
        </w:rPr>
        <w:t>Отменена е (отм. – ДВ, бр. 106 от 2023 г., в сила от 1.01.2024 г.) разпоредбата за акредитиран представител по чл. 133 ал. 5 от ДДС.</w:t>
      </w:r>
    </w:p>
    <w:p w:rsidR="004D0198" w:rsidRPr="004D0198" w:rsidRDefault="004D0198" w:rsidP="004D0198">
      <w:pPr>
        <w:tabs>
          <w:tab w:val="left" w:pos="851"/>
        </w:tabs>
        <w:spacing w:before="120"/>
        <w:ind w:left="709" w:firstLine="567"/>
        <w:jc w:val="both"/>
        <w:rPr>
          <w:lang w:eastAsia="bg-BG"/>
        </w:rPr>
      </w:pPr>
    </w:p>
    <w:p w:rsidR="004D0198" w:rsidRPr="00587800" w:rsidRDefault="004D0198" w:rsidP="004D0198">
      <w:pPr>
        <w:widowControl w:val="0"/>
        <w:suppressAutoHyphens/>
        <w:spacing w:after="120"/>
        <w:ind w:right="-284" w:firstLine="567"/>
        <w:jc w:val="both"/>
        <w:outlineLvl w:val="0"/>
        <w:rPr>
          <w:b/>
          <w:u w:val="single"/>
          <w:lang w:val="ru-RU"/>
        </w:rPr>
      </w:pPr>
      <w:r w:rsidRPr="004D0198">
        <w:rPr>
          <w:b/>
          <w:u w:val="single"/>
        </w:rPr>
        <w:t>По закона за акцизите и данъчните складове</w:t>
      </w:r>
      <w:r w:rsidRPr="00587800">
        <w:rPr>
          <w:b/>
          <w:u w:val="single"/>
          <w:lang w:val="ru-RU"/>
        </w:rPr>
        <w:t xml:space="preserve"> (</w:t>
      </w:r>
      <w:r w:rsidRPr="004D0198">
        <w:rPr>
          <w:b/>
          <w:u w:val="single"/>
        </w:rPr>
        <w:t>ЗАДС</w:t>
      </w:r>
      <w:r w:rsidRPr="00587800">
        <w:rPr>
          <w:b/>
          <w:u w:val="single"/>
          <w:lang w:val="ru-RU"/>
        </w:rPr>
        <w:t>)</w:t>
      </w:r>
    </w:p>
    <w:p w:rsidR="004D0198" w:rsidRPr="004D0198" w:rsidRDefault="004D0198" w:rsidP="00356E6D">
      <w:pPr>
        <w:numPr>
          <w:ilvl w:val="0"/>
          <w:numId w:val="37"/>
        </w:numPr>
        <w:tabs>
          <w:tab w:val="left" w:pos="851"/>
        </w:tabs>
        <w:spacing w:after="200"/>
        <w:ind w:left="0" w:firstLine="567"/>
        <w:jc w:val="both"/>
        <w:rPr>
          <w:bCs/>
          <w:lang w:eastAsia="bg-BG"/>
        </w:rPr>
      </w:pPr>
      <w:r w:rsidRPr="004D0198">
        <w:rPr>
          <w:b/>
          <w:lang w:eastAsia="bg-BG"/>
        </w:rPr>
        <w:t xml:space="preserve">Продължава действието на въведения акцизен календар в ЗАДС. </w:t>
      </w:r>
      <w:r w:rsidRPr="004D0198">
        <w:rPr>
          <w:bCs/>
          <w:lang w:eastAsia="bg-BG"/>
        </w:rPr>
        <w:t xml:space="preserve">По отношение на </w:t>
      </w:r>
      <w:r w:rsidRPr="004D0198">
        <w:rPr>
          <w:b/>
          <w:bCs/>
          <w:lang w:eastAsia="bg-BG"/>
        </w:rPr>
        <w:t>облагането с акциз на тютюна и тютюневите изделия</w:t>
      </w:r>
      <w:r w:rsidRPr="004D0198">
        <w:rPr>
          <w:bCs/>
          <w:lang w:eastAsia="bg-BG"/>
        </w:rPr>
        <w:t xml:space="preserve"> е въведен акцизен календар за поетапно увеличаване на ставките за период от четири години в ЗАДС - в сила от 1 март 2023 г., както и график за увеличаване на акцизните ставки на заместителите на тютюна и на течностите за електронни цигари, независимо дали съдържат никотин (в сила от 01.08.2023 г.), в т.ч. и за </w:t>
      </w:r>
      <w:proofErr w:type="spellStart"/>
      <w:r w:rsidRPr="004D0198">
        <w:rPr>
          <w:bCs/>
          <w:lang w:eastAsia="bg-BG"/>
        </w:rPr>
        <w:t>нагреваемо</w:t>
      </w:r>
      <w:proofErr w:type="spellEnd"/>
      <w:r w:rsidRPr="004D0198">
        <w:rPr>
          <w:bCs/>
          <w:lang w:eastAsia="bg-BG"/>
        </w:rPr>
        <w:t xml:space="preserve"> изделие със съдържание, различно от тютюн (в сила от 01.01.2024 г.). Дадена е дефиниция за „</w:t>
      </w:r>
      <w:proofErr w:type="spellStart"/>
      <w:r w:rsidRPr="004D0198">
        <w:rPr>
          <w:bCs/>
          <w:lang w:eastAsia="bg-BG"/>
        </w:rPr>
        <w:t>нагреваемо</w:t>
      </w:r>
      <w:proofErr w:type="spellEnd"/>
      <w:r w:rsidRPr="004D0198">
        <w:rPr>
          <w:bCs/>
          <w:lang w:eastAsia="bg-BG"/>
        </w:rPr>
        <w:t xml:space="preserve"> изделие със съдържание, различно от тютюн (чл. 12г от ЗАДС), като част от тютюневите изделия</w:t>
      </w:r>
      <w:r w:rsidRPr="004D0198">
        <w:rPr>
          <w:bCs/>
          <w:iCs/>
          <w:lang w:eastAsia="bg-BG"/>
        </w:rPr>
        <w:t>;</w:t>
      </w:r>
    </w:p>
    <w:p w:rsidR="004D0198" w:rsidRPr="00587800" w:rsidRDefault="004D0198" w:rsidP="00356E6D">
      <w:pPr>
        <w:numPr>
          <w:ilvl w:val="0"/>
          <w:numId w:val="37"/>
        </w:numPr>
        <w:tabs>
          <w:tab w:val="left" w:pos="851"/>
        </w:tabs>
        <w:spacing w:after="200"/>
        <w:ind w:left="0" w:firstLine="567"/>
        <w:jc w:val="both"/>
        <w:rPr>
          <w:lang w:val="ru-RU" w:eastAsia="bg-BG"/>
        </w:rPr>
      </w:pPr>
      <w:r w:rsidRPr="004D0198">
        <w:rPr>
          <w:bCs/>
          <w:iCs/>
          <w:lang w:eastAsia="bg-BG"/>
        </w:rPr>
        <w:t xml:space="preserve">Промени, свързани с привеждане на ЗАДС в съответствие с разпоредбите на Директива (EС) 2020/262 на Съвета от 19 декември 2019 година за определяне на общия режим на облагане с акциз (Директива 2020/262) и </w:t>
      </w:r>
      <w:r w:rsidRPr="004D0198">
        <w:rPr>
          <w:b/>
          <w:bCs/>
          <w:iCs/>
          <w:lang w:eastAsia="bg-BG"/>
        </w:rPr>
        <w:t>Директива (ЕС) 2020/1151 на Съвета от 29 юли 2020 година</w:t>
      </w:r>
      <w:r w:rsidRPr="004D0198">
        <w:rPr>
          <w:bCs/>
          <w:iCs/>
          <w:lang w:eastAsia="bg-BG"/>
        </w:rPr>
        <w:t xml:space="preserve"> за изменение на Директива 92/83/ЕИО за хармонизиране на структурата на акцизите върху алкохола и алкохолните напитки (Директива 2020/1151). С оглед замяната на Регламент 684/2009 с </w:t>
      </w:r>
      <w:r w:rsidRPr="004D0198">
        <w:rPr>
          <w:b/>
          <w:bCs/>
          <w:iCs/>
          <w:lang w:eastAsia="bg-BG"/>
        </w:rPr>
        <w:t>Делегиран Регламент (ЕО) № 2022/1636</w:t>
      </w:r>
      <w:r w:rsidRPr="004D0198">
        <w:rPr>
          <w:bCs/>
          <w:iCs/>
          <w:lang w:eastAsia="bg-BG"/>
        </w:rPr>
        <w:t xml:space="preserve"> са приети изменения и в </w:t>
      </w:r>
      <w:proofErr w:type="spellStart"/>
      <w:r w:rsidRPr="004D0198">
        <w:rPr>
          <w:bCs/>
          <w:iCs/>
          <w:lang w:eastAsia="bg-BG"/>
        </w:rPr>
        <w:t>относимите</w:t>
      </w:r>
      <w:proofErr w:type="spellEnd"/>
      <w:r w:rsidRPr="004D0198">
        <w:rPr>
          <w:bCs/>
          <w:iCs/>
          <w:lang w:eastAsia="bg-BG"/>
        </w:rPr>
        <w:t xml:space="preserve"> разпоредби;</w:t>
      </w:r>
    </w:p>
    <w:p w:rsidR="004D0198" w:rsidRPr="004D0198" w:rsidRDefault="004D0198" w:rsidP="00356E6D">
      <w:pPr>
        <w:numPr>
          <w:ilvl w:val="0"/>
          <w:numId w:val="37"/>
        </w:numPr>
        <w:tabs>
          <w:tab w:val="left" w:pos="851"/>
        </w:tabs>
        <w:spacing w:after="200"/>
        <w:ind w:left="0" w:firstLine="567"/>
        <w:jc w:val="both"/>
        <w:rPr>
          <w:lang w:eastAsia="bg-BG"/>
        </w:rPr>
      </w:pPr>
      <w:r w:rsidRPr="004D0198">
        <w:rPr>
          <w:bCs/>
          <w:iCs/>
          <w:lang w:eastAsia="bg-BG"/>
        </w:rPr>
        <w:t xml:space="preserve">Въведена е нова разпоредба </w:t>
      </w:r>
      <w:r w:rsidRPr="00587800">
        <w:rPr>
          <w:bCs/>
          <w:iCs/>
          <w:lang w:val="ru-RU" w:eastAsia="bg-BG"/>
        </w:rPr>
        <w:t>(</w:t>
      </w:r>
      <w:r w:rsidRPr="004D0198">
        <w:rPr>
          <w:bCs/>
          <w:iCs/>
          <w:lang w:eastAsia="bg-BG"/>
        </w:rPr>
        <w:t xml:space="preserve">чл. 21, ал. 1, 3б от ЗАДС -Нова – ДВ, бр. 105 от 2023 г., в сила от 1.01.2024 г.) относно акцизните стоки, предназначени за потребление по силата на споразумение, сключено с трети държави или международни организации, при условие че такова споразумение е било допуснато или разрешено по отношение на освобождаване от данък върху добавената стойност по реда на член 173, алинея 1 от Закона за данък върху добавената стойност (ЗДДС). Промяната е свързана с отстраняване на несъответствие, констатирано в Процедура по нарушение от ЕК и касае въвеждане на разпоредбата на член 11, параграф 1, буква „е“ от Директива 2020/262. Препратката към режимът по член 173, алинея 1 от ЗДДС е обвързваща по отношение на изискването за получено разрешение от ЕК. Навсякъде в закона са направени и съответните правно-технически изменения, свързани с добавянето на новата точка 3б в </w:t>
      </w:r>
      <w:proofErr w:type="spellStart"/>
      <w:r w:rsidRPr="004D0198">
        <w:rPr>
          <w:bCs/>
          <w:iCs/>
          <w:lang w:eastAsia="bg-BG"/>
        </w:rPr>
        <w:t>относимите</w:t>
      </w:r>
      <w:proofErr w:type="spellEnd"/>
      <w:r w:rsidRPr="004D0198">
        <w:rPr>
          <w:bCs/>
          <w:iCs/>
          <w:lang w:eastAsia="bg-BG"/>
        </w:rPr>
        <w:t xml:space="preserve"> разпоредби;</w:t>
      </w:r>
    </w:p>
    <w:p w:rsidR="004D0198" w:rsidRPr="004D0198" w:rsidRDefault="004D0198" w:rsidP="00356E6D">
      <w:pPr>
        <w:numPr>
          <w:ilvl w:val="0"/>
          <w:numId w:val="37"/>
        </w:numPr>
        <w:tabs>
          <w:tab w:val="left" w:pos="851"/>
        </w:tabs>
        <w:spacing w:after="200"/>
        <w:ind w:left="0" w:firstLine="567"/>
        <w:jc w:val="both"/>
        <w:rPr>
          <w:bCs/>
          <w:iCs/>
          <w:lang w:eastAsia="bg-BG"/>
        </w:rPr>
      </w:pPr>
      <w:r w:rsidRPr="004D0198">
        <w:rPr>
          <w:bCs/>
          <w:iCs/>
          <w:lang w:eastAsia="bg-BG"/>
        </w:rPr>
        <w:t xml:space="preserve">Въведена е нова разпоредба </w:t>
      </w:r>
      <w:r w:rsidRPr="00587800">
        <w:rPr>
          <w:bCs/>
          <w:iCs/>
          <w:lang w:val="ru-RU" w:eastAsia="bg-BG"/>
        </w:rPr>
        <w:t>(</w:t>
      </w:r>
      <w:r w:rsidRPr="004D0198">
        <w:rPr>
          <w:bCs/>
          <w:iCs/>
          <w:lang w:eastAsia="bg-BG"/>
        </w:rPr>
        <w:t xml:space="preserve">чл. 21, ал. 7 от ЗАДС -Нова – ДВ, бр. 105 от 2023 г., в сила от 1.01.2024 г.), с която се въвежда праг за освобождаване от акциз на акцизни стоки, предназначени за европейски орган, за който е приложим Протоколът относно привилегиите и имунитетите на Европейския съюз. Освобождаването от плащане на акциз ще се прилага при условие, че общата стойност на акцизните стоки по фактурата е не по-малко от 400 лв., включително данъка. Предложението е свързано с постъпило запитване за прилагането на прага за освобождаване от ДДС въз основа на Протокола за привилегиите и имунитетите на Европейските общности в Република България. Подобен праг е предвиден и по отношение на акциза, при спазване на ограниченията и условията на протокола и споразуменията за неговото прилагане. </w:t>
      </w:r>
    </w:p>
    <w:p w:rsidR="004D0198" w:rsidRPr="004D0198" w:rsidRDefault="004D0198" w:rsidP="004D0198">
      <w:pPr>
        <w:tabs>
          <w:tab w:val="left" w:pos="993"/>
        </w:tabs>
        <w:spacing w:after="200"/>
        <w:ind w:firstLine="567"/>
        <w:jc w:val="both"/>
        <w:rPr>
          <w:bCs/>
          <w:lang w:eastAsia="bg-BG"/>
        </w:rPr>
      </w:pPr>
      <w:r w:rsidRPr="004D0198">
        <w:rPr>
          <w:bCs/>
          <w:lang w:eastAsia="bg-BG"/>
        </w:rPr>
        <w:tab/>
      </w:r>
      <w:r w:rsidRPr="004D0198">
        <w:rPr>
          <w:b/>
          <w:u w:val="single"/>
          <w:lang w:eastAsia="bg-BG"/>
        </w:rPr>
        <w:t xml:space="preserve">По Закона за местните данъци и такси </w:t>
      </w:r>
      <w:r w:rsidRPr="00587800">
        <w:rPr>
          <w:b/>
          <w:u w:val="single"/>
          <w:lang w:val="ru-RU" w:eastAsia="bg-BG"/>
        </w:rPr>
        <w:t>(</w:t>
      </w:r>
      <w:r w:rsidRPr="004D0198">
        <w:rPr>
          <w:b/>
          <w:u w:val="single"/>
          <w:lang w:eastAsia="bg-BG"/>
        </w:rPr>
        <w:t>ЗМДТ</w:t>
      </w:r>
      <w:r w:rsidRPr="00587800">
        <w:rPr>
          <w:b/>
          <w:u w:val="single"/>
          <w:lang w:val="ru-RU" w:eastAsia="bg-BG"/>
        </w:rPr>
        <w:t>)</w:t>
      </w:r>
    </w:p>
    <w:p w:rsidR="004D0198" w:rsidRPr="004D0198" w:rsidRDefault="004D0198" w:rsidP="00356E6D">
      <w:pPr>
        <w:numPr>
          <w:ilvl w:val="0"/>
          <w:numId w:val="39"/>
        </w:numPr>
        <w:tabs>
          <w:tab w:val="left" w:pos="851"/>
        </w:tabs>
        <w:spacing w:after="120"/>
        <w:ind w:firstLine="567"/>
        <w:jc w:val="both"/>
        <w:rPr>
          <w:rFonts w:eastAsia="Calibri"/>
          <w:bCs/>
          <w:iCs/>
        </w:rPr>
      </w:pPr>
      <w:r w:rsidRPr="004D0198">
        <w:rPr>
          <w:rFonts w:eastAsia="Calibri"/>
          <w:bCs/>
          <w:iCs/>
        </w:rPr>
        <w:t xml:space="preserve">Уеднаквяване на размера на </w:t>
      </w:r>
      <w:r w:rsidRPr="004D0198">
        <w:rPr>
          <w:rFonts w:eastAsia="Calibri"/>
          <w:b/>
          <w:bCs/>
          <w:iCs/>
        </w:rPr>
        <w:t>оборота на данъчно задължените лица за патентен данък</w:t>
      </w:r>
      <w:r w:rsidRPr="004D0198">
        <w:rPr>
          <w:rFonts w:eastAsia="Calibri"/>
          <w:bCs/>
          <w:iCs/>
        </w:rPr>
        <w:t>, който размер е едно от условията за прилагане на патентен данък, с размера на прага за регистрация по ЗДДС (100 хил. лв.). С промяната ще се измени облагането на някои от дейностите на лицата с оборот между 50 и 100 хил. лв. – от облагане по общия ред на ЗДДФЛ към облагане с патентен данък;</w:t>
      </w:r>
    </w:p>
    <w:p w:rsidR="004D0198" w:rsidRPr="004D0198" w:rsidRDefault="004D0198" w:rsidP="00356E6D">
      <w:pPr>
        <w:tabs>
          <w:tab w:val="left" w:pos="851"/>
        </w:tabs>
        <w:spacing w:after="200"/>
        <w:ind w:firstLine="567"/>
        <w:jc w:val="both"/>
        <w:rPr>
          <w:bCs/>
          <w:i/>
          <w:lang w:eastAsia="bg-BG"/>
        </w:rPr>
      </w:pPr>
      <w:r w:rsidRPr="004D0198">
        <w:rPr>
          <w:bCs/>
          <w:i/>
          <w:lang w:eastAsia="bg-BG"/>
        </w:rPr>
        <w:t>Други законодателни изменения, касаещи данъчната политика</w:t>
      </w:r>
    </w:p>
    <w:p w:rsidR="004D0198" w:rsidRDefault="004D0198" w:rsidP="00356E6D">
      <w:pPr>
        <w:numPr>
          <w:ilvl w:val="0"/>
          <w:numId w:val="37"/>
        </w:numPr>
        <w:tabs>
          <w:tab w:val="left" w:pos="851"/>
        </w:tabs>
        <w:spacing w:after="200"/>
        <w:ind w:left="0" w:firstLine="567"/>
        <w:jc w:val="both"/>
        <w:rPr>
          <w:bCs/>
          <w:lang w:eastAsia="bg-BG"/>
        </w:rPr>
      </w:pPr>
      <w:r w:rsidRPr="004D0198">
        <w:rPr>
          <w:bCs/>
          <w:lang w:eastAsia="bg-BG"/>
        </w:rPr>
        <w:t xml:space="preserve">Прието е, когато се </w:t>
      </w:r>
      <w:r w:rsidRPr="004D0198">
        <w:rPr>
          <w:b/>
          <w:bCs/>
          <w:lang w:eastAsia="bg-BG"/>
        </w:rPr>
        <w:t>изплаща трудово възнаграждение</w:t>
      </w:r>
      <w:r w:rsidRPr="004D0198">
        <w:rPr>
          <w:bCs/>
          <w:lang w:eastAsia="bg-BG"/>
        </w:rPr>
        <w:t xml:space="preserve"> от работодател, със 100 или повече наети лица (с изключение на лицата, с които е сключен трудов договор за краткотрайна сезонна селскостопанска работа), по чл. 3, ал. 1, т. 3 от Закона за ограничаване на плащанията в брой, изплащането му да се извършва само чрез превод или внасяне по платежна сметка в посочена от работника или служителя банка в страната (ДВ, бр. 66 от 2023 г.).</w:t>
      </w:r>
    </w:p>
    <w:p w:rsidR="007A4A89" w:rsidRDefault="007A4A89">
      <w:pPr>
        <w:rPr>
          <w:bCs/>
          <w:lang w:eastAsia="bg-BG"/>
        </w:rPr>
      </w:pPr>
      <w:r>
        <w:rPr>
          <w:bCs/>
          <w:lang w:eastAsia="bg-BG"/>
        </w:rPr>
        <w:br w:type="page"/>
      </w:r>
    </w:p>
    <w:p w:rsidR="00222173" w:rsidRPr="00335066" w:rsidRDefault="00222173" w:rsidP="00724089">
      <w:pPr>
        <w:keepNext/>
        <w:numPr>
          <w:ilvl w:val="0"/>
          <w:numId w:val="9"/>
        </w:numPr>
        <w:spacing w:before="360"/>
        <w:ind w:left="533" w:right="-108" w:hanging="391"/>
        <w:jc w:val="both"/>
        <w:outlineLvl w:val="0"/>
        <w:rPr>
          <w:b/>
          <w:bCs/>
        </w:rPr>
      </w:pPr>
      <w:r w:rsidRPr="00335066">
        <w:rPr>
          <w:b/>
          <w:bCs/>
        </w:rPr>
        <w:t>Изпълнение на държавния бюджет</w:t>
      </w:r>
      <w:r w:rsidRPr="00335066">
        <w:rPr>
          <w:b/>
          <w:sz w:val="20"/>
          <w:szCs w:val="20"/>
          <w:vertAlign w:val="superscript"/>
        </w:rPr>
        <w:footnoteReference w:id="8"/>
      </w:r>
      <w:r w:rsidRPr="00335066">
        <w:rPr>
          <w:b/>
          <w:bCs/>
        </w:rPr>
        <w:t xml:space="preserve"> за </w:t>
      </w:r>
      <w:r w:rsidR="00335066" w:rsidRPr="00335066">
        <w:rPr>
          <w:b/>
          <w:bCs/>
        </w:rPr>
        <w:t xml:space="preserve">първото тримесечие </w:t>
      </w:r>
      <w:r w:rsidRPr="00335066">
        <w:rPr>
          <w:b/>
          <w:bCs/>
        </w:rPr>
        <w:t>на 202</w:t>
      </w:r>
      <w:r w:rsidR="00335066" w:rsidRPr="00335066">
        <w:rPr>
          <w:b/>
          <w:bCs/>
        </w:rPr>
        <w:t>4</w:t>
      </w:r>
      <w:r w:rsidRPr="00335066">
        <w:rPr>
          <w:b/>
          <w:bCs/>
        </w:rPr>
        <w:t xml:space="preserve"> г.</w:t>
      </w:r>
    </w:p>
    <w:p w:rsidR="00A3186F" w:rsidRPr="00A63F34" w:rsidRDefault="00A3186F" w:rsidP="00A3186F">
      <w:pPr>
        <w:pStyle w:val="BodyTextIndent"/>
        <w:tabs>
          <w:tab w:val="left" w:pos="1080"/>
        </w:tabs>
        <w:spacing w:before="120" w:after="0"/>
        <w:ind w:left="0"/>
        <w:jc w:val="both"/>
      </w:pPr>
      <w:r w:rsidRPr="00A63F34">
        <w:t>Изпълнението на основните показатели по държавния бюджет, на база месечните отчети на първостепенните разпоредители с бюджет е, както следва:</w:t>
      </w:r>
    </w:p>
    <w:p w:rsidR="00A3186F" w:rsidRPr="00F74EE5" w:rsidRDefault="00A3186F" w:rsidP="00A3186F">
      <w:pPr>
        <w:spacing w:after="120"/>
        <w:ind w:right="-244"/>
        <w:rPr>
          <w:b/>
          <w:bCs/>
          <w:color w:val="0070C0"/>
          <w:sz w:val="20"/>
          <w:szCs w:val="20"/>
        </w:rPr>
      </w:pPr>
      <w:r w:rsidRPr="00F74EE5">
        <w:rPr>
          <w:b/>
          <w:bCs/>
          <w:color w:val="0070C0"/>
          <w:sz w:val="20"/>
          <w:szCs w:val="20"/>
        </w:rPr>
        <w:t xml:space="preserve">          </w:t>
      </w:r>
    </w:p>
    <w:p w:rsidR="00A3186F" w:rsidRPr="005C11B6" w:rsidRDefault="00A3186F" w:rsidP="008F7EBE">
      <w:pPr>
        <w:spacing w:after="120"/>
        <w:ind w:right="-244" w:firstLine="426"/>
        <w:rPr>
          <w:b/>
          <w:bCs/>
          <w:sz w:val="20"/>
          <w:szCs w:val="20"/>
        </w:rPr>
      </w:pPr>
      <w:r w:rsidRPr="005C11B6">
        <w:rPr>
          <w:b/>
          <w:bCs/>
          <w:sz w:val="20"/>
          <w:szCs w:val="20"/>
        </w:rPr>
        <w:t>Таблица</w:t>
      </w:r>
      <w:r w:rsidRPr="005C11B6">
        <w:rPr>
          <w:rStyle w:val="FootnoteReference"/>
        </w:rPr>
        <w:footnoteReference w:id="9"/>
      </w:r>
      <w:r w:rsidRPr="005C11B6">
        <w:rPr>
          <w:b/>
          <w:bCs/>
          <w:sz w:val="20"/>
          <w:szCs w:val="20"/>
        </w:rPr>
        <w:t xml:space="preserve">  №1      </w:t>
      </w:r>
      <w:r w:rsidRPr="005C11B6">
        <w:rPr>
          <w:b/>
          <w:bCs/>
          <w:sz w:val="20"/>
          <w:szCs w:val="20"/>
        </w:rPr>
        <w:tab/>
      </w:r>
      <w:r w:rsidRPr="005C11B6">
        <w:rPr>
          <w:b/>
          <w:bCs/>
          <w:sz w:val="20"/>
          <w:szCs w:val="20"/>
        </w:rPr>
        <w:tab/>
        <w:t xml:space="preserve">                                          </w:t>
      </w:r>
      <w:r w:rsidRPr="005C11B6">
        <w:rPr>
          <w:b/>
          <w:bCs/>
          <w:sz w:val="20"/>
          <w:szCs w:val="20"/>
        </w:rPr>
        <w:tab/>
      </w:r>
      <w:r w:rsidRPr="005C11B6">
        <w:rPr>
          <w:b/>
          <w:bCs/>
          <w:sz w:val="20"/>
          <w:szCs w:val="20"/>
        </w:rPr>
        <w:tab/>
      </w:r>
      <w:r w:rsidRPr="005C11B6">
        <w:rPr>
          <w:b/>
          <w:bCs/>
          <w:sz w:val="20"/>
          <w:szCs w:val="20"/>
        </w:rPr>
        <w:tab/>
      </w:r>
      <w:r w:rsidRPr="005C11B6">
        <w:rPr>
          <w:b/>
          <w:bCs/>
          <w:sz w:val="20"/>
          <w:szCs w:val="20"/>
        </w:rPr>
        <w:tab/>
      </w:r>
      <w:r w:rsidR="008F7EBE">
        <w:rPr>
          <w:b/>
          <w:bCs/>
          <w:sz w:val="20"/>
          <w:szCs w:val="20"/>
        </w:rPr>
        <w:tab/>
      </w:r>
      <w:r w:rsidR="008F7EBE">
        <w:rPr>
          <w:b/>
          <w:bCs/>
          <w:sz w:val="20"/>
          <w:szCs w:val="20"/>
        </w:rPr>
        <w:tab/>
      </w:r>
      <w:r w:rsidRPr="005C11B6">
        <w:rPr>
          <w:b/>
          <w:bCs/>
          <w:sz w:val="20"/>
          <w:szCs w:val="20"/>
        </w:rPr>
        <w:t>(млн. лв.)</w:t>
      </w:r>
    </w:p>
    <w:tbl>
      <w:tblPr>
        <w:tblW w:w="9050" w:type="dxa"/>
        <w:jc w:val="center"/>
        <w:tblCellMar>
          <w:left w:w="70" w:type="dxa"/>
          <w:right w:w="70" w:type="dxa"/>
        </w:tblCellMar>
        <w:tblLook w:val="0000" w:firstRow="0" w:lastRow="0" w:firstColumn="0" w:lastColumn="0" w:noHBand="0" w:noVBand="0"/>
      </w:tblPr>
      <w:tblGrid>
        <w:gridCol w:w="4854"/>
        <w:gridCol w:w="1276"/>
        <w:gridCol w:w="1616"/>
        <w:gridCol w:w="1304"/>
      </w:tblGrid>
      <w:tr w:rsidR="00A3186F" w:rsidRPr="00F74EE5" w:rsidTr="006466C6">
        <w:trPr>
          <w:trHeight w:val="520"/>
          <w:jc w:val="center"/>
        </w:trPr>
        <w:tc>
          <w:tcPr>
            <w:tcW w:w="4854" w:type="dxa"/>
            <w:tcBorders>
              <w:top w:val="single" w:sz="8" w:space="0" w:color="auto"/>
              <w:left w:val="single" w:sz="8" w:space="0" w:color="auto"/>
              <w:bottom w:val="nil"/>
              <w:right w:val="single" w:sz="8" w:space="0" w:color="auto"/>
            </w:tcBorders>
            <w:shd w:val="clear" w:color="auto" w:fill="auto"/>
            <w:noWrap/>
            <w:vAlign w:val="center"/>
          </w:tcPr>
          <w:p w:rsidR="00A3186F" w:rsidRPr="005C11B6" w:rsidRDefault="00A3186F" w:rsidP="006466C6">
            <w:pPr>
              <w:jc w:val="center"/>
              <w:rPr>
                <w:b/>
                <w:bCs/>
                <w:sz w:val="18"/>
                <w:szCs w:val="18"/>
              </w:rPr>
            </w:pPr>
            <w:r w:rsidRPr="005C11B6">
              <w:rPr>
                <w:b/>
                <w:bCs/>
                <w:sz w:val="18"/>
                <w:szCs w:val="18"/>
              </w:rPr>
              <w:t>ПОКАЗАТЕЛИ</w:t>
            </w:r>
          </w:p>
        </w:tc>
        <w:tc>
          <w:tcPr>
            <w:tcW w:w="1276" w:type="dxa"/>
            <w:tcBorders>
              <w:top w:val="single" w:sz="8" w:space="0" w:color="auto"/>
              <w:left w:val="nil"/>
              <w:bottom w:val="single" w:sz="4" w:space="0" w:color="auto"/>
              <w:right w:val="nil"/>
            </w:tcBorders>
            <w:shd w:val="clear" w:color="auto" w:fill="auto"/>
            <w:vAlign w:val="center"/>
          </w:tcPr>
          <w:p w:rsidR="00A3186F" w:rsidRPr="005C11B6" w:rsidRDefault="00A3186F" w:rsidP="006466C6">
            <w:pPr>
              <w:jc w:val="center"/>
              <w:rPr>
                <w:b/>
                <w:bCs/>
                <w:sz w:val="18"/>
                <w:szCs w:val="18"/>
              </w:rPr>
            </w:pPr>
            <w:r w:rsidRPr="005C11B6">
              <w:rPr>
                <w:b/>
                <w:bCs/>
                <w:sz w:val="18"/>
                <w:szCs w:val="18"/>
              </w:rPr>
              <w:t xml:space="preserve">ЗДБРБ    </w:t>
            </w:r>
            <w:r w:rsidRPr="005C11B6">
              <w:rPr>
                <w:b/>
                <w:bCs/>
                <w:sz w:val="18"/>
                <w:szCs w:val="18"/>
                <w:highlight w:val="yellow"/>
              </w:rPr>
              <w:t xml:space="preserve"> </w:t>
            </w:r>
            <w:r w:rsidRPr="005C11B6">
              <w:rPr>
                <w:b/>
                <w:bCs/>
                <w:sz w:val="18"/>
                <w:szCs w:val="18"/>
              </w:rPr>
              <w:t>2024 г.</w:t>
            </w:r>
          </w:p>
        </w:tc>
        <w:tc>
          <w:tcPr>
            <w:tcW w:w="1616" w:type="dxa"/>
            <w:tcBorders>
              <w:top w:val="single" w:sz="8" w:space="0" w:color="auto"/>
              <w:left w:val="nil"/>
              <w:bottom w:val="single" w:sz="4" w:space="0" w:color="auto"/>
              <w:right w:val="nil"/>
            </w:tcBorders>
            <w:shd w:val="clear" w:color="auto" w:fill="auto"/>
            <w:vAlign w:val="center"/>
          </w:tcPr>
          <w:p w:rsidR="00A3186F" w:rsidRPr="005C11B6" w:rsidRDefault="00A3186F" w:rsidP="006466C6">
            <w:pPr>
              <w:jc w:val="center"/>
              <w:rPr>
                <w:b/>
                <w:bCs/>
                <w:sz w:val="18"/>
                <w:szCs w:val="18"/>
              </w:rPr>
            </w:pPr>
            <w:r w:rsidRPr="005C11B6">
              <w:rPr>
                <w:b/>
                <w:bCs/>
                <w:sz w:val="18"/>
                <w:szCs w:val="18"/>
              </w:rPr>
              <w:t xml:space="preserve">Отчет </w:t>
            </w:r>
          </w:p>
          <w:p w:rsidR="00A3186F" w:rsidRPr="005C11B6" w:rsidRDefault="00A3186F" w:rsidP="006466C6">
            <w:pPr>
              <w:jc w:val="center"/>
              <w:rPr>
                <w:b/>
                <w:bCs/>
                <w:sz w:val="18"/>
                <w:szCs w:val="18"/>
              </w:rPr>
            </w:pPr>
            <w:r w:rsidRPr="005C11B6">
              <w:rPr>
                <w:b/>
                <w:bCs/>
                <w:sz w:val="18"/>
                <w:szCs w:val="18"/>
              </w:rPr>
              <w:t>март 2024 г.</w:t>
            </w:r>
          </w:p>
        </w:tc>
        <w:tc>
          <w:tcPr>
            <w:tcW w:w="1304" w:type="dxa"/>
            <w:tcBorders>
              <w:top w:val="single" w:sz="8" w:space="0" w:color="auto"/>
              <w:left w:val="nil"/>
              <w:bottom w:val="single" w:sz="4" w:space="0" w:color="auto"/>
              <w:right w:val="single" w:sz="8" w:space="0" w:color="auto"/>
            </w:tcBorders>
            <w:shd w:val="clear" w:color="auto" w:fill="auto"/>
            <w:vAlign w:val="center"/>
          </w:tcPr>
          <w:p w:rsidR="00A3186F" w:rsidRPr="005C11B6" w:rsidRDefault="00A3186F" w:rsidP="006466C6">
            <w:pPr>
              <w:jc w:val="center"/>
              <w:rPr>
                <w:b/>
                <w:bCs/>
                <w:sz w:val="18"/>
                <w:szCs w:val="18"/>
              </w:rPr>
            </w:pPr>
            <w:r w:rsidRPr="005C11B6">
              <w:rPr>
                <w:b/>
                <w:bCs/>
                <w:sz w:val="18"/>
                <w:szCs w:val="18"/>
              </w:rPr>
              <w:t>Изпълнение спрямо ЗДБРБ 2024 г.</w:t>
            </w:r>
          </w:p>
        </w:tc>
      </w:tr>
      <w:tr w:rsidR="00A3186F" w:rsidRPr="00F74EE5" w:rsidTr="006466C6">
        <w:trPr>
          <w:trHeight w:val="92"/>
          <w:jc w:val="center"/>
        </w:trPr>
        <w:tc>
          <w:tcPr>
            <w:tcW w:w="4854" w:type="dxa"/>
            <w:tcBorders>
              <w:top w:val="single" w:sz="4" w:space="0" w:color="auto"/>
              <w:left w:val="single" w:sz="8" w:space="0" w:color="auto"/>
              <w:bottom w:val="single" w:sz="4" w:space="0" w:color="auto"/>
              <w:right w:val="single" w:sz="8" w:space="0" w:color="auto"/>
            </w:tcBorders>
            <w:shd w:val="clear" w:color="auto" w:fill="auto"/>
            <w:noWrap/>
            <w:vAlign w:val="bottom"/>
          </w:tcPr>
          <w:p w:rsidR="00A3186F" w:rsidRPr="00516D03" w:rsidRDefault="00A3186F" w:rsidP="006466C6">
            <w:pPr>
              <w:rPr>
                <w:b/>
                <w:bCs/>
                <w:sz w:val="18"/>
                <w:szCs w:val="18"/>
              </w:rPr>
            </w:pPr>
            <w:r w:rsidRPr="00516D03">
              <w:rPr>
                <w:b/>
                <w:bCs/>
                <w:sz w:val="18"/>
                <w:szCs w:val="18"/>
              </w:rPr>
              <w:t>Общо приходи, помощи и дарения</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b/>
                <w:bCs/>
                <w:sz w:val="18"/>
                <w:szCs w:val="18"/>
              </w:rPr>
            </w:pPr>
            <w:r w:rsidRPr="007513CD">
              <w:rPr>
                <w:b/>
                <w:bCs/>
                <w:sz w:val="18"/>
                <w:szCs w:val="18"/>
              </w:rPr>
              <w:t>43 406,5</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b/>
                <w:bCs/>
                <w:color w:val="0070C0"/>
                <w:sz w:val="18"/>
                <w:szCs w:val="18"/>
              </w:rPr>
            </w:pPr>
            <w:r>
              <w:rPr>
                <w:b/>
                <w:bCs/>
                <w:sz w:val="18"/>
                <w:szCs w:val="18"/>
              </w:rPr>
              <w:t>8 399,7</w:t>
            </w:r>
          </w:p>
        </w:tc>
        <w:tc>
          <w:tcPr>
            <w:tcW w:w="1304" w:type="dxa"/>
            <w:tcBorders>
              <w:top w:val="single" w:sz="4" w:space="0" w:color="auto"/>
              <w:left w:val="nil"/>
              <w:bottom w:val="nil"/>
              <w:right w:val="single" w:sz="8" w:space="0" w:color="auto"/>
            </w:tcBorders>
            <w:shd w:val="clear" w:color="auto" w:fill="auto"/>
            <w:noWrap/>
            <w:vAlign w:val="bottom"/>
          </w:tcPr>
          <w:p w:rsidR="00A3186F" w:rsidRPr="00F74EE5" w:rsidRDefault="00A3186F" w:rsidP="006466C6">
            <w:pPr>
              <w:jc w:val="right"/>
              <w:rPr>
                <w:b/>
                <w:bCs/>
                <w:color w:val="0070C0"/>
                <w:sz w:val="18"/>
                <w:szCs w:val="18"/>
              </w:rPr>
            </w:pPr>
            <w:r>
              <w:rPr>
                <w:b/>
                <w:bCs/>
                <w:sz w:val="18"/>
                <w:szCs w:val="18"/>
              </w:rPr>
              <w:t>19,4%</w:t>
            </w:r>
          </w:p>
        </w:tc>
      </w:tr>
      <w:tr w:rsidR="00A3186F" w:rsidRPr="00F74EE5" w:rsidTr="006466C6">
        <w:trPr>
          <w:trHeight w:val="80"/>
          <w:jc w:val="center"/>
        </w:trPr>
        <w:tc>
          <w:tcPr>
            <w:tcW w:w="4854" w:type="dxa"/>
            <w:tcBorders>
              <w:top w:val="single" w:sz="4" w:space="0" w:color="auto"/>
              <w:left w:val="single" w:sz="8" w:space="0" w:color="auto"/>
              <w:bottom w:val="nil"/>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-Данъчни приходи</w:t>
            </w:r>
          </w:p>
        </w:tc>
        <w:tc>
          <w:tcPr>
            <w:tcW w:w="1276" w:type="dxa"/>
            <w:tcBorders>
              <w:top w:val="single" w:sz="4" w:space="0" w:color="auto"/>
              <w:left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38 616,0</w:t>
            </w:r>
          </w:p>
        </w:tc>
        <w:tc>
          <w:tcPr>
            <w:tcW w:w="1616" w:type="dxa"/>
            <w:tcBorders>
              <w:top w:val="single" w:sz="4" w:space="0" w:color="auto"/>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7 238,0</w:t>
            </w:r>
          </w:p>
        </w:tc>
        <w:tc>
          <w:tcPr>
            <w:tcW w:w="1304" w:type="dxa"/>
            <w:tcBorders>
              <w:top w:val="single" w:sz="4" w:space="0" w:color="auto"/>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18,7%</w:t>
            </w:r>
          </w:p>
        </w:tc>
      </w:tr>
      <w:tr w:rsidR="00A3186F" w:rsidRPr="00F74EE5" w:rsidTr="006466C6">
        <w:trPr>
          <w:trHeight w:val="80"/>
          <w:jc w:val="center"/>
        </w:trPr>
        <w:tc>
          <w:tcPr>
            <w:tcW w:w="4854" w:type="dxa"/>
            <w:tcBorders>
              <w:left w:val="single" w:sz="8" w:space="0" w:color="auto"/>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Преки </w:t>
            </w:r>
          </w:p>
        </w:tc>
        <w:tc>
          <w:tcPr>
            <w:tcW w:w="1276" w:type="dxa"/>
            <w:tcBorders>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12 835,0</w:t>
            </w:r>
          </w:p>
        </w:tc>
        <w:tc>
          <w:tcPr>
            <w:tcW w:w="1616" w:type="dxa"/>
            <w:tcBorders>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1 571,5</w:t>
            </w:r>
          </w:p>
        </w:tc>
        <w:tc>
          <w:tcPr>
            <w:tcW w:w="1304" w:type="dxa"/>
            <w:tcBorders>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12,2%</w:t>
            </w:r>
          </w:p>
        </w:tc>
      </w:tr>
      <w:tr w:rsidR="00A3186F" w:rsidRPr="00F74EE5" w:rsidTr="006466C6">
        <w:trPr>
          <w:trHeight w:val="165"/>
          <w:jc w:val="center"/>
        </w:trPr>
        <w:tc>
          <w:tcPr>
            <w:tcW w:w="4854" w:type="dxa"/>
            <w:tcBorders>
              <w:left w:val="single" w:sz="8" w:space="0" w:color="auto"/>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w:t>
            </w:r>
            <w:r w:rsidRPr="00516D03">
              <w:rPr>
                <w:sz w:val="18"/>
                <w:szCs w:val="18"/>
                <w:lang w:val="en-US"/>
              </w:rPr>
              <w:t xml:space="preserve"> </w:t>
            </w:r>
            <w:r w:rsidRPr="00516D03">
              <w:rPr>
                <w:sz w:val="18"/>
                <w:szCs w:val="18"/>
              </w:rPr>
              <w:t xml:space="preserve">Косвени </w:t>
            </w:r>
          </w:p>
        </w:tc>
        <w:tc>
          <w:tcPr>
            <w:tcW w:w="1276" w:type="dxa"/>
            <w:tcBorders>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25 504,1</w:t>
            </w:r>
          </w:p>
        </w:tc>
        <w:tc>
          <w:tcPr>
            <w:tcW w:w="1616" w:type="dxa"/>
            <w:tcBorders>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5 637,5</w:t>
            </w:r>
          </w:p>
        </w:tc>
        <w:tc>
          <w:tcPr>
            <w:tcW w:w="1304" w:type="dxa"/>
            <w:tcBorders>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22,1%</w:t>
            </w:r>
          </w:p>
        </w:tc>
      </w:tr>
      <w:tr w:rsidR="00A3186F" w:rsidRPr="00F74EE5" w:rsidTr="006466C6">
        <w:trPr>
          <w:trHeight w:val="165"/>
          <w:jc w:val="center"/>
        </w:trPr>
        <w:tc>
          <w:tcPr>
            <w:tcW w:w="4854" w:type="dxa"/>
            <w:tcBorders>
              <w:left w:val="single" w:sz="8" w:space="0" w:color="auto"/>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w:t>
            </w:r>
            <w:r w:rsidRPr="00516D03">
              <w:rPr>
                <w:sz w:val="18"/>
                <w:szCs w:val="18"/>
                <w:lang w:val="en-US"/>
              </w:rPr>
              <w:t xml:space="preserve"> </w:t>
            </w:r>
            <w:r w:rsidRPr="00516D03">
              <w:rPr>
                <w:sz w:val="18"/>
                <w:szCs w:val="18"/>
              </w:rPr>
              <w:t xml:space="preserve">Други </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276,9</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29,0</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10,5%</w:t>
            </w:r>
          </w:p>
        </w:tc>
      </w:tr>
      <w:tr w:rsidR="00A3186F" w:rsidRPr="00F74EE5" w:rsidTr="006466C6">
        <w:trPr>
          <w:trHeight w:val="165"/>
          <w:jc w:val="center"/>
        </w:trPr>
        <w:tc>
          <w:tcPr>
            <w:tcW w:w="4854" w:type="dxa"/>
            <w:tcBorders>
              <w:left w:val="single" w:sz="8" w:space="0" w:color="auto"/>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-Неданъчни приходи</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4 790,0</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1 160,2</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24,2%</w:t>
            </w:r>
          </w:p>
        </w:tc>
      </w:tr>
      <w:tr w:rsidR="00A3186F" w:rsidRPr="00F74EE5" w:rsidTr="006466C6">
        <w:trPr>
          <w:trHeight w:val="165"/>
          <w:jc w:val="center"/>
        </w:trPr>
        <w:tc>
          <w:tcPr>
            <w:tcW w:w="4854" w:type="dxa"/>
            <w:tcBorders>
              <w:left w:val="single" w:sz="8" w:space="0" w:color="auto"/>
              <w:bottom w:val="single" w:sz="4" w:space="0" w:color="auto"/>
              <w:right w:val="single" w:sz="8"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-Помощи и дарения</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0,5</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1,5</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292,8%</w:t>
            </w:r>
          </w:p>
        </w:tc>
      </w:tr>
      <w:tr w:rsidR="00A3186F" w:rsidRPr="00F74EE5" w:rsidTr="006466C6">
        <w:trPr>
          <w:trHeight w:val="199"/>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186F" w:rsidRPr="00516D03" w:rsidRDefault="00A3186F" w:rsidP="006466C6">
            <w:pPr>
              <w:rPr>
                <w:b/>
                <w:bCs/>
                <w:sz w:val="18"/>
                <w:szCs w:val="18"/>
              </w:rPr>
            </w:pPr>
            <w:r w:rsidRPr="00516D03">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right w:val="nil"/>
            </w:tcBorders>
            <w:shd w:val="clear" w:color="auto" w:fill="auto"/>
            <w:noWrap/>
            <w:vAlign w:val="bottom"/>
          </w:tcPr>
          <w:p w:rsidR="00A3186F" w:rsidRPr="007513CD" w:rsidRDefault="00A3186F" w:rsidP="006466C6">
            <w:pPr>
              <w:jc w:val="right"/>
              <w:rPr>
                <w:b/>
                <w:bCs/>
                <w:sz w:val="18"/>
                <w:szCs w:val="18"/>
              </w:rPr>
            </w:pPr>
            <w:r w:rsidRPr="007513CD">
              <w:rPr>
                <w:b/>
                <w:bCs/>
                <w:sz w:val="18"/>
                <w:szCs w:val="18"/>
              </w:rPr>
              <w:t>51 439,0</w:t>
            </w:r>
          </w:p>
        </w:tc>
        <w:tc>
          <w:tcPr>
            <w:tcW w:w="1616" w:type="dxa"/>
            <w:tcBorders>
              <w:top w:val="single" w:sz="4" w:space="0" w:color="auto"/>
              <w:left w:val="nil"/>
              <w:bottom w:val="single" w:sz="4" w:space="0" w:color="auto"/>
              <w:right w:val="nil"/>
            </w:tcBorders>
            <w:shd w:val="clear" w:color="auto" w:fill="auto"/>
            <w:noWrap/>
            <w:vAlign w:val="bottom"/>
          </w:tcPr>
          <w:p w:rsidR="00A3186F" w:rsidRPr="00F74EE5" w:rsidRDefault="00A3186F" w:rsidP="006466C6">
            <w:pPr>
              <w:jc w:val="right"/>
              <w:rPr>
                <w:b/>
                <w:bCs/>
                <w:color w:val="0070C0"/>
                <w:sz w:val="18"/>
                <w:szCs w:val="18"/>
              </w:rPr>
            </w:pPr>
            <w:r>
              <w:rPr>
                <w:b/>
                <w:bCs/>
                <w:sz w:val="18"/>
                <w:szCs w:val="18"/>
              </w:rPr>
              <w:t>10 172,7</w:t>
            </w:r>
          </w:p>
        </w:tc>
        <w:tc>
          <w:tcPr>
            <w:tcW w:w="1304" w:type="dxa"/>
            <w:tcBorders>
              <w:top w:val="single" w:sz="4" w:space="0" w:color="auto"/>
              <w:left w:val="nil"/>
              <w:bottom w:val="single" w:sz="4" w:space="0" w:color="auto"/>
              <w:right w:val="single" w:sz="8" w:space="0" w:color="auto"/>
            </w:tcBorders>
            <w:shd w:val="clear" w:color="auto" w:fill="auto"/>
            <w:noWrap/>
            <w:vAlign w:val="bottom"/>
          </w:tcPr>
          <w:p w:rsidR="00A3186F" w:rsidRPr="00F74EE5" w:rsidRDefault="00A3186F" w:rsidP="006466C6">
            <w:pPr>
              <w:jc w:val="right"/>
              <w:rPr>
                <w:b/>
                <w:bCs/>
                <w:color w:val="0070C0"/>
                <w:sz w:val="18"/>
                <w:szCs w:val="18"/>
              </w:rPr>
            </w:pPr>
            <w:r>
              <w:rPr>
                <w:b/>
                <w:bCs/>
                <w:sz w:val="18"/>
                <w:szCs w:val="18"/>
              </w:rPr>
              <w:t>19,8%</w:t>
            </w:r>
          </w:p>
        </w:tc>
      </w:tr>
      <w:tr w:rsidR="00A3186F" w:rsidRPr="00F74EE5" w:rsidTr="006466C6">
        <w:trPr>
          <w:trHeight w:val="101"/>
          <w:jc w:val="center"/>
        </w:trPr>
        <w:tc>
          <w:tcPr>
            <w:tcW w:w="4854" w:type="dxa"/>
            <w:tcBorders>
              <w:top w:val="single" w:sz="4" w:space="0" w:color="auto"/>
              <w:left w:val="single" w:sz="4" w:space="0" w:color="auto"/>
              <w:bottom w:val="nil"/>
              <w:right w:val="single" w:sz="4" w:space="0" w:color="auto"/>
            </w:tcBorders>
            <w:shd w:val="clear" w:color="auto" w:fill="auto"/>
            <w:noWrap/>
            <w:vAlign w:val="bottom"/>
          </w:tcPr>
          <w:p w:rsidR="00A3186F" w:rsidRPr="008B07AF" w:rsidRDefault="00A3186F" w:rsidP="006466C6">
            <w:pPr>
              <w:rPr>
                <w:b/>
                <w:i/>
                <w:sz w:val="18"/>
                <w:szCs w:val="18"/>
              </w:rPr>
            </w:pPr>
            <w:r w:rsidRPr="00516D03">
              <w:rPr>
                <w:b/>
                <w:i/>
                <w:sz w:val="18"/>
                <w:szCs w:val="18"/>
              </w:rPr>
              <w:t xml:space="preserve">   </w:t>
            </w:r>
            <w:r w:rsidRPr="008B07AF">
              <w:rPr>
                <w:b/>
                <w:i/>
                <w:sz w:val="18"/>
                <w:szCs w:val="18"/>
              </w:rPr>
              <w:t>-Нелихвени разходи</w:t>
            </w:r>
            <w:r w:rsidRPr="008B07AF">
              <w:rPr>
                <w:rStyle w:val="FootnoteReference"/>
                <w:b/>
                <w:i/>
                <w:sz w:val="18"/>
                <w:szCs w:val="18"/>
              </w:rPr>
              <w:footnoteReference w:id="10"/>
            </w:r>
          </w:p>
        </w:tc>
        <w:tc>
          <w:tcPr>
            <w:tcW w:w="1276" w:type="dxa"/>
            <w:tcBorders>
              <w:top w:val="single" w:sz="4" w:space="0" w:color="auto"/>
              <w:left w:val="nil"/>
              <w:bottom w:val="nil"/>
              <w:right w:val="nil"/>
            </w:tcBorders>
            <w:shd w:val="clear" w:color="auto" w:fill="auto"/>
            <w:noWrap/>
            <w:vAlign w:val="bottom"/>
          </w:tcPr>
          <w:p w:rsidR="00A3186F" w:rsidRPr="008B07AF" w:rsidRDefault="00A3186F" w:rsidP="006466C6">
            <w:pPr>
              <w:jc w:val="right"/>
              <w:rPr>
                <w:sz w:val="18"/>
                <w:szCs w:val="18"/>
              </w:rPr>
            </w:pPr>
            <w:r w:rsidRPr="008B07AF">
              <w:rPr>
                <w:sz w:val="18"/>
                <w:szCs w:val="18"/>
              </w:rPr>
              <w:t>22 561,5</w:t>
            </w:r>
          </w:p>
        </w:tc>
        <w:tc>
          <w:tcPr>
            <w:tcW w:w="1616" w:type="dxa"/>
            <w:tcBorders>
              <w:top w:val="single" w:sz="4" w:space="0" w:color="auto"/>
              <w:left w:val="nil"/>
              <w:bottom w:val="nil"/>
              <w:right w:val="nil"/>
            </w:tcBorders>
            <w:shd w:val="clear" w:color="auto" w:fill="auto"/>
            <w:noWrap/>
            <w:vAlign w:val="bottom"/>
          </w:tcPr>
          <w:p w:rsidR="00A3186F" w:rsidRPr="008B07AF" w:rsidRDefault="00A3186F" w:rsidP="006466C6">
            <w:pPr>
              <w:jc w:val="right"/>
              <w:rPr>
                <w:color w:val="0070C0"/>
                <w:sz w:val="18"/>
                <w:szCs w:val="18"/>
              </w:rPr>
            </w:pPr>
            <w:r w:rsidRPr="008B07AF">
              <w:rPr>
                <w:sz w:val="18"/>
                <w:szCs w:val="18"/>
              </w:rPr>
              <w:t>2 733,2</w:t>
            </w:r>
          </w:p>
        </w:tc>
        <w:tc>
          <w:tcPr>
            <w:tcW w:w="1304" w:type="dxa"/>
            <w:tcBorders>
              <w:top w:val="single" w:sz="4" w:space="0" w:color="auto"/>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sidRPr="008B07AF">
              <w:rPr>
                <w:sz w:val="18"/>
                <w:szCs w:val="18"/>
              </w:rPr>
              <w:t>12,1%</w:t>
            </w:r>
          </w:p>
        </w:tc>
      </w:tr>
      <w:tr w:rsidR="00A3186F" w:rsidRPr="00F74EE5" w:rsidTr="006466C6">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rsidR="00A3186F" w:rsidRPr="00516D03" w:rsidRDefault="00A3186F" w:rsidP="006466C6">
            <w:pPr>
              <w:rPr>
                <w:b/>
                <w:i/>
                <w:sz w:val="18"/>
                <w:szCs w:val="18"/>
              </w:rPr>
            </w:pPr>
            <w:r w:rsidRPr="00516D03">
              <w:rPr>
                <w:b/>
                <w:i/>
                <w:sz w:val="18"/>
                <w:szCs w:val="18"/>
              </w:rPr>
              <w:t xml:space="preserve">   -Лихви</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966,8</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322,4</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33,3%</w:t>
            </w:r>
          </w:p>
        </w:tc>
      </w:tr>
      <w:tr w:rsidR="00A3186F" w:rsidRPr="00F74EE5" w:rsidTr="006466C6">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По външни заеми</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833,6</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294,8</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35,4%</w:t>
            </w:r>
          </w:p>
        </w:tc>
      </w:tr>
      <w:tr w:rsidR="00A3186F" w:rsidRPr="00F74EE5" w:rsidTr="006466C6">
        <w:trPr>
          <w:trHeight w:val="60"/>
          <w:jc w:val="center"/>
        </w:trPr>
        <w:tc>
          <w:tcPr>
            <w:tcW w:w="4854" w:type="dxa"/>
            <w:tcBorders>
              <w:top w:val="nil"/>
              <w:left w:val="single" w:sz="4" w:space="0" w:color="auto"/>
              <w:bottom w:val="nil"/>
              <w:right w:val="single" w:sz="4" w:space="0" w:color="auto"/>
            </w:tcBorders>
            <w:shd w:val="clear" w:color="auto" w:fill="auto"/>
            <w:noWrap/>
            <w:vAlign w:val="bottom"/>
          </w:tcPr>
          <w:p w:rsidR="00A3186F" w:rsidRPr="00516D03" w:rsidRDefault="00A3186F" w:rsidP="006466C6">
            <w:pPr>
              <w:rPr>
                <w:sz w:val="18"/>
                <w:szCs w:val="18"/>
              </w:rPr>
            </w:pPr>
            <w:r w:rsidRPr="00516D03">
              <w:rPr>
                <w:sz w:val="18"/>
                <w:szCs w:val="18"/>
              </w:rPr>
              <w:t xml:space="preserve">      По вътрешни заеми</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133,2</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27,6</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20,7%</w:t>
            </w:r>
          </w:p>
        </w:tc>
      </w:tr>
      <w:tr w:rsidR="00A3186F" w:rsidRPr="00F74EE5" w:rsidTr="006466C6">
        <w:trPr>
          <w:trHeight w:val="60"/>
          <w:jc w:val="center"/>
        </w:trPr>
        <w:tc>
          <w:tcPr>
            <w:tcW w:w="4854" w:type="dxa"/>
            <w:tcBorders>
              <w:top w:val="nil"/>
              <w:left w:val="single" w:sz="4" w:space="0" w:color="auto"/>
              <w:bottom w:val="nil"/>
              <w:right w:val="single" w:sz="4" w:space="0" w:color="auto"/>
            </w:tcBorders>
            <w:shd w:val="clear" w:color="auto" w:fill="auto"/>
            <w:noWrap/>
            <w:vAlign w:val="bottom"/>
          </w:tcPr>
          <w:p w:rsidR="00A3186F" w:rsidRPr="00516D03" w:rsidRDefault="00A3186F" w:rsidP="006466C6">
            <w:pPr>
              <w:rPr>
                <w:b/>
                <w:i/>
                <w:sz w:val="18"/>
                <w:szCs w:val="18"/>
              </w:rPr>
            </w:pPr>
            <w:r w:rsidRPr="00516D03">
              <w:rPr>
                <w:b/>
                <w:i/>
                <w:sz w:val="18"/>
                <w:szCs w:val="18"/>
              </w:rPr>
              <w:t xml:space="preserve"> - Резерв за непредвидени и неотложни разходи</w:t>
            </w:r>
            <w:r w:rsidRPr="00516D03">
              <w:rPr>
                <w:rStyle w:val="FootnoteReference"/>
                <w:sz w:val="18"/>
                <w:szCs w:val="18"/>
              </w:rPr>
              <w:footnoteReference w:id="11"/>
            </w:r>
            <w:r w:rsidRPr="00516D03">
              <w:rPr>
                <w:b/>
                <w:i/>
                <w:sz w:val="18"/>
                <w:szCs w:val="18"/>
              </w:rPr>
              <w:tab/>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131,4</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rPr>
                <w:color w:val="0070C0"/>
                <w:sz w:val="18"/>
                <w:szCs w:val="18"/>
              </w:rPr>
            </w:pPr>
            <w:r>
              <w:rPr>
                <w:sz w:val="18"/>
                <w:szCs w:val="18"/>
              </w:rPr>
              <w:t> </w:t>
            </w:r>
          </w:p>
        </w:tc>
      </w:tr>
      <w:tr w:rsidR="00A3186F" w:rsidRPr="00F74EE5" w:rsidTr="006466C6">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rsidR="00A3186F" w:rsidRPr="00516D03" w:rsidRDefault="00A3186F" w:rsidP="006466C6">
            <w:pPr>
              <w:rPr>
                <w:b/>
                <w:i/>
                <w:sz w:val="18"/>
                <w:szCs w:val="18"/>
              </w:rPr>
            </w:pPr>
            <w:r w:rsidRPr="00516D03">
              <w:rPr>
                <w:b/>
                <w:i/>
                <w:sz w:val="18"/>
                <w:szCs w:val="18"/>
              </w:rPr>
              <w:t xml:space="preserve"> -Трансфери за  др. бюджети – нето</w:t>
            </w:r>
          </w:p>
        </w:tc>
        <w:tc>
          <w:tcPr>
            <w:tcW w:w="1276" w:type="dxa"/>
            <w:tcBorders>
              <w:top w:val="nil"/>
              <w:left w:val="nil"/>
              <w:bottom w:val="nil"/>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25 508,1</w:t>
            </w:r>
          </w:p>
        </w:tc>
        <w:tc>
          <w:tcPr>
            <w:tcW w:w="1616" w:type="dxa"/>
            <w:tcBorders>
              <w:top w:val="nil"/>
              <w:left w:val="nil"/>
              <w:bottom w:val="nil"/>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6 777,8</w:t>
            </w:r>
          </w:p>
        </w:tc>
        <w:tc>
          <w:tcPr>
            <w:tcW w:w="1304" w:type="dxa"/>
            <w:tcBorders>
              <w:top w:val="nil"/>
              <w:left w:val="nil"/>
              <w:bottom w:val="nil"/>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26,6%</w:t>
            </w:r>
          </w:p>
        </w:tc>
      </w:tr>
      <w:tr w:rsidR="00A3186F" w:rsidRPr="00F74EE5" w:rsidTr="006466C6">
        <w:trPr>
          <w:trHeight w:val="60"/>
          <w:jc w:val="center"/>
        </w:trPr>
        <w:tc>
          <w:tcPr>
            <w:tcW w:w="4854" w:type="dxa"/>
            <w:tcBorders>
              <w:top w:val="nil"/>
              <w:left w:val="single" w:sz="4" w:space="0" w:color="auto"/>
              <w:bottom w:val="single" w:sz="4" w:space="0" w:color="auto"/>
              <w:right w:val="single" w:sz="4" w:space="0" w:color="auto"/>
            </w:tcBorders>
            <w:shd w:val="clear" w:color="auto" w:fill="auto"/>
            <w:noWrap/>
            <w:vAlign w:val="bottom"/>
          </w:tcPr>
          <w:p w:rsidR="00A3186F" w:rsidRPr="00516D03" w:rsidRDefault="00A3186F" w:rsidP="006466C6">
            <w:pPr>
              <w:rPr>
                <w:b/>
                <w:bCs/>
                <w:i/>
                <w:sz w:val="18"/>
                <w:szCs w:val="18"/>
              </w:rPr>
            </w:pPr>
            <w:r w:rsidRPr="00516D03">
              <w:rPr>
                <w:b/>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vAlign w:val="bottom"/>
          </w:tcPr>
          <w:p w:rsidR="00A3186F" w:rsidRPr="007513CD" w:rsidRDefault="00A3186F" w:rsidP="006466C6">
            <w:pPr>
              <w:jc w:val="right"/>
              <w:rPr>
                <w:sz w:val="18"/>
                <w:szCs w:val="18"/>
              </w:rPr>
            </w:pPr>
            <w:r w:rsidRPr="007513CD">
              <w:rPr>
                <w:sz w:val="18"/>
                <w:szCs w:val="18"/>
              </w:rPr>
              <w:t>2 271,1</w:t>
            </w:r>
          </w:p>
        </w:tc>
        <w:tc>
          <w:tcPr>
            <w:tcW w:w="1616" w:type="dxa"/>
            <w:tcBorders>
              <w:top w:val="nil"/>
              <w:left w:val="nil"/>
              <w:bottom w:val="single" w:sz="4" w:space="0" w:color="auto"/>
              <w:right w:val="nil"/>
            </w:tcBorders>
            <w:shd w:val="clear" w:color="auto" w:fill="auto"/>
            <w:noWrap/>
            <w:vAlign w:val="bottom"/>
          </w:tcPr>
          <w:p w:rsidR="00A3186F" w:rsidRPr="00F74EE5" w:rsidRDefault="00A3186F" w:rsidP="006466C6">
            <w:pPr>
              <w:jc w:val="right"/>
              <w:rPr>
                <w:color w:val="0070C0"/>
                <w:sz w:val="18"/>
                <w:szCs w:val="18"/>
              </w:rPr>
            </w:pPr>
            <w:r>
              <w:rPr>
                <w:sz w:val="18"/>
                <w:szCs w:val="18"/>
              </w:rPr>
              <w:t>339,3</w:t>
            </w:r>
          </w:p>
        </w:tc>
        <w:tc>
          <w:tcPr>
            <w:tcW w:w="1304" w:type="dxa"/>
            <w:tcBorders>
              <w:top w:val="nil"/>
              <w:left w:val="nil"/>
              <w:bottom w:val="single" w:sz="4" w:space="0" w:color="auto"/>
              <w:right w:val="single" w:sz="8" w:space="0" w:color="auto"/>
            </w:tcBorders>
            <w:shd w:val="clear" w:color="auto" w:fill="auto"/>
            <w:noWrap/>
            <w:vAlign w:val="bottom"/>
          </w:tcPr>
          <w:p w:rsidR="00A3186F" w:rsidRPr="00F74EE5" w:rsidRDefault="00A3186F" w:rsidP="006466C6">
            <w:pPr>
              <w:jc w:val="right"/>
              <w:rPr>
                <w:color w:val="0070C0"/>
                <w:sz w:val="18"/>
                <w:szCs w:val="18"/>
              </w:rPr>
            </w:pPr>
            <w:r>
              <w:rPr>
                <w:sz w:val="18"/>
                <w:szCs w:val="18"/>
              </w:rPr>
              <w:t>14,9%</w:t>
            </w:r>
          </w:p>
        </w:tc>
      </w:tr>
      <w:tr w:rsidR="00A3186F" w:rsidRPr="00F74EE5" w:rsidTr="006466C6">
        <w:trPr>
          <w:trHeight w:val="50"/>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186F" w:rsidRPr="00516D03" w:rsidRDefault="00A3186F" w:rsidP="006466C6">
            <w:pPr>
              <w:rPr>
                <w:b/>
                <w:bCs/>
                <w:sz w:val="18"/>
                <w:szCs w:val="18"/>
              </w:rPr>
            </w:pPr>
            <w:r w:rsidRPr="00516D03">
              <w:rPr>
                <w:b/>
                <w:bCs/>
                <w:sz w:val="18"/>
                <w:szCs w:val="18"/>
              </w:rPr>
              <w:t>Бюджетен баланс</w:t>
            </w:r>
          </w:p>
        </w:tc>
        <w:tc>
          <w:tcPr>
            <w:tcW w:w="1276" w:type="dxa"/>
            <w:tcBorders>
              <w:top w:val="nil"/>
              <w:left w:val="nil"/>
              <w:bottom w:val="single" w:sz="8" w:space="0" w:color="auto"/>
              <w:right w:val="nil"/>
            </w:tcBorders>
            <w:shd w:val="clear" w:color="auto" w:fill="auto"/>
            <w:noWrap/>
            <w:vAlign w:val="bottom"/>
          </w:tcPr>
          <w:p w:rsidR="00A3186F" w:rsidRPr="007513CD" w:rsidRDefault="00A3186F" w:rsidP="006466C6">
            <w:pPr>
              <w:jc w:val="right"/>
              <w:rPr>
                <w:b/>
                <w:bCs/>
                <w:sz w:val="18"/>
                <w:szCs w:val="18"/>
              </w:rPr>
            </w:pPr>
            <w:r w:rsidRPr="007513CD">
              <w:rPr>
                <w:b/>
                <w:bCs/>
                <w:sz w:val="18"/>
                <w:szCs w:val="18"/>
              </w:rPr>
              <w:t>-8 032,4</w:t>
            </w:r>
          </w:p>
        </w:tc>
        <w:tc>
          <w:tcPr>
            <w:tcW w:w="1616" w:type="dxa"/>
            <w:tcBorders>
              <w:top w:val="nil"/>
              <w:left w:val="nil"/>
              <w:bottom w:val="single" w:sz="8" w:space="0" w:color="auto"/>
              <w:right w:val="nil"/>
            </w:tcBorders>
            <w:shd w:val="clear" w:color="auto" w:fill="auto"/>
            <w:noWrap/>
            <w:vAlign w:val="bottom"/>
          </w:tcPr>
          <w:p w:rsidR="00A3186F" w:rsidRPr="00F74EE5" w:rsidRDefault="00A3186F" w:rsidP="006466C6">
            <w:pPr>
              <w:jc w:val="right"/>
              <w:rPr>
                <w:b/>
                <w:bCs/>
                <w:color w:val="0070C0"/>
                <w:sz w:val="18"/>
                <w:szCs w:val="18"/>
              </w:rPr>
            </w:pPr>
            <w:r>
              <w:rPr>
                <w:b/>
                <w:bCs/>
                <w:sz w:val="18"/>
                <w:szCs w:val="18"/>
              </w:rPr>
              <w:t>-1 773,1</w:t>
            </w:r>
          </w:p>
        </w:tc>
        <w:tc>
          <w:tcPr>
            <w:tcW w:w="1304" w:type="dxa"/>
            <w:tcBorders>
              <w:top w:val="nil"/>
              <w:left w:val="nil"/>
              <w:bottom w:val="single" w:sz="8" w:space="0" w:color="auto"/>
              <w:right w:val="single" w:sz="8" w:space="0" w:color="auto"/>
            </w:tcBorders>
            <w:shd w:val="clear" w:color="auto" w:fill="auto"/>
            <w:noWrap/>
            <w:vAlign w:val="bottom"/>
          </w:tcPr>
          <w:p w:rsidR="00A3186F" w:rsidRPr="00F74EE5" w:rsidRDefault="00A3186F" w:rsidP="006466C6">
            <w:pPr>
              <w:rPr>
                <w:b/>
                <w:bCs/>
                <w:color w:val="0070C0"/>
                <w:sz w:val="18"/>
                <w:szCs w:val="18"/>
              </w:rPr>
            </w:pPr>
            <w:r>
              <w:rPr>
                <w:b/>
                <w:bCs/>
                <w:sz w:val="18"/>
                <w:szCs w:val="18"/>
              </w:rPr>
              <w:t> </w:t>
            </w:r>
          </w:p>
        </w:tc>
      </w:tr>
    </w:tbl>
    <w:p w:rsidR="00A3186F" w:rsidRPr="00F74EE5" w:rsidRDefault="00A3186F" w:rsidP="00A3186F">
      <w:pPr>
        <w:ind w:right="-242"/>
        <w:rPr>
          <w:b/>
          <w:bCs/>
          <w:color w:val="0070C0"/>
          <w:sz w:val="6"/>
          <w:szCs w:val="6"/>
        </w:rPr>
      </w:pPr>
    </w:p>
    <w:p w:rsidR="00A3186F" w:rsidRPr="00F74EE5" w:rsidRDefault="00A3186F" w:rsidP="00A3186F">
      <w:pPr>
        <w:pStyle w:val="BodyTextIndent"/>
        <w:ind w:left="0"/>
        <w:jc w:val="both"/>
        <w:rPr>
          <w:b/>
          <w:color w:val="0070C0"/>
          <w:sz w:val="6"/>
        </w:rPr>
      </w:pPr>
    </w:p>
    <w:p w:rsidR="00A3186F" w:rsidRPr="00A63F34" w:rsidRDefault="00A3186F" w:rsidP="00A3186F">
      <w:pPr>
        <w:pStyle w:val="BodyTextIndent"/>
        <w:numPr>
          <w:ilvl w:val="0"/>
          <w:numId w:val="2"/>
        </w:numPr>
        <w:jc w:val="both"/>
        <w:rPr>
          <w:b/>
        </w:rPr>
      </w:pPr>
      <w:r w:rsidRPr="00A63F34">
        <w:rPr>
          <w:b/>
          <w:bCs/>
        </w:rPr>
        <w:t xml:space="preserve">Приходи по държавния бюджет </w:t>
      </w:r>
    </w:p>
    <w:p w:rsidR="00A3186F" w:rsidRPr="00F74EE5" w:rsidRDefault="00A3186F" w:rsidP="00A3186F">
      <w:pPr>
        <w:spacing w:after="120"/>
        <w:jc w:val="both"/>
        <w:rPr>
          <w:bCs/>
          <w:color w:val="0070C0"/>
        </w:rPr>
      </w:pPr>
      <w:r w:rsidRPr="00E75F77">
        <w:rPr>
          <w:bCs/>
        </w:rPr>
        <w:t>Общият размер на</w:t>
      </w:r>
      <w:r w:rsidRPr="00E75F77">
        <w:rPr>
          <w:b/>
          <w:bCs/>
        </w:rPr>
        <w:t xml:space="preserve"> приходите, помощите и даренията по държавния бюджет</w:t>
      </w:r>
      <w:r w:rsidRPr="00E75F77">
        <w:rPr>
          <w:bCs/>
        </w:rPr>
        <w:t xml:space="preserve"> към март 2024 г. е</w:t>
      </w:r>
      <w:r w:rsidRPr="00E75F77">
        <w:rPr>
          <w:b/>
          <w:bCs/>
        </w:rPr>
        <w:t xml:space="preserve"> 8 399,7 млн. лв.</w:t>
      </w:r>
      <w:r w:rsidRPr="00E75F77">
        <w:rPr>
          <w:bCs/>
        </w:rPr>
        <w:t xml:space="preserve">, което представлява 19,4 % изпълнение на разчетите по ЗДБРБ за 2024 </w:t>
      </w:r>
      <w:r w:rsidRPr="007E3D9A">
        <w:rPr>
          <w:bCs/>
        </w:rPr>
        <w:t xml:space="preserve">година и ръст от 265,8 млн. лв. </w:t>
      </w:r>
      <w:r w:rsidR="00D140A1" w:rsidRPr="00587800">
        <w:rPr>
          <w:bCs/>
          <w:lang w:val="ru-RU"/>
        </w:rPr>
        <w:t>(</w:t>
      </w:r>
      <w:r w:rsidR="00D140A1" w:rsidRPr="007E3D9A">
        <w:rPr>
          <w:bCs/>
        </w:rPr>
        <w:t>3,3 %</w:t>
      </w:r>
      <w:r w:rsidR="00D140A1" w:rsidRPr="00587800">
        <w:rPr>
          <w:bCs/>
          <w:lang w:val="ru-RU"/>
        </w:rPr>
        <w:t>)</w:t>
      </w:r>
      <w:r w:rsidR="00D140A1">
        <w:rPr>
          <w:bCs/>
        </w:rPr>
        <w:t xml:space="preserve"> </w:t>
      </w:r>
      <w:r w:rsidRPr="007E3D9A">
        <w:rPr>
          <w:bCs/>
        </w:rPr>
        <w:t>спрямо отчетените за същия период на предходната година.</w:t>
      </w:r>
      <w:r w:rsidRPr="00587800">
        <w:rPr>
          <w:bCs/>
          <w:lang w:val="ru-RU"/>
        </w:rPr>
        <w:t xml:space="preserve"> </w:t>
      </w:r>
      <w:r w:rsidRPr="007E3D9A">
        <w:rPr>
          <w:bCs/>
        </w:rPr>
        <w:t>Сравнени с данните към март</w:t>
      </w:r>
      <w:r w:rsidRPr="00587800">
        <w:rPr>
          <w:bCs/>
          <w:lang w:val="ru-RU"/>
        </w:rPr>
        <w:t xml:space="preserve"> 2023 г. </w:t>
      </w:r>
      <w:r w:rsidRPr="004D1192">
        <w:rPr>
          <w:bCs/>
        </w:rPr>
        <w:t>данъчните приходи са близки по размер, а неданъчните приходи нарастват с 272,2 млн. лв. (30,6 %).</w:t>
      </w:r>
    </w:p>
    <w:p w:rsidR="00A3186F" w:rsidRPr="004C349C" w:rsidRDefault="00A3186F" w:rsidP="00A3186F">
      <w:pPr>
        <w:numPr>
          <w:ilvl w:val="0"/>
          <w:numId w:val="3"/>
        </w:numPr>
        <w:tabs>
          <w:tab w:val="num" w:pos="720"/>
        </w:tabs>
        <w:ind w:left="0" w:firstLine="180"/>
        <w:jc w:val="both"/>
        <w:rPr>
          <w:b/>
          <w:bCs/>
        </w:rPr>
      </w:pPr>
      <w:r w:rsidRPr="004C349C">
        <w:rPr>
          <w:bCs/>
        </w:rPr>
        <w:t xml:space="preserve"> </w:t>
      </w:r>
      <w:r w:rsidRPr="004C349C">
        <w:rPr>
          <w:b/>
          <w:bCs/>
        </w:rPr>
        <w:t>Данъчни приходи</w:t>
      </w:r>
    </w:p>
    <w:p w:rsidR="00A3186F" w:rsidRPr="00F74EE5" w:rsidRDefault="00A3186F" w:rsidP="00A3186F">
      <w:pPr>
        <w:jc w:val="both"/>
        <w:rPr>
          <w:bCs/>
          <w:color w:val="0070C0"/>
          <w:sz w:val="4"/>
          <w:szCs w:val="4"/>
        </w:rPr>
      </w:pPr>
    </w:p>
    <w:p w:rsidR="00A3186F" w:rsidRPr="004C349C" w:rsidRDefault="00A3186F" w:rsidP="00A3186F">
      <w:pPr>
        <w:jc w:val="both"/>
      </w:pPr>
      <w:r w:rsidRPr="004C349C">
        <w:rPr>
          <w:bCs/>
        </w:rPr>
        <w:t>Размерът на</w:t>
      </w:r>
      <w:r w:rsidRPr="004C349C">
        <w:rPr>
          <w:b/>
          <w:bCs/>
        </w:rPr>
        <w:t xml:space="preserve"> данъчните постъпления по държавния бюджет</w:t>
      </w:r>
      <w:r w:rsidRPr="004C349C">
        <w:rPr>
          <w:bCs/>
        </w:rPr>
        <w:t xml:space="preserve"> към март 2024 г. </w:t>
      </w:r>
      <w:r w:rsidRPr="004C349C">
        <w:t xml:space="preserve">е </w:t>
      </w:r>
      <w:r w:rsidRPr="004C349C">
        <w:rPr>
          <w:b/>
          <w:lang w:val="ru-RU"/>
        </w:rPr>
        <w:t>7 238,0</w:t>
      </w:r>
      <w:r w:rsidRPr="004C349C">
        <w:rPr>
          <w:b/>
        </w:rPr>
        <w:t> млн.</w:t>
      </w:r>
      <w:r w:rsidRPr="004C349C">
        <w:rPr>
          <w:b/>
          <w:lang w:val="en-US"/>
        </w:rPr>
        <w:t> </w:t>
      </w:r>
      <w:r w:rsidRPr="004C349C">
        <w:rPr>
          <w:b/>
        </w:rPr>
        <w:t>лв</w:t>
      </w:r>
      <w:r w:rsidRPr="004C349C">
        <w:t>., което представлява 18,7 % изпълнение на годишните разчети. В сравнение със същия период на 2023 г. постъпленията в групата са близки по размер.</w:t>
      </w:r>
    </w:p>
    <w:p w:rsidR="00A3186F" w:rsidRPr="00513B02" w:rsidRDefault="00A3186F" w:rsidP="00A3186F">
      <w:pPr>
        <w:numPr>
          <w:ilvl w:val="0"/>
          <w:numId w:val="4"/>
        </w:numPr>
        <w:tabs>
          <w:tab w:val="clear" w:pos="1440"/>
          <w:tab w:val="num" w:pos="540"/>
        </w:tabs>
        <w:spacing w:before="120" w:after="120"/>
        <w:ind w:left="0" w:firstLine="181"/>
        <w:jc w:val="both"/>
        <w:rPr>
          <w:b/>
          <w:bCs/>
        </w:rPr>
      </w:pPr>
      <w:r w:rsidRPr="00513B02">
        <w:rPr>
          <w:b/>
          <w:bCs/>
        </w:rPr>
        <w:t>Преки данъци</w:t>
      </w:r>
    </w:p>
    <w:p w:rsidR="00A3186F" w:rsidRPr="00587800" w:rsidRDefault="00A3186F" w:rsidP="00A3186F">
      <w:pPr>
        <w:spacing w:before="120"/>
        <w:jc w:val="both"/>
        <w:rPr>
          <w:color w:val="0070C0"/>
          <w:lang w:val="ru-RU"/>
        </w:rPr>
      </w:pPr>
      <w:r w:rsidRPr="00513B02">
        <w:t xml:space="preserve">Приходите </w:t>
      </w:r>
      <w:r w:rsidR="00D25047">
        <w:t>от</w:t>
      </w:r>
      <w:r w:rsidR="00D25047">
        <w:rPr>
          <w:b/>
        </w:rPr>
        <w:t xml:space="preserve"> преки</w:t>
      </w:r>
      <w:r w:rsidRPr="00513B02">
        <w:rPr>
          <w:b/>
        </w:rPr>
        <w:t xml:space="preserve"> данъци</w:t>
      </w:r>
      <w:r w:rsidRPr="00513B02">
        <w:t xml:space="preserve"> са в размер на</w:t>
      </w:r>
      <w:r w:rsidRPr="00513B02">
        <w:rPr>
          <w:b/>
        </w:rPr>
        <w:t> 1 571,5 млн. лв</w:t>
      </w:r>
      <w:r w:rsidRPr="00513B02">
        <w:t>. или 12,2 % от планираните за годината, като съпоставени със същия период на предходната година постъпленията нарастват със 150,1 млн. лв. (10,6 %). Повишението се дължи основно на значително по-високите приходи от данъците върху доходите на физическите лица, които нарастват 12,9 %, в сравнение с края на март 2023 година.</w:t>
      </w:r>
    </w:p>
    <w:p w:rsidR="00A3186F" w:rsidRPr="00F74EE5" w:rsidRDefault="00A3186F" w:rsidP="00A3186F">
      <w:pPr>
        <w:spacing w:before="120"/>
        <w:jc w:val="both"/>
        <w:rPr>
          <w:color w:val="0070C0"/>
        </w:rPr>
      </w:pPr>
      <w:r w:rsidRPr="00FE2402">
        <w:t>Приходите от</w:t>
      </w:r>
      <w:r w:rsidRPr="00FE2402">
        <w:rPr>
          <w:b/>
        </w:rPr>
        <w:t xml:space="preserve"> </w:t>
      </w:r>
      <w:r w:rsidRPr="00FE2402">
        <w:rPr>
          <w:b/>
          <w:bCs/>
          <w:i/>
        </w:rPr>
        <w:t>корпоративни данъци</w:t>
      </w:r>
      <w:r w:rsidRPr="00FE2402">
        <w:t xml:space="preserve"> </w:t>
      </w:r>
      <w:r w:rsidRPr="00FE2402">
        <w:rPr>
          <w:bCs/>
        </w:rPr>
        <w:t>към март 2024 г.</w:t>
      </w:r>
      <w:r w:rsidRPr="00FE2402">
        <w:t xml:space="preserve"> са в размер на 167,7 млн. лв. или 2,8 % </w:t>
      </w:r>
      <w:r w:rsidRPr="00F03966">
        <w:t xml:space="preserve">от годишния план. Сравнени с данните за месец март на предходната година постъпленията намаляват с 9,9 млн. лева. </w:t>
      </w:r>
    </w:p>
    <w:p w:rsidR="00A3186F" w:rsidRPr="00065EFF" w:rsidRDefault="00A3186F" w:rsidP="00A3186F">
      <w:pPr>
        <w:spacing w:before="120"/>
        <w:jc w:val="both"/>
      </w:pPr>
      <w:r w:rsidRPr="007C616D">
        <w:t>Регламентираните срокове за деклариране на данъчния финансов резултат за 2023 г. и за внасяне на дължимия корпоративен данък по ГДД (до 30 юни 2024 г.), както и сроковете за деклариране и внасяне на авансови вноски, обуславят нивото на постъпления от този вид данък за периода. По отношение на авансовите вноски от корпоративен данък, които са голяма част от касовите постъпления през годината, следва да се отбележи, че сроковете за месечните (за месеците януари, февруари и март - в срок до 15 април на текущата календарна година) и тримесечни плащания (за първото и второто тримесечие се внасят до 15-о число на месеца следващ тримесечието, за което се отнасят) остават непроменени през 2024 година.</w:t>
      </w:r>
    </w:p>
    <w:p w:rsidR="00A3186F" w:rsidRPr="00F74EE5" w:rsidRDefault="00A3186F" w:rsidP="00A3186F">
      <w:pPr>
        <w:spacing w:before="120"/>
        <w:jc w:val="both"/>
        <w:rPr>
          <w:color w:val="0070C0"/>
        </w:rPr>
      </w:pPr>
      <w:r w:rsidRPr="00065EFF">
        <w:t xml:space="preserve">В тази група данъци са и приходите от данък върху дивидентите, ликвидационните дялове и доходите на местни и чуждестранни юридически лица, които са в размер на 46,5 млн. лв., като </w:t>
      </w:r>
      <w:r w:rsidRPr="005C7DAE">
        <w:t>съпоставени със същия период на 2023</w:t>
      </w:r>
      <w:r w:rsidRPr="005C7DAE">
        <w:rPr>
          <w:lang w:val="en-US"/>
        </w:rPr>
        <w:t> </w:t>
      </w:r>
      <w:r w:rsidRPr="005C7DAE">
        <w:t>г. приходите са повече с 21,5 млн. лв. Постъпленията от данъци върху дивидентите, ликвидационните дялове и доходите на юридически лица зависят от състоянието на икономиката и осъществяващите се процеси по разпределение на фирмена собственост в страната.</w:t>
      </w:r>
    </w:p>
    <w:p w:rsidR="00A3186F" w:rsidRPr="00587800" w:rsidRDefault="00A3186F" w:rsidP="00A3186F">
      <w:pPr>
        <w:spacing w:before="120" w:after="120"/>
        <w:jc w:val="both"/>
        <w:rPr>
          <w:lang w:val="ru-RU"/>
        </w:rPr>
      </w:pPr>
      <w:r w:rsidRPr="00AB10B9">
        <w:t>Приходите от</w:t>
      </w:r>
      <w:r w:rsidRPr="00AB10B9">
        <w:rPr>
          <w:b/>
        </w:rPr>
        <w:t xml:space="preserve"> данъци върху доходите на физически лица </w:t>
      </w:r>
      <w:r w:rsidRPr="00AB10B9">
        <w:t xml:space="preserve">са в размер на </w:t>
      </w:r>
      <w:r w:rsidRPr="00AB10B9">
        <w:rPr>
          <w:b/>
          <w:lang w:val="ru-RU"/>
        </w:rPr>
        <w:t xml:space="preserve">1 403,8 </w:t>
      </w:r>
      <w:r w:rsidRPr="00AB10B9">
        <w:rPr>
          <w:b/>
        </w:rPr>
        <w:t>млн. лв.</w:t>
      </w:r>
      <w:r w:rsidRPr="00AB10B9">
        <w:t xml:space="preserve"> или 20,3 % от заложените в разчета за годината. Тези приходи са със 159,9 млн. лв. повече или 12,</w:t>
      </w:r>
      <w:r w:rsidRPr="008C753B">
        <w:t>9 % ръст спрямо същия период на предходната година.</w:t>
      </w:r>
      <w:r w:rsidRPr="00587800">
        <w:rPr>
          <w:lang w:val="ru-RU"/>
        </w:rPr>
        <w:t xml:space="preserve"> </w:t>
      </w:r>
    </w:p>
    <w:p w:rsidR="00A3186F" w:rsidRPr="00794ABB" w:rsidRDefault="00A3186F" w:rsidP="00A3186F">
      <w:pPr>
        <w:spacing w:before="120" w:after="120"/>
        <w:jc w:val="both"/>
      </w:pPr>
      <w:r w:rsidRPr="008C753B">
        <w:t>Основен фактор за размера на данъчните постъпления от ДДФЛ е развитието на  параметрите на пазара на труда: заетост, безработица и заплащане на труда. Влияние върху размера на постъпленията от ДДФЛ оказват действащите законодателни и административни мерки в областта на трудовото, социалното и данъчното законодателство. За повишаване на тази група данъчни приходи допринасят и предприетите мерки за намаляване на недекларирания труд, мерките за повишаване на събираемостта на задължения за минали периоди и тематичните кампании за контрол, провеждани от НАП.</w:t>
      </w:r>
    </w:p>
    <w:p w:rsidR="00A3186F" w:rsidRPr="00F85D4D" w:rsidRDefault="00A3186F" w:rsidP="00A3186F">
      <w:pPr>
        <w:spacing w:before="120"/>
        <w:jc w:val="both"/>
        <w:rPr>
          <w:bCs/>
        </w:rPr>
      </w:pPr>
      <w:r w:rsidRPr="00F85D4D">
        <w:rPr>
          <w:i/>
        </w:rPr>
        <w:t>По трудови правоотношения</w:t>
      </w:r>
      <w:r w:rsidRPr="00F85D4D">
        <w:t xml:space="preserve"> приходите от данъка </w:t>
      </w:r>
      <w:r w:rsidRPr="00F85D4D">
        <w:rPr>
          <w:bCs/>
        </w:rPr>
        <w:t>към март 2024 г.</w:t>
      </w:r>
      <w:r w:rsidRPr="00F85D4D">
        <w:t xml:space="preserve"> са 1 184,2 млн. лв., 20,8 % от годишните разчети. Тези приходи нарастват със 161,5 млн. лв. (15,8 %) в сравнение със същия период на предходната година</w:t>
      </w:r>
      <w:r w:rsidRPr="00F85D4D">
        <w:rPr>
          <w:bCs/>
        </w:rPr>
        <w:t>.</w:t>
      </w:r>
    </w:p>
    <w:p w:rsidR="00A3186F" w:rsidRPr="00335F75" w:rsidRDefault="00A3186F" w:rsidP="00A3186F">
      <w:pPr>
        <w:spacing w:before="120"/>
        <w:jc w:val="both"/>
      </w:pPr>
      <w:r w:rsidRPr="00196A56">
        <w:t>Отчетеният ръст при тази група данъчни приходи е повлиян в голяма степен от приетия през 2023</w:t>
      </w:r>
      <w:r>
        <w:t> </w:t>
      </w:r>
      <w:r w:rsidRPr="00196A56">
        <w:t>г. в Кодекса на труда (чл. 244, ал. 2) механизъм, съгласно който минималното трудово възнаграждение за страната за следващата календарна година се определя до 1 септември на текущата година в размер на 50 на сто от средната брутна работна заплата за период от 12 месеца, който включва последните две тримесечия на предходната година и първите две тримесечия на текущата година. В съответствие с новия механизъм от 1 януари 2024 г. минималната работна заплата за страната е увеличена от 780 лв. на 933 лв. или с 19,6 %. Други предпоставки за нарастване на приходите от ДДФЛ са отчетеният висок номинален ръст на средната работна заплата през четвъртото тримесечие на 2023 г., както и увеличението на разходите за персонал в някои от бюджетните системи.</w:t>
      </w:r>
      <w:r w:rsidRPr="00335F75">
        <w:t xml:space="preserve">  </w:t>
      </w:r>
    </w:p>
    <w:p w:rsidR="00A3186F" w:rsidRPr="00D23AAF" w:rsidRDefault="00A3186F" w:rsidP="00A3186F">
      <w:pPr>
        <w:spacing w:before="120"/>
        <w:jc w:val="both"/>
      </w:pPr>
      <w:r w:rsidRPr="00414F4D">
        <w:t xml:space="preserve">Влияние върху приходите от </w:t>
      </w:r>
      <w:r w:rsidR="00B110DB">
        <w:t>данъка по</w:t>
      </w:r>
      <w:r w:rsidR="00B110DB" w:rsidRPr="00414F4D">
        <w:t xml:space="preserve"> </w:t>
      </w:r>
      <w:r w:rsidRPr="00414F4D">
        <w:t>трудови правоотношения в посока намаление през януари оказва ползването на облекченията за деца по чл. 22в и чл. 22г от ЗДДФЛ чрез подаване на декларация по образец при работодателя през месец декември. Очаква се ползването на облекченията за деца по чл. 22в и чл. 22г от ЗДДФЛ чрез подаване на годишната данъчна декларация за доходите, придобити през 2023 г., както и авансовото ползване при работодател за придобитите доходи през 2024 година да окаже въздействие и през следващите отчетни периоди.</w:t>
      </w:r>
    </w:p>
    <w:p w:rsidR="00A3186F" w:rsidRPr="00C27FF7" w:rsidRDefault="00A3186F" w:rsidP="00A3186F">
      <w:pPr>
        <w:spacing w:before="120" w:after="120"/>
        <w:jc w:val="both"/>
        <w:rPr>
          <w:color w:val="0070C0"/>
          <w:highlight w:val="cyan"/>
        </w:rPr>
      </w:pPr>
      <w:r w:rsidRPr="00C15572">
        <w:rPr>
          <w:i/>
        </w:rPr>
        <w:t xml:space="preserve">По </w:t>
      </w:r>
      <w:proofErr w:type="spellStart"/>
      <w:r w:rsidRPr="00C15572">
        <w:rPr>
          <w:i/>
        </w:rPr>
        <w:t>извънтрудови</w:t>
      </w:r>
      <w:proofErr w:type="spellEnd"/>
      <w:r w:rsidRPr="00C15572">
        <w:rPr>
          <w:i/>
        </w:rPr>
        <w:t xml:space="preserve"> правоотношения (свободни професии, граждански договори, еднолични търговци и др.)</w:t>
      </w:r>
      <w:r w:rsidRPr="00C15572">
        <w:t xml:space="preserve"> приходите от данъка </w:t>
      </w:r>
      <w:r w:rsidRPr="00C15572">
        <w:rPr>
          <w:bCs/>
        </w:rPr>
        <w:t>към март 2024 г.</w:t>
      </w:r>
      <w:r w:rsidRPr="00C15572">
        <w:t xml:space="preserve"> са в размер на 68,7 млн. лв., което е 12,5 % от </w:t>
      </w:r>
      <w:r w:rsidRPr="00DD77A2">
        <w:t xml:space="preserve">годишния разчет. За отчетния период са постъпили с 10,8 млн. лв. по-малко приходи спрямо края на март 2023 </w:t>
      </w:r>
      <w:r w:rsidRPr="00A00D42">
        <w:t>година.</w:t>
      </w:r>
      <w:r w:rsidRPr="00A00D42">
        <w:rPr>
          <w:lang w:val="ru-RU"/>
        </w:rPr>
        <w:t xml:space="preserve"> </w:t>
      </w:r>
      <w:r w:rsidRPr="00A00D42">
        <w:t>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По-ниският размер на приходите от тази група данъци за отчетния период се дължи на ползването на данъчните облекчения за деца по чл. 22в и чл. 22г от ЗДДФЛ в увеличен размер при подаването на годишната данъчна декларация за доходите, придобити през 2023 година.</w:t>
      </w:r>
    </w:p>
    <w:p w:rsidR="00A3186F" w:rsidRPr="00BF6975" w:rsidRDefault="00A3186F" w:rsidP="00A3186F">
      <w:pPr>
        <w:spacing w:after="120"/>
        <w:jc w:val="both"/>
      </w:pPr>
      <w:r w:rsidRPr="00BF6975">
        <w:rPr>
          <w:i/>
        </w:rPr>
        <w:t xml:space="preserve">Окончателен данък на местните и чуждестранни физически лица по чл. 37 и 38 от ЗДДФЛ </w:t>
      </w:r>
      <w:r w:rsidRPr="00BF6975">
        <w:t xml:space="preserve">и </w:t>
      </w:r>
      <w:r w:rsidRPr="00BF6975">
        <w:rPr>
          <w:i/>
        </w:rPr>
        <w:t>данък върху дивидентите и ликвидационните дялове на физически лица</w:t>
      </w:r>
      <w:r w:rsidRPr="00BF6975">
        <w:t xml:space="preserve"> - постъпленията от тези данъци са в размер на 150,8 млн. лв., 22,3 % от годишния разчет. За отчетния период са постъпили с </w:t>
      </w:r>
      <w:r>
        <w:t>9,3</w:t>
      </w:r>
      <w:r w:rsidRPr="00BF6975">
        <w:t xml:space="preserve"> млн. лв. (6,5 %) повече приходи спрямо същия период на предходната година. </w:t>
      </w:r>
      <w:r w:rsidRPr="00A27539">
        <w:t xml:space="preserve">Ръстът на тези приходи се дължи, както на отчетените финансови резултати от нефинансовите предприятия през 2023 г., така и от предприетите законодателни и контролни мерки. Влияние за по-високото изпълнение на приходите от данък върху дивидентите и ликвидационните дялове на местни и чуждестранни физически и юридически лица има предприетата комуникационна кампания и контролни действия от НАП за проверка на касови наличности. Контролните действия са насочени приоритетно към лица, за които има информация за висока касова наличност (над 100 хил. лв.), и при които има риск от наличие на сделки, сключени при условия, водещи до отклонение от данъчно облагане, наличието на скрито разпределение на печалбата по смисъла на § 1, т. 5 от ДР на ЗКПО. </w:t>
      </w:r>
      <w:r w:rsidR="0003798B" w:rsidRPr="00A27539">
        <w:t>Скритото разпределение на печалбата се третира като дивидент, за който се внася 5 % данък върху разпределените суми. От 1.09.2023</w:t>
      </w:r>
      <w:r w:rsidR="0003798B" w:rsidRPr="00A27539">
        <w:rPr>
          <w:lang w:val="en-US"/>
        </w:rPr>
        <w:t> </w:t>
      </w:r>
      <w:r w:rsidR="0003798B" w:rsidRPr="00A27539">
        <w:t>г. в Закона за ограничаване на плащанията</w:t>
      </w:r>
      <w:r w:rsidR="0003798B">
        <w:t xml:space="preserve"> в брой</w:t>
      </w:r>
      <w:r w:rsidR="0003798B" w:rsidRPr="00A27539">
        <w:t xml:space="preserve"> е приета разпоредба плащанията на територията на страната на дивиденти, със стойност равна на или надвишаваща 1000 лв., да се извършват само чрез превод или внасяне по платежна сметка, в резултат на което постъпленията от данъка върху дивидентите нарастват допълнително</w:t>
      </w:r>
      <w:r w:rsidRPr="00A27539">
        <w:t>.</w:t>
      </w:r>
    </w:p>
    <w:p w:rsidR="00A3186F" w:rsidRPr="00255D5C" w:rsidRDefault="00A3186F" w:rsidP="00A3186F">
      <w:pPr>
        <w:numPr>
          <w:ilvl w:val="0"/>
          <w:numId w:val="4"/>
        </w:numPr>
        <w:tabs>
          <w:tab w:val="clear" w:pos="1440"/>
          <w:tab w:val="num" w:pos="540"/>
        </w:tabs>
        <w:ind w:left="0" w:firstLine="180"/>
        <w:jc w:val="both"/>
        <w:rPr>
          <w:b/>
          <w:bCs/>
        </w:rPr>
      </w:pPr>
      <w:r w:rsidRPr="00255D5C">
        <w:rPr>
          <w:b/>
          <w:bCs/>
        </w:rPr>
        <w:t>Косвени данъци</w:t>
      </w:r>
    </w:p>
    <w:p w:rsidR="00A3186F" w:rsidRPr="00F74EE5" w:rsidRDefault="00A3186F" w:rsidP="00A3186F">
      <w:pPr>
        <w:jc w:val="both"/>
        <w:rPr>
          <w:b/>
          <w:bCs/>
          <w:color w:val="0070C0"/>
          <w:sz w:val="4"/>
          <w:szCs w:val="4"/>
        </w:rPr>
      </w:pPr>
    </w:p>
    <w:p w:rsidR="00A3186F" w:rsidRPr="007528E4" w:rsidRDefault="00A3186F" w:rsidP="00A3186F">
      <w:pPr>
        <w:spacing w:after="120"/>
        <w:jc w:val="both"/>
      </w:pPr>
      <w:r w:rsidRPr="00255D5C">
        <w:t xml:space="preserve">Приходите от </w:t>
      </w:r>
      <w:r w:rsidRPr="00255D5C">
        <w:rPr>
          <w:b/>
        </w:rPr>
        <w:t>косвени данъци</w:t>
      </w:r>
      <w:r w:rsidRPr="00255D5C">
        <w:t xml:space="preserve"> </w:t>
      </w:r>
      <w:r w:rsidRPr="00255D5C">
        <w:rPr>
          <w:bCs/>
        </w:rPr>
        <w:t>към март 2024 г.</w:t>
      </w:r>
      <w:r w:rsidRPr="00255D5C">
        <w:t xml:space="preserve"> са в размер на</w:t>
      </w:r>
      <w:r w:rsidRPr="00255D5C">
        <w:rPr>
          <w:b/>
        </w:rPr>
        <w:t xml:space="preserve"> 5 637,5 млн. лв</w:t>
      </w:r>
      <w:r w:rsidRPr="00255D5C">
        <w:t xml:space="preserve">. или 22,1 % от годишния разчет. </w:t>
      </w:r>
      <w:r w:rsidRPr="009C488A">
        <w:t xml:space="preserve">Сравнени с данните за същия период на предходната година постъпленията </w:t>
      </w:r>
      <w:r w:rsidRPr="009C488A">
        <w:rPr>
          <w:bCs/>
        </w:rPr>
        <w:t>намаляват</w:t>
      </w:r>
      <w:r w:rsidRPr="009C488A">
        <w:t xml:space="preserve"> с 59,5 млн. лв. </w:t>
      </w:r>
      <w:r w:rsidRPr="009C488A">
        <w:rPr>
          <w:lang w:val="ru-RU"/>
        </w:rPr>
        <w:t>(</w:t>
      </w:r>
      <w:r w:rsidRPr="009C488A">
        <w:t>1,</w:t>
      </w:r>
      <w:r w:rsidRPr="007528E4">
        <w:t>0 %</w:t>
      </w:r>
      <w:r w:rsidRPr="007528E4">
        <w:rPr>
          <w:lang w:val="ru-RU"/>
        </w:rPr>
        <w:t>). Т</w:t>
      </w:r>
      <w:r w:rsidR="007263D3">
        <w:rPr>
          <w:lang w:val="ru-RU"/>
        </w:rPr>
        <w:t>о</w:t>
      </w:r>
      <w:r w:rsidRPr="007528E4">
        <w:rPr>
          <w:lang w:val="ru-RU"/>
        </w:rPr>
        <w:t xml:space="preserve">зи спад се дължи основно на по-ниските приходи от акцизи - </w:t>
      </w:r>
      <w:r w:rsidRPr="007528E4">
        <w:t xml:space="preserve">спад от 192,8 млн. лв., 11,0 %. </w:t>
      </w:r>
      <w:r w:rsidRPr="00440002">
        <w:t>Към месец март 2024 г. при приходите от акциз за тютюневи изделия се отчита спад, като следва да се има предвид, че от 01.03.2023 г. и от 01.01.2024 г. са влезли в сила нови, по-високи акцизни ставки на тютюневите изделия, което обуславя отсъствието на сравнима база за първото тримесечие на годината.</w:t>
      </w:r>
      <w:r w:rsidR="00892422" w:rsidRPr="00440002">
        <w:t xml:space="preserve"> Очаква се забавянето при постъпленията от акцизи да бъде компенсирано през второто тримесечие на</w:t>
      </w:r>
      <w:r w:rsidR="00892422">
        <w:t xml:space="preserve"> 2024 г.</w:t>
      </w:r>
    </w:p>
    <w:p w:rsidR="00A3186F" w:rsidRPr="00F74EE5" w:rsidRDefault="00A3186F" w:rsidP="00A3186F">
      <w:pPr>
        <w:spacing w:after="120"/>
        <w:jc w:val="both"/>
        <w:rPr>
          <w:color w:val="0070C0"/>
        </w:rPr>
      </w:pPr>
      <w:r w:rsidRPr="00A56B79">
        <w:rPr>
          <w:b/>
        </w:rPr>
        <w:t>Приходите от ДДС</w:t>
      </w:r>
      <w:r w:rsidRPr="00A56B79">
        <w:t xml:space="preserve"> са в размер на </w:t>
      </w:r>
      <w:r w:rsidRPr="00A56B79">
        <w:rPr>
          <w:b/>
        </w:rPr>
        <w:t>4 002,7</w:t>
      </w:r>
      <w:r w:rsidRPr="00A56B79">
        <w:t xml:space="preserve"> </w:t>
      </w:r>
      <w:r w:rsidRPr="00A56B79">
        <w:rPr>
          <w:b/>
        </w:rPr>
        <w:t xml:space="preserve">млн. лв., </w:t>
      </w:r>
      <w:r w:rsidRPr="00A56B79">
        <w:t xml:space="preserve">което представлява 21,5 % от планираните със ЗДБРБ за 2024 година. </w:t>
      </w:r>
      <w:r w:rsidRPr="006F06B4">
        <w:t xml:space="preserve">Съпоставени с края на март 2023 г., приходите от ДДС нарастват със 149,9 млн. лв. </w:t>
      </w:r>
      <w:r w:rsidRPr="006F06B4">
        <w:rPr>
          <w:lang w:val="ru-RU"/>
        </w:rPr>
        <w:t>(</w:t>
      </w:r>
      <w:r w:rsidRPr="006F06B4">
        <w:t>3,9 %</w:t>
      </w:r>
      <w:r w:rsidRPr="006F06B4">
        <w:rPr>
          <w:lang w:val="ru-RU"/>
        </w:rPr>
        <w:t>)</w:t>
      </w:r>
      <w:r w:rsidRPr="006F06B4">
        <w:t xml:space="preserve">, в резултат на по-високите приходи от ДДС от сделки в страната и </w:t>
      </w:r>
      <w:proofErr w:type="spellStart"/>
      <w:r w:rsidRPr="006F06B4">
        <w:t>вътреобщностни</w:t>
      </w:r>
      <w:proofErr w:type="spellEnd"/>
      <w:r w:rsidRPr="006F06B4">
        <w:t xml:space="preserve"> придобивания (ВОП)</w:t>
      </w:r>
      <w:r w:rsidR="002C7F07">
        <w:t>, докато постъпленията от ДДС от внос са по-ниски от отчетените за същия период на предходната година</w:t>
      </w:r>
      <w:r w:rsidRPr="006F06B4">
        <w:t>.</w:t>
      </w:r>
      <w:r w:rsidRPr="00B92DD1">
        <w:t xml:space="preserve">  </w:t>
      </w:r>
    </w:p>
    <w:p w:rsidR="00A3186F" w:rsidRPr="00F74EE5" w:rsidRDefault="00A3186F" w:rsidP="00A3186F">
      <w:pPr>
        <w:spacing w:before="120"/>
        <w:ind w:right="-29"/>
        <w:jc w:val="both"/>
        <w:rPr>
          <w:color w:val="0070C0"/>
        </w:rPr>
      </w:pPr>
      <w:r w:rsidRPr="00112135">
        <w:t xml:space="preserve">Нетният размер на приходите от </w:t>
      </w:r>
      <w:r w:rsidRPr="00112135">
        <w:rPr>
          <w:i/>
        </w:rPr>
        <w:t>ДДС от внос</w:t>
      </w:r>
      <w:r w:rsidRPr="00112135">
        <w:t xml:space="preserve"> </w:t>
      </w:r>
      <w:r w:rsidRPr="00112135">
        <w:rPr>
          <w:bCs/>
        </w:rPr>
        <w:t>към март 2024 г.</w:t>
      </w:r>
      <w:r w:rsidRPr="00112135">
        <w:t xml:space="preserve"> е 1 410,6 млн. лв. и се отчита спад със 7,0 % (106,9 млн. лв.) спрямо данните към март </w:t>
      </w:r>
      <w:r w:rsidR="00E336AB">
        <w:t xml:space="preserve">на </w:t>
      </w:r>
      <w:r w:rsidRPr="00112135">
        <w:t xml:space="preserve">предходната година, </w:t>
      </w:r>
      <w:r w:rsidRPr="00B74887">
        <w:t>като намалението е най-значително при внос на транспортно оборудване и промишлени доставки</w:t>
      </w:r>
      <w:r w:rsidRPr="00F74EE5">
        <w:rPr>
          <w:color w:val="0070C0"/>
        </w:rPr>
        <w:t xml:space="preserve">. </w:t>
      </w:r>
      <w:r w:rsidRPr="009115C7">
        <w:rPr>
          <w:shd w:val="clear" w:color="auto" w:fill="FFFFFF"/>
        </w:rPr>
        <w:t>Разглеждайки</w:t>
      </w:r>
      <w:r w:rsidRPr="002624DE">
        <w:t xml:space="preserve"> декларирания ДДС при внос по групи стоки, съобразно Класификатора на широките икономически категории (</w:t>
      </w:r>
      <w:r w:rsidRPr="002624DE">
        <w:rPr>
          <w:lang w:val="en-US"/>
        </w:rPr>
        <w:t>BEC</w:t>
      </w:r>
      <w:r w:rsidRPr="002624DE">
        <w:t xml:space="preserve">), </w:t>
      </w:r>
      <w:r>
        <w:t>към</w:t>
      </w:r>
      <w:r w:rsidRPr="002624DE">
        <w:t xml:space="preserve"> </w:t>
      </w:r>
      <w:r>
        <w:t>март</w:t>
      </w:r>
      <w:r w:rsidRPr="002624DE">
        <w:t xml:space="preserve"> 2024 г. спрямо същия период на предходната година се наблюдава спад </w:t>
      </w:r>
      <w:r>
        <w:t xml:space="preserve">при </w:t>
      </w:r>
      <w:r w:rsidRPr="00526BA1">
        <w:t>промишлените доставки, инвестиционните стоки и транспортното оборудване</w:t>
      </w:r>
      <w:r>
        <w:t>. Повишение се отчита при</w:t>
      </w:r>
      <w:r w:rsidRPr="002624DE">
        <w:t xml:space="preserve"> група</w:t>
      </w:r>
      <w:r>
        <w:t>та</w:t>
      </w:r>
      <w:r w:rsidRPr="002624DE">
        <w:t xml:space="preserve"> „Горива и смазочни материали“, при която е отчетен ръст от </w:t>
      </w:r>
      <w:r>
        <w:t>38,7</w:t>
      </w:r>
      <w:r w:rsidRPr="002624DE">
        <w:t xml:space="preserve"> %</w:t>
      </w:r>
      <w:r w:rsidRPr="00F74EE5">
        <w:rPr>
          <w:color w:val="0070C0"/>
        </w:rPr>
        <w:t xml:space="preserve">. </w:t>
      </w:r>
      <w:r w:rsidRPr="002C7C0E">
        <w:t xml:space="preserve">Върху постъпленията от ДДС от внос влияние оказва възможността </w:t>
      </w:r>
      <w:r w:rsidRPr="002C7C0E">
        <w:rPr>
          <w:iCs/>
        </w:rPr>
        <w:t xml:space="preserve">за </w:t>
      </w:r>
      <w:r w:rsidRPr="009567CB">
        <w:rPr>
          <w:iCs/>
        </w:rPr>
        <w:t>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9567CB">
        <w:rPr>
          <w:bCs/>
        </w:rPr>
        <w:t xml:space="preserve"> </w:t>
      </w:r>
      <w:r w:rsidRPr="009567CB">
        <w:t xml:space="preserve">Ефектът от прилагането на този режим към края на месец март 2024 г. </w:t>
      </w:r>
      <w:r w:rsidRPr="009567CB">
        <w:rPr>
          <w:bCs/>
        </w:rPr>
        <w:t xml:space="preserve">е </w:t>
      </w:r>
      <w:proofErr w:type="spellStart"/>
      <w:r w:rsidRPr="009567CB">
        <w:rPr>
          <w:bCs/>
        </w:rPr>
        <w:t>неначислен</w:t>
      </w:r>
      <w:proofErr w:type="spellEnd"/>
      <w:r w:rsidRPr="009567CB">
        <w:rPr>
          <w:bCs/>
        </w:rPr>
        <w:t xml:space="preserve"> ДДС при внос в размер </w:t>
      </w:r>
      <w:r w:rsidRPr="002624DE">
        <w:rPr>
          <w:bCs/>
        </w:rPr>
        <w:t xml:space="preserve">на </w:t>
      </w:r>
      <w:r w:rsidRPr="006B2EA7">
        <w:rPr>
          <w:rFonts w:eastAsia="Calibri"/>
          <w:color w:val="000000"/>
        </w:rPr>
        <w:t>339</w:t>
      </w:r>
      <w:r w:rsidRPr="002624DE">
        <w:rPr>
          <w:bCs/>
        </w:rPr>
        <w:t>,</w:t>
      </w:r>
      <w:r>
        <w:rPr>
          <w:bCs/>
        </w:rPr>
        <w:t>0</w:t>
      </w:r>
      <w:r w:rsidRPr="002624DE">
        <w:rPr>
          <w:bCs/>
        </w:rPr>
        <w:t xml:space="preserve"> млн. лв., което е с </w:t>
      </w:r>
      <w:r w:rsidRPr="006B2EA7">
        <w:rPr>
          <w:rFonts w:eastAsia="Calibri"/>
          <w:color w:val="000000"/>
        </w:rPr>
        <w:t>60</w:t>
      </w:r>
      <w:r>
        <w:rPr>
          <w:rFonts w:eastAsia="Calibri"/>
          <w:color w:val="000000"/>
        </w:rPr>
        <w:t>,</w:t>
      </w:r>
      <w:r w:rsidRPr="006B2EA7">
        <w:rPr>
          <w:rFonts w:eastAsia="Calibri"/>
          <w:color w:val="000000"/>
        </w:rPr>
        <w:t>9</w:t>
      </w:r>
      <w:r w:rsidRPr="002624DE">
        <w:rPr>
          <w:bCs/>
        </w:rPr>
        <w:t xml:space="preserve"> млн. лв. по</w:t>
      </w:r>
      <w:r w:rsidRPr="00862C18">
        <w:rPr>
          <w:bCs/>
        </w:rPr>
        <w:t>-</w:t>
      </w:r>
      <w:r>
        <w:rPr>
          <w:bCs/>
        </w:rPr>
        <w:t xml:space="preserve">малко </w:t>
      </w:r>
      <w:r w:rsidRPr="002624DE">
        <w:rPr>
          <w:bCs/>
        </w:rPr>
        <w:t>спр</w:t>
      </w:r>
      <w:r>
        <w:rPr>
          <w:bCs/>
        </w:rPr>
        <w:t>ямо 2023 г. и е регистриран спад</w:t>
      </w:r>
      <w:r w:rsidRPr="002624DE">
        <w:rPr>
          <w:bCs/>
        </w:rPr>
        <w:t xml:space="preserve"> от </w:t>
      </w:r>
      <w:r>
        <w:rPr>
          <w:bCs/>
        </w:rPr>
        <w:t>15,2 </w:t>
      </w:r>
      <w:r w:rsidRPr="002624DE">
        <w:rPr>
          <w:bCs/>
        </w:rPr>
        <w:t>%. Стоките с най-значителен дял са: р</w:t>
      </w:r>
      <w:r w:rsidRPr="002624DE">
        <w:t xml:space="preserve">уди, шлаки и </w:t>
      </w:r>
      <w:proofErr w:type="spellStart"/>
      <w:r w:rsidRPr="002624DE">
        <w:t>пепели</w:t>
      </w:r>
      <w:proofErr w:type="spellEnd"/>
      <w:r w:rsidRPr="002624DE">
        <w:t xml:space="preserve"> </w:t>
      </w:r>
      <w:r w:rsidRPr="002624DE">
        <w:rPr>
          <w:bCs/>
        </w:rPr>
        <w:t xml:space="preserve">– </w:t>
      </w:r>
      <w:r>
        <w:rPr>
          <w:rFonts w:eastAsia="Calibri"/>
          <w:color w:val="000000"/>
        </w:rPr>
        <w:t>199,</w:t>
      </w:r>
      <w:r w:rsidRPr="006B2EA7">
        <w:rPr>
          <w:rFonts w:eastAsia="Calibri"/>
          <w:color w:val="000000"/>
        </w:rPr>
        <w:t>2</w:t>
      </w:r>
      <w:r w:rsidRPr="002624DE">
        <w:rPr>
          <w:bCs/>
        </w:rPr>
        <w:t xml:space="preserve"> млн. лв. (</w:t>
      </w:r>
      <w:r>
        <w:rPr>
          <w:bCs/>
        </w:rPr>
        <w:t>намаление</w:t>
      </w:r>
      <w:r w:rsidRPr="002624DE">
        <w:rPr>
          <w:bCs/>
        </w:rPr>
        <w:t xml:space="preserve"> в сравнение с месец </w:t>
      </w:r>
      <w:r>
        <w:rPr>
          <w:bCs/>
        </w:rPr>
        <w:t xml:space="preserve">март </w:t>
      </w:r>
      <w:r w:rsidRPr="002624DE">
        <w:rPr>
          <w:bCs/>
        </w:rPr>
        <w:t xml:space="preserve">2023 г. от </w:t>
      </w:r>
      <w:r w:rsidRPr="006B2EA7">
        <w:rPr>
          <w:rFonts w:eastAsia="Calibri"/>
          <w:color w:val="000000"/>
        </w:rPr>
        <w:t>47</w:t>
      </w:r>
      <w:r>
        <w:rPr>
          <w:rFonts w:eastAsia="Calibri"/>
          <w:color w:val="000000"/>
        </w:rPr>
        <w:t>,</w:t>
      </w:r>
      <w:r w:rsidRPr="006B2EA7">
        <w:rPr>
          <w:rFonts w:eastAsia="Calibri"/>
          <w:color w:val="000000"/>
        </w:rPr>
        <w:t>4</w:t>
      </w:r>
      <w:r w:rsidRPr="002624DE">
        <w:rPr>
          <w:bCs/>
        </w:rPr>
        <w:t xml:space="preserve"> млн. лв.), </w:t>
      </w:r>
      <w:r w:rsidRPr="00BA6231">
        <w:rPr>
          <w:bCs/>
        </w:rPr>
        <w:t xml:space="preserve">мед и изделия от мед </w:t>
      </w:r>
      <w:r w:rsidRPr="002624DE">
        <w:rPr>
          <w:bCs/>
        </w:rPr>
        <w:t xml:space="preserve">– </w:t>
      </w:r>
      <w:r w:rsidRPr="006B2EA7">
        <w:rPr>
          <w:rFonts w:eastAsia="Calibri"/>
          <w:color w:val="000000"/>
        </w:rPr>
        <w:t>56</w:t>
      </w:r>
      <w:r>
        <w:rPr>
          <w:rFonts w:eastAsia="Calibri"/>
          <w:color w:val="000000"/>
        </w:rPr>
        <w:t>,</w:t>
      </w:r>
      <w:r w:rsidRPr="006B2EA7">
        <w:rPr>
          <w:rFonts w:eastAsia="Calibri"/>
          <w:color w:val="000000"/>
        </w:rPr>
        <w:t>5</w:t>
      </w:r>
      <w:r w:rsidRPr="002624DE">
        <w:rPr>
          <w:bCs/>
        </w:rPr>
        <w:t xml:space="preserve"> млн. лв. (</w:t>
      </w:r>
      <w:r>
        <w:rPr>
          <w:bCs/>
        </w:rPr>
        <w:t>намаление</w:t>
      </w:r>
      <w:r w:rsidRPr="002624DE">
        <w:rPr>
          <w:bCs/>
        </w:rPr>
        <w:t xml:space="preserve"> с </w:t>
      </w:r>
      <w:r>
        <w:rPr>
          <w:rFonts w:eastAsia="Calibri"/>
          <w:color w:val="000000"/>
        </w:rPr>
        <w:t>11,</w:t>
      </w:r>
      <w:r w:rsidRPr="006B2EA7">
        <w:rPr>
          <w:rFonts w:eastAsia="Calibri"/>
          <w:color w:val="000000"/>
        </w:rPr>
        <w:t>4</w:t>
      </w:r>
      <w:r>
        <w:rPr>
          <w:bCs/>
        </w:rPr>
        <w:t> </w:t>
      </w:r>
      <w:r w:rsidRPr="002624DE">
        <w:rPr>
          <w:bCs/>
        </w:rPr>
        <w:t xml:space="preserve">млн. лв.) и </w:t>
      </w:r>
      <w:r w:rsidRPr="00BA6231">
        <w:t>чугун, желязо и стомана</w:t>
      </w:r>
      <w:r w:rsidRPr="002624DE">
        <w:t xml:space="preserve"> – </w:t>
      </w:r>
      <w:r>
        <w:t>42,2</w:t>
      </w:r>
      <w:r w:rsidRPr="002624DE">
        <w:t xml:space="preserve"> млн. лв. (</w:t>
      </w:r>
      <w:r>
        <w:t>увеличение</w:t>
      </w:r>
      <w:r w:rsidRPr="002624DE">
        <w:t xml:space="preserve"> с </w:t>
      </w:r>
      <w:r>
        <w:t>13,0</w:t>
      </w:r>
      <w:r w:rsidRPr="002624DE">
        <w:t xml:space="preserve"> млн. лева). Изброените три групи стоки формират </w:t>
      </w:r>
      <w:r w:rsidRPr="006B2EA7">
        <w:rPr>
          <w:rFonts w:eastAsia="Calibri"/>
          <w:color w:val="000000"/>
        </w:rPr>
        <w:t>87</w:t>
      </w:r>
      <w:r>
        <w:rPr>
          <w:rFonts w:eastAsia="Calibri"/>
          <w:color w:val="000000"/>
        </w:rPr>
        <w:t>,</w:t>
      </w:r>
      <w:r w:rsidRPr="006B2EA7">
        <w:rPr>
          <w:rFonts w:eastAsia="Calibri"/>
          <w:color w:val="000000"/>
        </w:rPr>
        <w:t>9</w:t>
      </w:r>
      <w:r w:rsidRPr="002624DE">
        <w:t xml:space="preserve"> % от </w:t>
      </w:r>
      <w:proofErr w:type="spellStart"/>
      <w:r w:rsidRPr="002624DE">
        <w:t>неначисления</w:t>
      </w:r>
      <w:proofErr w:type="spellEnd"/>
      <w:r w:rsidRPr="002624DE">
        <w:t xml:space="preserve"> ДДС</w:t>
      </w:r>
      <w:r>
        <w:t xml:space="preserve"> при внос</w:t>
      </w:r>
      <w:r w:rsidRPr="002624DE">
        <w:t xml:space="preserve"> </w:t>
      </w:r>
      <w:r>
        <w:t>за първите три месеца на</w:t>
      </w:r>
      <w:r w:rsidRPr="002624DE">
        <w:t xml:space="preserve"> 2024</w:t>
      </w:r>
      <w:r>
        <w:t> </w:t>
      </w:r>
      <w:r w:rsidRPr="002624DE">
        <w:t>година</w:t>
      </w:r>
      <w:r w:rsidRPr="00F74EE5">
        <w:rPr>
          <w:bCs/>
          <w:color w:val="0070C0"/>
        </w:rPr>
        <w:t>.</w:t>
      </w:r>
      <w:r w:rsidRPr="00F74EE5">
        <w:rPr>
          <w:color w:val="0070C0"/>
        </w:rPr>
        <w:t xml:space="preserve"> </w:t>
      </w:r>
    </w:p>
    <w:p w:rsidR="00A3186F" w:rsidRPr="003D2443" w:rsidRDefault="00A3186F" w:rsidP="00A3186F">
      <w:pPr>
        <w:spacing w:before="120"/>
        <w:jc w:val="both"/>
        <w:rPr>
          <w:bCs/>
        </w:rPr>
      </w:pPr>
      <w:r w:rsidRPr="003D2443">
        <w:t>Постъпленията от</w:t>
      </w:r>
      <w:r w:rsidRPr="003D2443">
        <w:rPr>
          <w:i/>
        </w:rPr>
        <w:t xml:space="preserve"> ДДС при сделки в страната и ВОП (нето)</w:t>
      </w:r>
      <w:r w:rsidRPr="003D2443">
        <w:t xml:space="preserve"> </w:t>
      </w:r>
      <w:r w:rsidRPr="003D2443">
        <w:rPr>
          <w:bCs/>
        </w:rPr>
        <w:t>към март 2024 г.</w:t>
      </w:r>
      <w:r w:rsidRPr="003D2443">
        <w:t xml:space="preserve"> възлизат на 2 592,2 млн. лв. Сравнени с данните за същия период на предходната година постъпленията </w:t>
      </w:r>
      <w:r w:rsidRPr="003D2443">
        <w:rPr>
          <w:bCs/>
        </w:rPr>
        <w:t xml:space="preserve">нарастват с 11,0 % </w:t>
      </w:r>
      <w:r w:rsidRPr="003D2443">
        <w:rPr>
          <w:bCs/>
          <w:lang w:val="ru-RU"/>
        </w:rPr>
        <w:t>(256,8 млн. лв.)</w:t>
      </w:r>
      <w:r w:rsidRPr="003D2443">
        <w:rPr>
          <w:bCs/>
        </w:rPr>
        <w:t xml:space="preserve">. </w:t>
      </w:r>
    </w:p>
    <w:p w:rsidR="00A3186F" w:rsidRPr="00F74EE5" w:rsidRDefault="00A3186F" w:rsidP="00A3186F">
      <w:pPr>
        <w:spacing w:before="120"/>
        <w:jc w:val="both"/>
        <w:rPr>
          <w:bCs/>
          <w:color w:val="0070C0"/>
        </w:rPr>
      </w:pPr>
      <w:r w:rsidRPr="009F7977">
        <w:t>Ефективно внесеният ДДС по сметките на НАП</w:t>
      </w:r>
      <w:r w:rsidRPr="009F7977">
        <w:rPr>
          <w:i/>
        </w:rPr>
        <w:t xml:space="preserve"> </w:t>
      </w:r>
      <w:r w:rsidRPr="009F7977">
        <w:t>се</w:t>
      </w:r>
      <w:r w:rsidRPr="009F7977">
        <w:rPr>
          <w:i/>
        </w:rPr>
        <w:t xml:space="preserve"> </w:t>
      </w:r>
      <w:r w:rsidRPr="009F7977">
        <w:t xml:space="preserve">формира от данък по справки-декларации от сделки в страната и ВОП и допълнително внесени суми, разкрити с данъчно-ревизионни актове при ревизии. </w:t>
      </w:r>
      <w:r w:rsidRPr="00B84BF2">
        <w:t xml:space="preserve">Тези постъпления са </w:t>
      </w:r>
      <w:r w:rsidRPr="00862C18">
        <w:t xml:space="preserve">в размер на </w:t>
      </w:r>
      <w:r>
        <w:t>5 426,4</w:t>
      </w:r>
      <w:r w:rsidRPr="002624DE">
        <w:t xml:space="preserve"> млн. лв., което представлява ръст от </w:t>
      </w:r>
      <w:r>
        <w:t>5,0</w:t>
      </w:r>
      <w:r w:rsidRPr="002624DE">
        <w:t xml:space="preserve"> % спрямо </w:t>
      </w:r>
      <w:r>
        <w:t>март</w:t>
      </w:r>
      <w:r w:rsidRPr="002624DE">
        <w:t xml:space="preserve"> 2023 година. От тях от рев</w:t>
      </w:r>
      <w:r>
        <w:t>изионни актове са постъпили 22</w:t>
      </w:r>
      <w:r w:rsidRPr="002624DE">
        <w:t>,</w:t>
      </w:r>
      <w:r>
        <w:t>3</w:t>
      </w:r>
      <w:r w:rsidRPr="002624DE">
        <w:t xml:space="preserve"> млн. лв. или с </w:t>
      </w:r>
      <w:r>
        <w:t>95,0</w:t>
      </w:r>
      <w:r w:rsidRPr="002624DE">
        <w:t xml:space="preserve"> млн. лв. по-малко от миналата година</w:t>
      </w:r>
      <w:r w:rsidRPr="00F74EE5">
        <w:rPr>
          <w:color w:val="0070C0"/>
        </w:rPr>
        <w:t xml:space="preserve">. </w:t>
      </w:r>
      <w:r w:rsidRPr="002624DE">
        <w:t xml:space="preserve">Декларираният ДДС за възстановяване зависи от размера на износа и извършените инвестиции. Регистрираните лица по ДДС упражняват право на данъчен кредит чрез приспадане по реда на чл. 92, ал. 1 от ЗДДС или чрез ефективно възстановяване от данъчната администрация след определения срок. </w:t>
      </w:r>
      <w:r w:rsidRPr="002624DE">
        <w:rPr>
          <w:i/>
        </w:rPr>
        <w:t>Приспаднатият данък</w:t>
      </w:r>
      <w:r w:rsidRPr="002624DE">
        <w:t xml:space="preserve"> </w:t>
      </w:r>
      <w:r>
        <w:t>към</w:t>
      </w:r>
      <w:r w:rsidRPr="002624DE">
        <w:t xml:space="preserve"> </w:t>
      </w:r>
      <w:r>
        <w:t>март</w:t>
      </w:r>
      <w:r w:rsidRPr="002624DE">
        <w:t xml:space="preserve"> 202</w:t>
      </w:r>
      <w:r w:rsidRPr="00862C18">
        <w:t>4</w:t>
      </w:r>
      <w:r w:rsidRPr="002624DE">
        <w:t xml:space="preserve"> г. е </w:t>
      </w:r>
      <w:r w:rsidRPr="00897A3E">
        <w:t>253,8</w:t>
      </w:r>
      <w:r w:rsidR="00CB4730">
        <w:t> </w:t>
      </w:r>
      <w:r w:rsidRPr="002624DE">
        <w:t xml:space="preserve">млн. лв. и е с </w:t>
      </w:r>
      <w:r>
        <w:t>55,1</w:t>
      </w:r>
      <w:r w:rsidRPr="002624DE">
        <w:t xml:space="preserve"> млн. лв. </w:t>
      </w:r>
      <w:r>
        <w:t>по-малко</w:t>
      </w:r>
      <w:r w:rsidRPr="002624DE">
        <w:t xml:space="preserve"> от 2023 година (</w:t>
      </w:r>
      <w:r w:rsidRPr="00862C18">
        <w:t>17,</w:t>
      </w:r>
      <w:r>
        <w:t>9</w:t>
      </w:r>
      <w:r w:rsidRPr="002624DE">
        <w:t xml:space="preserve"> %</w:t>
      </w:r>
      <w:r>
        <w:t xml:space="preserve"> спад</w:t>
      </w:r>
      <w:r w:rsidRPr="002624DE">
        <w:t xml:space="preserve">). </w:t>
      </w:r>
      <w:r w:rsidRPr="002624DE">
        <w:rPr>
          <w:i/>
        </w:rPr>
        <w:t>Възстановеният данък</w:t>
      </w:r>
      <w:r w:rsidRPr="002624DE">
        <w:t xml:space="preserve"> се увеличава и е в размер на </w:t>
      </w:r>
      <w:r w:rsidRPr="00862C18">
        <w:t xml:space="preserve">2 </w:t>
      </w:r>
      <w:r>
        <w:t>834</w:t>
      </w:r>
      <w:r w:rsidRPr="00862C18">
        <w:t>,</w:t>
      </w:r>
      <w:r>
        <w:t>3</w:t>
      </w:r>
      <w:r w:rsidRPr="002624DE">
        <w:t xml:space="preserve"> млн. лв., което е с </w:t>
      </w:r>
      <w:r>
        <w:t>3,4</w:t>
      </w:r>
      <w:r w:rsidRPr="002624DE">
        <w:t xml:space="preserve"> млн. лв. </w:t>
      </w:r>
      <w:r>
        <w:t>на</w:t>
      </w:r>
      <w:r w:rsidRPr="002624DE">
        <w:t xml:space="preserve">д възстановените суми </w:t>
      </w:r>
      <w:r w:rsidRPr="00612236">
        <w:t>към март миналата година. Дължимите суми, подлежащи на възстановяване</w:t>
      </w:r>
      <w:r w:rsidRPr="00612236" w:rsidDel="0052072D">
        <w:rPr>
          <w:bCs/>
        </w:rPr>
        <w:t xml:space="preserve"> </w:t>
      </w:r>
      <w:r w:rsidRPr="00612236">
        <w:rPr>
          <w:bCs/>
        </w:rPr>
        <w:t xml:space="preserve">към 31.03.2024 г. са в размер </w:t>
      </w:r>
      <w:r w:rsidRPr="00BD712F">
        <w:rPr>
          <w:bCs/>
        </w:rPr>
        <w:t xml:space="preserve">на </w:t>
      </w:r>
      <w:r w:rsidR="0035551E" w:rsidRPr="00BD712F">
        <w:rPr>
          <w:bCs/>
        </w:rPr>
        <w:t>6</w:t>
      </w:r>
      <w:r w:rsidRPr="00BD712F">
        <w:rPr>
          <w:bCs/>
        </w:rPr>
        <w:t>5,4</w:t>
      </w:r>
      <w:r w:rsidRPr="00612236">
        <w:rPr>
          <w:bCs/>
        </w:rPr>
        <w:t> млн. лева.</w:t>
      </w:r>
    </w:p>
    <w:p w:rsidR="00A3186F" w:rsidRPr="00F74EE5" w:rsidRDefault="00A3186F" w:rsidP="00A3186F">
      <w:pPr>
        <w:spacing w:before="120" w:after="120"/>
        <w:jc w:val="both"/>
        <w:rPr>
          <w:color w:val="0070C0"/>
        </w:rPr>
      </w:pPr>
      <w:r w:rsidRPr="009F7977">
        <w:rPr>
          <w:b/>
        </w:rPr>
        <w:t xml:space="preserve">Приходите от акцизи (нето) </w:t>
      </w:r>
      <w:r w:rsidRPr="009F7977">
        <w:t xml:space="preserve">от внос, вътрешно производство и въведени в страната от други държави-членки на ЕС акцизни стоки са в размер на </w:t>
      </w:r>
      <w:r w:rsidRPr="009F7977">
        <w:rPr>
          <w:b/>
        </w:rPr>
        <w:t>1 553,4 млн. лв</w:t>
      </w:r>
      <w:r w:rsidRPr="009F7977">
        <w:t xml:space="preserve">., което е 24,1 % от планираните със ЗДБРБ за 2024 г. Съпоставени с март 2023 г. </w:t>
      </w:r>
      <w:r>
        <w:t>постъпленията</w:t>
      </w:r>
      <w:r w:rsidRPr="009F7977">
        <w:t xml:space="preserve"> от акцизи </w:t>
      </w:r>
      <w:r w:rsidRPr="00FF5BC1">
        <w:t>намаляват номинално със 192,8 млн. лв. (11,0 %)</w:t>
      </w:r>
      <w:r w:rsidR="005B6999">
        <w:t>, като се очаква това изоставане да бъде компенсирано през второто тримесечие на 2024 г</w:t>
      </w:r>
      <w:r w:rsidRPr="00FF5BC1">
        <w:t>.</w:t>
      </w:r>
      <w:r w:rsidR="005B6999">
        <w:t xml:space="preserve"> </w:t>
      </w:r>
      <w:r w:rsidRPr="00FF5BC1">
        <w:t xml:space="preserve"> </w:t>
      </w:r>
    </w:p>
    <w:p w:rsidR="00A3186F" w:rsidRPr="004D00C3" w:rsidRDefault="00A3186F" w:rsidP="00A3186F">
      <w:pPr>
        <w:spacing w:before="120" w:after="120"/>
        <w:jc w:val="both"/>
      </w:pPr>
      <w:r w:rsidRPr="00B10BF2">
        <w:t xml:space="preserve">Относителният дял на нетните постъпления от акциз по стокови групи е от: тютюн и тютюневи изделия (56,3 %); горива (38,2 %); алкохол и алкохолни напитки, вкл. бира (4,8 %) и други акцизни стоки (0,7 %). Постъпленията от акциз към март 2024 г. по основни стокови групи, са </w:t>
      </w:r>
      <w:r w:rsidRPr="004D00C3">
        <w:t>както следва:</w:t>
      </w:r>
    </w:p>
    <w:p w:rsidR="00A3186F" w:rsidRPr="004D00C3" w:rsidRDefault="00A3186F" w:rsidP="00A3186F">
      <w:pPr>
        <w:numPr>
          <w:ilvl w:val="0"/>
          <w:numId w:val="16"/>
        </w:numPr>
        <w:ind w:firstLine="66"/>
        <w:jc w:val="both"/>
        <w:rPr>
          <w:i/>
        </w:rPr>
      </w:pPr>
      <w:r w:rsidRPr="004D00C3">
        <w:rPr>
          <w:i/>
        </w:rPr>
        <w:t xml:space="preserve">акцизите от тютюн и тютюневи изделия </w:t>
      </w:r>
      <w:r w:rsidRPr="004D00C3">
        <w:t>възлизат на</w:t>
      </w:r>
      <w:r w:rsidRPr="004D00C3">
        <w:rPr>
          <w:i/>
        </w:rPr>
        <w:t xml:space="preserve"> </w:t>
      </w:r>
      <w:r w:rsidRPr="004D00C3">
        <w:t>874,1 млн. лева</w:t>
      </w:r>
      <w:r w:rsidRPr="004D00C3">
        <w:rPr>
          <w:i/>
        </w:rPr>
        <w:t xml:space="preserve">; </w:t>
      </w:r>
    </w:p>
    <w:p w:rsidR="00A3186F" w:rsidRPr="004D00C3" w:rsidRDefault="00A3186F" w:rsidP="00A3186F">
      <w:pPr>
        <w:numPr>
          <w:ilvl w:val="0"/>
          <w:numId w:val="16"/>
        </w:numPr>
        <w:ind w:firstLine="66"/>
        <w:jc w:val="both"/>
      </w:pPr>
      <w:r w:rsidRPr="004D00C3">
        <w:rPr>
          <w:i/>
        </w:rPr>
        <w:t>акцизите от горива</w:t>
      </w:r>
      <w:r w:rsidRPr="004D00C3">
        <w:t xml:space="preserve"> са в размер на 593,8 млн. лева; </w:t>
      </w:r>
    </w:p>
    <w:p w:rsidR="00A3186F" w:rsidRPr="004D00C3" w:rsidRDefault="00A3186F" w:rsidP="00A3186F">
      <w:pPr>
        <w:numPr>
          <w:ilvl w:val="0"/>
          <w:numId w:val="16"/>
        </w:numPr>
        <w:ind w:firstLine="66"/>
        <w:jc w:val="both"/>
      </w:pPr>
      <w:r w:rsidRPr="004D00C3">
        <w:rPr>
          <w:i/>
        </w:rPr>
        <w:t xml:space="preserve">акцизите от алкохол и алкохолни напитки (вкл. бира) </w:t>
      </w:r>
      <w:r w:rsidRPr="004D00C3">
        <w:t xml:space="preserve">възлизат на 74,3 млн. лева; </w:t>
      </w:r>
    </w:p>
    <w:p w:rsidR="00A3186F" w:rsidRPr="004D00C3" w:rsidRDefault="00A3186F" w:rsidP="00A3186F">
      <w:pPr>
        <w:numPr>
          <w:ilvl w:val="0"/>
          <w:numId w:val="16"/>
        </w:numPr>
        <w:ind w:firstLine="66"/>
        <w:jc w:val="both"/>
      </w:pPr>
      <w:r w:rsidRPr="004D00C3">
        <w:rPr>
          <w:i/>
        </w:rPr>
        <w:t xml:space="preserve">приходите от ел. енергия и др. акцизни стоки </w:t>
      </w:r>
      <w:r w:rsidRPr="004D00C3">
        <w:t>възлизат на 11,2 млн. лева.</w:t>
      </w:r>
    </w:p>
    <w:p w:rsidR="00A3186F" w:rsidRPr="00F74EE5" w:rsidRDefault="00A3186F" w:rsidP="00A3186F">
      <w:pPr>
        <w:ind w:left="360"/>
        <w:jc w:val="both"/>
        <w:rPr>
          <w:color w:val="0070C0"/>
          <w:sz w:val="8"/>
          <w:szCs w:val="8"/>
        </w:rPr>
      </w:pPr>
    </w:p>
    <w:p w:rsidR="00A3186F" w:rsidRPr="00F74EE5" w:rsidRDefault="00A3186F" w:rsidP="00A3186F">
      <w:pPr>
        <w:ind w:left="360"/>
        <w:jc w:val="both"/>
        <w:rPr>
          <w:color w:val="0070C0"/>
          <w:sz w:val="8"/>
          <w:szCs w:val="8"/>
        </w:rPr>
      </w:pPr>
    </w:p>
    <w:p w:rsidR="00A3186F" w:rsidRPr="00F74EE5" w:rsidRDefault="00A3186F" w:rsidP="00A3186F">
      <w:pPr>
        <w:ind w:left="360"/>
        <w:jc w:val="both"/>
        <w:rPr>
          <w:color w:val="0070C0"/>
          <w:sz w:val="8"/>
          <w:szCs w:val="8"/>
        </w:rPr>
      </w:pPr>
    </w:p>
    <w:p w:rsidR="00A3186F" w:rsidRPr="00587800" w:rsidRDefault="00A3186F" w:rsidP="00A3186F">
      <w:pPr>
        <w:spacing w:after="120"/>
        <w:jc w:val="both"/>
        <w:rPr>
          <w:lang w:val="ru-RU"/>
        </w:rPr>
      </w:pPr>
      <w:r w:rsidRPr="00290C73">
        <w:rPr>
          <w:b/>
        </w:rPr>
        <w:t>Приходите от данък върху застрахователните премии</w:t>
      </w:r>
      <w:r w:rsidRPr="00290C73">
        <w:t xml:space="preserve"> са в размер на </w:t>
      </w:r>
      <w:r w:rsidRPr="00290C73">
        <w:rPr>
          <w:b/>
        </w:rPr>
        <w:t>15,6 млн. лв</w:t>
      </w:r>
      <w:r w:rsidRPr="00290C73">
        <w:t xml:space="preserve">., при планирани за годината 63,0 млн. лева. </w:t>
      </w:r>
      <w:r w:rsidRPr="009E745D">
        <w:t>Изпълнението на приходите от данъка върху застрахователните премии по облагаеми застрахователни договори, рисковете по които са поети от застрахователи, зависят основно от ръста или спада на записаните застрахователни премии.</w:t>
      </w:r>
    </w:p>
    <w:p w:rsidR="00A3186F" w:rsidRPr="001D7AF8" w:rsidRDefault="00A3186F" w:rsidP="00A3186F">
      <w:pPr>
        <w:autoSpaceDE w:val="0"/>
        <w:autoSpaceDN w:val="0"/>
        <w:adjustRightInd w:val="0"/>
        <w:spacing w:after="120"/>
        <w:jc w:val="both"/>
        <w:rPr>
          <w:rFonts w:eastAsia="Batang"/>
          <w:bCs/>
          <w:highlight w:val="cyan"/>
        </w:rPr>
      </w:pPr>
      <w:r w:rsidRPr="008F10D4">
        <w:rPr>
          <w:b/>
        </w:rPr>
        <w:t>Постъпленията от</w:t>
      </w:r>
      <w:r w:rsidRPr="008F10D4">
        <w:t xml:space="preserve"> </w:t>
      </w:r>
      <w:r w:rsidRPr="008F10D4">
        <w:rPr>
          <w:b/>
          <w:bCs/>
        </w:rPr>
        <w:t xml:space="preserve">мита </w:t>
      </w:r>
      <w:r w:rsidRPr="008F10D4">
        <w:t xml:space="preserve">възлизат на </w:t>
      </w:r>
      <w:r w:rsidRPr="008F10D4">
        <w:rPr>
          <w:b/>
        </w:rPr>
        <w:t>65,7 млн. лв</w:t>
      </w:r>
      <w:r w:rsidRPr="008F10D4">
        <w:t>. или 17,8 % от планираните със ЗДБРБ за 2024</w:t>
      </w:r>
      <w:r>
        <w:t> </w:t>
      </w:r>
      <w:r w:rsidRPr="008F10D4">
        <w:t xml:space="preserve">г., като заемат 0,9 % относителен дял в общия размер на данъчните приходи по държавния </w:t>
      </w:r>
      <w:r w:rsidRPr="001D7AF8">
        <w:t>бюджет. В сравнение със същия период на предходната година събраните мита са с 18,5 млн. лв. (</w:t>
      </w:r>
      <w:r>
        <w:t>22</w:t>
      </w:r>
      <w:r w:rsidRPr="001D7AF8">
        <w:t xml:space="preserve">,0 %) по-малко. </w:t>
      </w:r>
      <w:r w:rsidRPr="00901483">
        <w:rPr>
          <w:rFonts w:eastAsia="Batang"/>
          <w:bCs/>
        </w:rPr>
        <w:t>Влияние върху спада в приходите от мита оказват нарушените вериги на доставки в резултат на събитията в Червено море, както и въведените от ЕС ограничителни мерки спрямо Русия в съответствие с Регламент (ЕС) № 833/2014  и неговите последващи изменения и допълнения. Друг фактор върху намалените постъпления от мита има удължения с Регламент (ЕС) 2023/1077  на ЕП и Съвета от 31 май 2023 година преференциален режим спрямо Украйна под формата на пълно премахване на вносните мита върху вноса на промишлени продукти от страната, спиране на прилагането на механизма на „входните цени“ по отношение на плодовете и зеленчуците, спиране на прилагането на тарифните квоти и пълно премахване на вносните мита, и други.</w:t>
      </w:r>
    </w:p>
    <w:p w:rsidR="00A3186F" w:rsidRPr="00F74EE5" w:rsidRDefault="00A3186F" w:rsidP="00A3186F">
      <w:pPr>
        <w:tabs>
          <w:tab w:val="right" w:pos="9072"/>
        </w:tabs>
        <w:spacing w:before="120"/>
        <w:jc w:val="both"/>
        <w:rPr>
          <w:color w:val="0070C0"/>
        </w:rPr>
      </w:pPr>
      <w:r w:rsidRPr="00612F6F">
        <w:t>При всички показатели, които се използват за оценка на динамиката на приходите от мита при внесените стоки, обложени със ставка на митото, различна от „0“ се отбелязва спад през първите три месеца на 2024 г. спрямо същия период на предходната година. Намалените приходи от мита са в резултат от спада на количествата на внесените стоки, обложени със ставка на митото, различна от „0“ с 16,5 %, от намалението в осреднената статистическа стойност за килограм внесена стока с 0,6 % на годишна база и спада от 3,7 % на осреднената ставка на митото, приложена за облагане на внесените от трети страни стоки</w:t>
      </w:r>
      <w:r w:rsidRPr="00F74EE5">
        <w:rPr>
          <w:color w:val="0070C0"/>
        </w:rPr>
        <w:t>.</w:t>
      </w:r>
    </w:p>
    <w:p w:rsidR="00A3186F" w:rsidRPr="00F74EE5" w:rsidRDefault="00A3186F" w:rsidP="00A3186F">
      <w:pPr>
        <w:tabs>
          <w:tab w:val="right" w:pos="9072"/>
        </w:tabs>
        <w:spacing w:before="120"/>
        <w:jc w:val="both"/>
        <w:rPr>
          <w:color w:val="0070C0"/>
        </w:rPr>
      </w:pPr>
      <w:r w:rsidRPr="00D84388">
        <w:t>В зависимост от произхода на внасяните стоки, през месец март 2024 г. най-голям е делът на начислените приходи от мита при внос на стоки от Китай. Декларираната сума е 32,0 млн. лева, което представлява 48,6 % от всички начислени мита, като спрямо март 2023 г. е отчетен спад от</w:t>
      </w:r>
      <w:r w:rsidRPr="00D84388" w:rsidDel="00925E69">
        <w:t xml:space="preserve"> </w:t>
      </w:r>
      <w:r w:rsidRPr="00D84388">
        <w:t>31,8 %</w:t>
      </w:r>
      <w:r w:rsidRPr="00F74EE5">
        <w:rPr>
          <w:color w:val="0070C0"/>
        </w:rPr>
        <w:t>.</w:t>
      </w:r>
    </w:p>
    <w:p w:rsidR="00A3186F" w:rsidRPr="00DB580D" w:rsidRDefault="00A3186F" w:rsidP="00A3186F">
      <w:pPr>
        <w:numPr>
          <w:ilvl w:val="0"/>
          <w:numId w:val="4"/>
        </w:numPr>
        <w:tabs>
          <w:tab w:val="clear" w:pos="1440"/>
          <w:tab w:val="num" w:pos="540"/>
        </w:tabs>
        <w:spacing w:before="240"/>
        <w:ind w:left="0" w:firstLine="181"/>
        <w:jc w:val="both"/>
        <w:rPr>
          <w:b/>
          <w:bCs/>
        </w:rPr>
      </w:pPr>
      <w:r w:rsidRPr="00DB580D">
        <w:rPr>
          <w:b/>
          <w:bCs/>
        </w:rPr>
        <w:t>Други данъци</w:t>
      </w:r>
    </w:p>
    <w:p w:rsidR="00A3186F" w:rsidRPr="00E32747" w:rsidRDefault="00045B4C" w:rsidP="00A3186F">
      <w:pPr>
        <w:spacing w:before="120"/>
        <w:jc w:val="both"/>
      </w:pPr>
      <w:r w:rsidRPr="00DB580D">
        <w:t xml:space="preserve">Постъпленията от </w:t>
      </w:r>
      <w:r w:rsidRPr="00DB580D">
        <w:rPr>
          <w:b/>
        </w:rPr>
        <w:t>други данъци</w:t>
      </w:r>
      <w:r w:rsidRPr="00DB580D">
        <w:t xml:space="preserve"> по държавния бюджет </w:t>
      </w:r>
      <w:r w:rsidRPr="00DB580D">
        <w:rPr>
          <w:bCs/>
        </w:rPr>
        <w:t>към края на март 2024</w:t>
      </w:r>
      <w:r w:rsidRPr="00DB580D">
        <w:t xml:space="preserve"> г. са в размер на </w:t>
      </w:r>
      <w:r w:rsidRPr="00DB580D">
        <w:rPr>
          <w:b/>
        </w:rPr>
        <w:t>29,0 млн. лв.</w:t>
      </w:r>
      <w:r w:rsidRPr="00DB580D">
        <w:rPr>
          <w:bCs/>
        </w:rPr>
        <w:t xml:space="preserve"> или 10,5 % от планираните със ЗДБРБ за 2024 г</w:t>
      </w:r>
      <w:r w:rsidRPr="00E32747">
        <w:rPr>
          <w:bCs/>
        </w:rPr>
        <w:t xml:space="preserve">. </w:t>
      </w:r>
      <w:r w:rsidRPr="00E47AFA">
        <w:rPr>
          <w:bCs/>
        </w:rPr>
        <w:t>В тази група данъци се включват постъпленията от</w:t>
      </w:r>
      <w:r>
        <w:rPr>
          <w:bCs/>
        </w:rPr>
        <w:t xml:space="preserve"> „</w:t>
      </w:r>
      <w:r w:rsidRPr="00985673">
        <w:rPr>
          <w:bCs/>
        </w:rPr>
        <w:t>Други данъци по ЗКПО</w:t>
      </w:r>
      <w:r>
        <w:rPr>
          <w:bCs/>
        </w:rPr>
        <w:t>“, които към края на периода сформират основна част от п</w:t>
      </w:r>
      <w:r w:rsidRPr="00985673">
        <w:rPr>
          <w:bCs/>
        </w:rPr>
        <w:t xml:space="preserve">риходите </w:t>
      </w:r>
      <w:r>
        <w:rPr>
          <w:bCs/>
        </w:rPr>
        <w:t>по</w:t>
      </w:r>
      <w:r w:rsidRPr="00985673">
        <w:rPr>
          <w:bCs/>
        </w:rPr>
        <w:t xml:space="preserve"> </w:t>
      </w:r>
      <w:r>
        <w:rPr>
          <w:bCs/>
        </w:rPr>
        <w:t xml:space="preserve">тази </w:t>
      </w:r>
      <w:r w:rsidRPr="00985673">
        <w:rPr>
          <w:bCs/>
        </w:rPr>
        <w:t>позиция</w:t>
      </w:r>
      <w:r>
        <w:rPr>
          <w:bCs/>
        </w:rPr>
        <w:t xml:space="preserve">. </w:t>
      </w:r>
      <w:r w:rsidRPr="00E32747">
        <w:rPr>
          <w:bCs/>
        </w:rPr>
        <w:t>Съпоставени с данните към март 2023 г. приходите от други данъци са с 96,9 млн. лв. по-малко</w:t>
      </w:r>
      <w:r>
        <w:rPr>
          <w:bCs/>
        </w:rPr>
        <w:t>, в резултат на действащата през предходната година мярка</w:t>
      </w:r>
      <w:r w:rsidRPr="00985673">
        <w:t xml:space="preserve"> </w:t>
      </w:r>
      <w:r>
        <w:t>за допълнително облагане на</w:t>
      </w:r>
      <w:r w:rsidRPr="00985673">
        <w:rPr>
          <w:bCs/>
        </w:rPr>
        <w:t xml:space="preserve"> генерираните свръхпечалби от дружествата и местата на стопанска дейност от Съюза, извършващи дейност в отраслите на суровия нефт, природния газ, въглищата и нефтопреработването</w:t>
      </w:r>
      <w:r w:rsidRPr="00E32747">
        <w:rPr>
          <w:bCs/>
          <w:lang w:val="ru-RU"/>
        </w:rPr>
        <w:t>.</w:t>
      </w:r>
      <w:r w:rsidRPr="00E32747">
        <w:rPr>
          <w:bCs/>
        </w:rPr>
        <w:t xml:space="preserve"> Въведената мярка „временна солидарна вноска и енергийни вноски“ по Регламент (ЕС) 2022/1854 на Съвета от 6 октомври 2022 г. относно спешна намеса за справяне с високите цени на енергията с действие от 1 октомври 2022 година е с изтекъл срок на действие и не се прилага през 2024 година</w:t>
      </w:r>
      <w:r w:rsidR="00A3186F" w:rsidRPr="00E32747">
        <w:t>.</w:t>
      </w:r>
    </w:p>
    <w:p w:rsidR="00A3186F" w:rsidRPr="0049098A" w:rsidRDefault="00A3186F" w:rsidP="00A3186F">
      <w:pPr>
        <w:numPr>
          <w:ilvl w:val="0"/>
          <w:numId w:val="3"/>
        </w:numPr>
        <w:tabs>
          <w:tab w:val="num" w:pos="720"/>
        </w:tabs>
        <w:spacing w:before="120"/>
        <w:ind w:left="0" w:firstLine="181"/>
        <w:jc w:val="both"/>
      </w:pPr>
      <w:r w:rsidRPr="0049098A">
        <w:rPr>
          <w:b/>
          <w:bCs/>
        </w:rPr>
        <w:t>Неданъчни приходи</w:t>
      </w:r>
    </w:p>
    <w:p w:rsidR="00A3186F" w:rsidRPr="0024427E" w:rsidRDefault="00A3186F" w:rsidP="00A3186F">
      <w:pPr>
        <w:tabs>
          <w:tab w:val="left" w:pos="900"/>
        </w:tabs>
        <w:spacing w:before="120" w:after="120"/>
        <w:jc w:val="both"/>
      </w:pPr>
      <w:r w:rsidRPr="0049098A">
        <w:t>Отчетените</w:t>
      </w:r>
      <w:r w:rsidRPr="0049098A">
        <w:rPr>
          <w:b/>
          <w:bCs/>
        </w:rPr>
        <w:t xml:space="preserve"> неданъчни приходи</w:t>
      </w:r>
      <w:r w:rsidRPr="0049098A">
        <w:t xml:space="preserve"> по държавния бюджет </w:t>
      </w:r>
      <w:r w:rsidRPr="0049098A">
        <w:rPr>
          <w:bCs/>
        </w:rPr>
        <w:t>към март 2024 г.</w:t>
      </w:r>
      <w:r w:rsidRPr="0049098A">
        <w:t xml:space="preserve"> са в размер на </w:t>
      </w:r>
      <w:r w:rsidRPr="0049098A">
        <w:rPr>
          <w:b/>
        </w:rPr>
        <w:t>1 160,2 млн. лв</w:t>
      </w:r>
      <w:r w:rsidRPr="0049098A">
        <w:t xml:space="preserve">. и се формират основно от приходи от държавни такси, приходи и доходи от собственост, вкл. приходи от дивидент за държавата от държавните предприятия, приходи от </w:t>
      </w:r>
      <w:r w:rsidRPr="00E81A45">
        <w:t>концесии и други неданъчни приходи.</w:t>
      </w:r>
      <w:r w:rsidRPr="00587800">
        <w:rPr>
          <w:lang w:val="ru-RU"/>
        </w:rPr>
        <w:t xml:space="preserve"> </w:t>
      </w:r>
      <w:r w:rsidRPr="00E81A45">
        <w:t xml:space="preserve">Сравнени със същия период на предходната година </w:t>
      </w:r>
      <w:r w:rsidRPr="0024427E">
        <w:t xml:space="preserve">неданъчните приходи нарастват с 272,2 млн. лв., като най-голям ръст се отчита при други неданъчни приходи </w:t>
      </w:r>
      <w:r w:rsidRPr="00587800">
        <w:rPr>
          <w:lang w:val="ru-RU"/>
        </w:rPr>
        <w:t>(</w:t>
      </w:r>
      <w:r w:rsidRPr="0024427E">
        <w:t>ръст от 117,9</w:t>
      </w:r>
      <w:r w:rsidRPr="00587800">
        <w:rPr>
          <w:lang w:val="ru-RU"/>
        </w:rPr>
        <w:t xml:space="preserve"> </w:t>
      </w:r>
      <w:r w:rsidRPr="0024427E">
        <w:t>млн. лв.</w:t>
      </w:r>
      <w:r w:rsidRPr="00587800">
        <w:rPr>
          <w:lang w:val="ru-RU"/>
        </w:rPr>
        <w:t>)</w:t>
      </w:r>
      <w:r w:rsidRPr="0024427E">
        <w:t xml:space="preserve">, приходи от държавни такси </w:t>
      </w:r>
      <w:r w:rsidRPr="00587800">
        <w:rPr>
          <w:lang w:val="ru-RU"/>
        </w:rPr>
        <w:t>(</w:t>
      </w:r>
      <w:r w:rsidRPr="0024427E">
        <w:t>ръст от 70,6</w:t>
      </w:r>
      <w:r w:rsidRPr="00587800">
        <w:rPr>
          <w:lang w:val="ru-RU"/>
        </w:rPr>
        <w:t xml:space="preserve"> </w:t>
      </w:r>
      <w:r w:rsidRPr="0024427E">
        <w:t>млн. лв.</w:t>
      </w:r>
      <w:r w:rsidRPr="00587800">
        <w:rPr>
          <w:lang w:val="ru-RU"/>
        </w:rPr>
        <w:t>)</w:t>
      </w:r>
      <w:r w:rsidRPr="0024427E">
        <w:t xml:space="preserve"> и приходи и доходи от собственост </w:t>
      </w:r>
      <w:r w:rsidRPr="00587800">
        <w:rPr>
          <w:lang w:val="ru-RU"/>
        </w:rPr>
        <w:t>(</w:t>
      </w:r>
      <w:r w:rsidRPr="0024427E">
        <w:t>ръст от 70,1</w:t>
      </w:r>
      <w:r w:rsidRPr="00587800">
        <w:rPr>
          <w:lang w:val="ru-RU"/>
        </w:rPr>
        <w:t xml:space="preserve"> </w:t>
      </w:r>
      <w:r w:rsidRPr="0024427E">
        <w:t>млн. лв.</w:t>
      </w:r>
      <w:r w:rsidRPr="00587800">
        <w:rPr>
          <w:lang w:val="ru-RU"/>
        </w:rPr>
        <w:t>)</w:t>
      </w:r>
      <w:r w:rsidRPr="0024427E">
        <w:t>.</w:t>
      </w:r>
    </w:p>
    <w:p w:rsidR="00A3186F" w:rsidRPr="00CC60AA" w:rsidRDefault="00A3186F" w:rsidP="00A3186F">
      <w:pPr>
        <w:numPr>
          <w:ilvl w:val="0"/>
          <w:numId w:val="3"/>
        </w:numPr>
        <w:tabs>
          <w:tab w:val="num" w:pos="720"/>
        </w:tabs>
        <w:ind w:left="0" w:firstLine="181"/>
        <w:jc w:val="both"/>
        <w:rPr>
          <w:b/>
          <w:bCs/>
        </w:rPr>
      </w:pPr>
      <w:r w:rsidRPr="00CC60AA">
        <w:rPr>
          <w:b/>
          <w:bCs/>
        </w:rPr>
        <w:t>Помощи и дарения</w:t>
      </w:r>
    </w:p>
    <w:p w:rsidR="00A3186F" w:rsidRDefault="00A3186F" w:rsidP="00A3186F">
      <w:pPr>
        <w:spacing w:before="120" w:after="120"/>
        <w:jc w:val="both"/>
        <w:rPr>
          <w:b/>
        </w:rPr>
      </w:pPr>
      <w:r w:rsidRPr="00090C4A">
        <w:t xml:space="preserve">Постъпилите </w:t>
      </w:r>
      <w:r w:rsidRPr="00090C4A">
        <w:rPr>
          <w:b/>
        </w:rPr>
        <w:t>помощи</w:t>
      </w:r>
      <w:r w:rsidRPr="00090C4A">
        <w:t xml:space="preserve"> </w:t>
      </w:r>
      <w:r w:rsidRPr="00090C4A">
        <w:rPr>
          <w:b/>
        </w:rPr>
        <w:t>и дарения</w:t>
      </w:r>
      <w:r w:rsidRPr="00090C4A">
        <w:t xml:space="preserve"> по държавния бюджет към март 2024 г. са в размер на </w:t>
      </w:r>
      <w:r w:rsidRPr="00090C4A">
        <w:rPr>
          <w:b/>
        </w:rPr>
        <w:t>1,</w:t>
      </w:r>
      <w:r w:rsidRPr="00587800">
        <w:rPr>
          <w:b/>
          <w:lang w:val="ru-RU"/>
        </w:rPr>
        <w:t>5</w:t>
      </w:r>
      <w:r w:rsidRPr="00090C4A">
        <w:rPr>
          <w:b/>
        </w:rPr>
        <w:t> млн. лева.</w:t>
      </w:r>
    </w:p>
    <w:p w:rsidR="00E202FC" w:rsidRDefault="00E202FC" w:rsidP="00A3186F">
      <w:pPr>
        <w:spacing w:before="120" w:after="120"/>
        <w:jc w:val="both"/>
        <w:rPr>
          <w:b/>
        </w:rPr>
      </w:pPr>
    </w:p>
    <w:p w:rsidR="00E202FC" w:rsidRPr="00090C4A" w:rsidRDefault="00E202FC" w:rsidP="00A3186F">
      <w:pPr>
        <w:spacing w:before="120" w:after="120"/>
        <w:jc w:val="both"/>
        <w:rPr>
          <w:b/>
        </w:rPr>
      </w:pPr>
    </w:p>
    <w:p w:rsidR="00A3186F" w:rsidRPr="0043273D" w:rsidRDefault="00A3186F" w:rsidP="00A3186F">
      <w:pPr>
        <w:numPr>
          <w:ilvl w:val="0"/>
          <w:numId w:val="6"/>
        </w:numPr>
        <w:tabs>
          <w:tab w:val="clear" w:pos="7650"/>
          <w:tab w:val="num" w:pos="426"/>
        </w:tabs>
        <w:spacing w:before="240"/>
        <w:ind w:left="0" w:firstLine="0"/>
        <w:jc w:val="both"/>
        <w:rPr>
          <w:b/>
          <w:bCs/>
        </w:rPr>
      </w:pPr>
      <w:r w:rsidRPr="0043273D">
        <w:rPr>
          <w:b/>
          <w:bCs/>
        </w:rPr>
        <w:t>Разходи по държавния бюджет</w:t>
      </w:r>
    </w:p>
    <w:p w:rsidR="00A3186F" w:rsidRPr="004B7A23" w:rsidRDefault="00A3186F" w:rsidP="00A3186F">
      <w:pPr>
        <w:jc w:val="both"/>
        <w:rPr>
          <w:b/>
          <w:bCs/>
          <w:color w:val="0070C0"/>
          <w:sz w:val="4"/>
          <w:szCs w:val="4"/>
        </w:rPr>
      </w:pPr>
    </w:p>
    <w:p w:rsidR="00A3186F" w:rsidRPr="00F74EE5" w:rsidRDefault="00A3186F" w:rsidP="00A3186F">
      <w:pPr>
        <w:pStyle w:val="BodyTextIndent"/>
        <w:spacing w:after="0"/>
        <w:ind w:left="0"/>
        <w:jc w:val="both"/>
        <w:rPr>
          <w:color w:val="0070C0"/>
        </w:rPr>
      </w:pPr>
      <w:r w:rsidRPr="00C0728A">
        <w:t xml:space="preserve">Общият размер на </w:t>
      </w:r>
      <w:r w:rsidRPr="00C0728A">
        <w:rPr>
          <w:b/>
        </w:rPr>
        <w:t>разходите по държавния бюджет</w:t>
      </w:r>
      <w:r w:rsidRPr="00C0728A">
        <w:t xml:space="preserve"> </w:t>
      </w:r>
      <w:r w:rsidRPr="00C0728A">
        <w:rPr>
          <w:lang w:val="ru-RU"/>
        </w:rPr>
        <w:t xml:space="preserve">(вкл. трансферите за др. бюджети и вноската в бюджета на ЕС) </w:t>
      </w:r>
      <w:r w:rsidRPr="00C0728A">
        <w:rPr>
          <w:bCs/>
        </w:rPr>
        <w:t>към март 2024 г.</w:t>
      </w:r>
      <w:r w:rsidRPr="00C0728A">
        <w:t xml:space="preserve"> е </w:t>
      </w:r>
      <w:r w:rsidRPr="00C0728A">
        <w:rPr>
          <w:b/>
        </w:rPr>
        <w:t>10 172,7 млн. лв</w:t>
      </w:r>
      <w:r w:rsidRPr="00C0728A">
        <w:t>., 19,8 % от годишните разчети. С оглед постигане на съпоставимост с предходната година на графиката по-долу е елиминирано влиянието на трансакцията по</w:t>
      </w:r>
      <w:r w:rsidRPr="00C0728A">
        <w:rPr>
          <w:rFonts w:eastAsia="Calibri"/>
        </w:rPr>
        <w:t xml:space="preserve"> чл. 71, ал.1 от Постановление № 13 на Министерския съвет от 2024</w:t>
      </w:r>
      <w:r>
        <w:rPr>
          <w:rFonts w:eastAsia="Calibri"/>
        </w:rPr>
        <w:t> </w:t>
      </w:r>
      <w:r w:rsidRPr="00C0728A">
        <w:rPr>
          <w:rFonts w:eastAsia="Calibri"/>
        </w:rPr>
        <w:t>г. (възстановени разходи в размер на 1 200 млн. лв. от сметката за чужди средства по бюджета на Министе</w:t>
      </w:r>
      <w:r w:rsidR="006F3552">
        <w:rPr>
          <w:rFonts w:eastAsia="Calibri"/>
        </w:rPr>
        <w:t>рството на регионалното развитие и благоустройството</w:t>
      </w:r>
      <w:r w:rsidRPr="00587800">
        <w:rPr>
          <w:rFonts w:eastAsia="Calibri"/>
          <w:lang w:val="ru-RU"/>
        </w:rPr>
        <w:t>)</w:t>
      </w:r>
      <w:r w:rsidRPr="00C0728A">
        <w:rPr>
          <w:rFonts w:eastAsia="Calibri"/>
        </w:rPr>
        <w:t xml:space="preserve">. </w:t>
      </w:r>
    </w:p>
    <w:p w:rsidR="00A3186F" w:rsidRDefault="00A3186F"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Default="00E202FC" w:rsidP="00A3186F">
      <w:pPr>
        <w:pStyle w:val="BodyTextIndent"/>
        <w:spacing w:after="0"/>
        <w:ind w:left="0"/>
        <w:jc w:val="both"/>
        <w:rPr>
          <w:color w:val="0070C0"/>
        </w:rPr>
      </w:pPr>
    </w:p>
    <w:p w:rsidR="00E202FC" w:rsidRPr="00F74EE5" w:rsidRDefault="00E202FC" w:rsidP="00A3186F">
      <w:pPr>
        <w:pStyle w:val="BodyTextIndent"/>
        <w:spacing w:after="0"/>
        <w:ind w:left="0"/>
        <w:jc w:val="both"/>
        <w:rPr>
          <w:color w:val="0070C0"/>
        </w:rPr>
      </w:pPr>
    </w:p>
    <w:p w:rsidR="00A3186F" w:rsidRPr="00F74EE5" w:rsidRDefault="00A3186F" w:rsidP="00A3186F">
      <w:pPr>
        <w:pStyle w:val="BodyTextIndent"/>
        <w:spacing w:after="0"/>
        <w:ind w:left="0"/>
        <w:jc w:val="both"/>
        <w:rPr>
          <w:color w:val="0070C0"/>
          <w:sz w:val="8"/>
          <w:lang w:val="ru-RU"/>
        </w:rPr>
      </w:pPr>
    </w:p>
    <w:p w:rsidR="00A3186F" w:rsidRPr="00F74EE5" w:rsidRDefault="00A3186F" w:rsidP="00A3186F">
      <w:pPr>
        <w:pStyle w:val="BodyTextIndent"/>
        <w:spacing w:after="0"/>
        <w:ind w:left="0"/>
        <w:jc w:val="center"/>
        <w:rPr>
          <w:b/>
          <w:color w:val="0070C0"/>
          <w:sz w:val="4"/>
          <w:szCs w:val="4"/>
          <w:u w:val="single"/>
        </w:rPr>
      </w:pPr>
    </w:p>
    <w:p w:rsidR="00785EEE" w:rsidRPr="00A66625" w:rsidRDefault="00785EEE" w:rsidP="00785EEE">
      <w:pPr>
        <w:pStyle w:val="BodyTextIndent"/>
        <w:spacing w:after="0"/>
        <w:ind w:left="0"/>
        <w:jc w:val="center"/>
        <w:rPr>
          <w:b/>
          <w:u w:val="single"/>
        </w:rPr>
      </w:pPr>
      <w:r w:rsidRPr="00A66625">
        <w:rPr>
          <w:b/>
          <w:u w:val="single"/>
        </w:rPr>
        <w:t xml:space="preserve">Разходи, трансфери за други бюджети и вноска в бюджета на ЕС </w:t>
      </w:r>
    </w:p>
    <w:p w:rsidR="00785EEE" w:rsidRPr="00A66625" w:rsidRDefault="00785EEE" w:rsidP="00785EEE">
      <w:pPr>
        <w:pStyle w:val="BodyTextIndent"/>
        <w:spacing w:after="0"/>
        <w:ind w:left="0"/>
        <w:jc w:val="center"/>
        <w:rPr>
          <w:b/>
          <w:u w:val="single"/>
        </w:rPr>
      </w:pPr>
      <w:r w:rsidRPr="00A66625">
        <w:rPr>
          <w:b/>
          <w:u w:val="single"/>
        </w:rPr>
        <w:t>към март 2023 г. и 2024 г.</w:t>
      </w:r>
      <w:r>
        <w:rPr>
          <w:b/>
          <w:u w:val="single"/>
        </w:rPr>
        <w:t xml:space="preserve"> на съпоставима база</w:t>
      </w:r>
    </w:p>
    <w:p w:rsidR="00785EEE" w:rsidRPr="00F74EE5" w:rsidRDefault="00785EEE" w:rsidP="00785EEE">
      <w:pPr>
        <w:pStyle w:val="BodyTextIndent"/>
        <w:spacing w:after="0"/>
        <w:ind w:left="0"/>
        <w:jc w:val="center"/>
        <w:rPr>
          <w:b/>
          <w:color w:val="0070C0"/>
          <w:u w:val="single"/>
        </w:rPr>
      </w:pPr>
    </w:p>
    <w:p w:rsidR="00785EEE" w:rsidRDefault="00BD7F16" w:rsidP="00785EEE">
      <w:pPr>
        <w:pStyle w:val="BodyTextIndent"/>
        <w:spacing w:after="0"/>
        <w:ind w:left="0"/>
        <w:jc w:val="center"/>
        <w:rPr>
          <w:b/>
          <w:color w:val="0070C0"/>
          <w:u w:val="single"/>
        </w:rPr>
      </w:pPr>
      <w:r>
        <w:rPr>
          <w:b/>
          <w:noProof/>
          <w:color w:val="0070C0"/>
          <w:u w:val="single"/>
          <w:lang w:eastAsia="bg-BG"/>
        </w:rPr>
        <w:drawing>
          <wp:inline distT="0" distB="0" distL="0" distR="0" wp14:anchorId="682FE22E" wp14:editId="1004F660">
            <wp:extent cx="5322570" cy="25666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2566670"/>
                    </a:xfrm>
                    <a:prstGeom prst="rect">
                      <a:avLst/>
                    </a:prstGeom>
                    <a:noFill/>
                  </pic:spPr>
                </pic:pic>
              </a:graphicData>
            </a:graphic>
          </wp:inline>
        </w:drawing>
      </w:r>
    </w:p>
    <w:p w:rsidR="00B97F38" w:rsidRPr="00F74EE5" w:rsidRDefault="00B97F38" w:rsidP="00785EEE">
      <w:pPr>
        <w:pStyle w:val="BodyTextIndent"/>
        <w:spacing w:after="0"/>
        <w:ind w:left="0"/>
        <w:jc w:val="center"/>
        <w:rPr>
          <w:b/>
          <w:color w:val="0070C0"/>
          <w:u w:val="single"/>
        </w:rPr>
      </w:pPr>
      <w:bookmarkStart w:id="1" w:name="_GoBack"/>
      <w:bookmarkEnd w:id="1"/>
    </w:p>
    <w:p w:rsidR="00785EEE" w:rsidRPr="00F74EE5" w:rsidRDefault="00785EEE" w:rsidP="00785EEE">
      <w:pPr>
        <w:pStyle w:val="BodyTextIndent"/>
        <w:spacing w:after="0"/>
        <w:ind w:left="0"/>
        <w:jc w:val="center"/>
        <w:rPr>
          <w:b/>
          <w:color w:val="0070C0"/>
          <w:sz w:val="8"/>
          <w:szCs w:val="8"/>
          <w:u w:val="single"/>
        </w:rPr>
      </w:pPr>
    </w:p>
    <w:p w:rsidR="00785EEE" w:rsidRPr="00211E27" w:rsidRDefault="00785EEE" w:rsidP="00785EEE">
      <w:pPr>
        <w:pStyle w:val="BodyTextIndent"/>
        <w:numPr>
          <w:ilvl w:val="0"/>
          <w:numId w:val="17"/>
        </w:numPr>
        <w:spacing w:before="120" w:after="0"/>
        <w:jc w:val="both"/>
        <w:rPr>
          <w:b/>
          <w:bCs/>
        </w:rPr>
      </w:pPr>
      <w:bookmarkStart w:id="2" w:name="_MON_1562146415"/>
      <w:bookmarkStart w:id="3" w:name="_MON_1562146493"/>
      <w:bookmarkStart w:id="4" w:name="_MON_1562146700"/>
      <w:bookmarkStart w:id="5" w:name="_MON_1562146782"/>
      <w:bookmarkStart w:id="6" w:name="_MON_1562146967"/>
      <w:bookmarkStart w:id="7" w:name="_MON_1562147372"/>
      <w:bookmarkStart w:id="8" w:name="_MON_1562147473"/>
      <w:bookmarkStart w:id="9" w:name="_MON_1562147677"/>
      <w:bookmarkStart w:id="10" w:name="_MON_1562147743"/>
      <w:bookmarkStart w:id="11" w:name="_MON_1562147867"/>
      <w:bookmarkStart w:id="12" w:name="_MON_1562147934"/>
      <w:bookmarkStart w:id="13" w:name="_MON_1562148056"/>
      <w:bookmarkStart w:id="14" w:name="_MON_1562148171"/>
      <w:bookmarkStart w:id="15" w:name="_MON_1562148229"/>
      <w:bookmarkStart w:id="16" w:name="_MON_1562148307"/>
      <w:bookmarkStart w:id="17" w:name="_MON_1562148447"/>
      <w:bookmarkStart w:id="18" w:name="_MON_1562148558"/>
      <w:bookmarkStart w:id="19" w:name="_MON_1562152805"/>
      <w:bookmarkStart w:id="20" w:name="_MON_1562152984"/>
      <w:bookmarkStart w:id="21" w:name="_MON_1562153459"/>
      <w:bookmarkStart w:id="22" w:name="_MON_1562153503"/>
      <w:bookmarkStart w:id="23" w:name="_MON_1562153559"/>
      <w:bookmarkStart w:id="24" w:name="_MON_1562153646"/>
      <w:bookmarkStart w:id="25" w:name="_MON_1562153939"/>
      <w:bookmarkStart w:id="26" w:name="_MON_1562154053"/>
      <w:bookmarkStart w:id="27" w:name="_MON_1562154282"/>
      <w:bookmarkStart w:id="28" w:name="_MON_1562146286"/>
      <w:bookmarkStart w:id="29" w:name="_MON_1562154881"/>
      <w:bookmarkStart w:id="30" w:name="_MON_1562154973"/>
      <w:bookmarkStart w:id="31" w:name="_MON_1562155194"/>
      <w:bookmarkStart w:id="32" w:name="_MON_1562155231"/>
      <w:bookmarkStart w:id="33" w:name="_MON_1562155321"/>
      <w:bookmarkStart w:id="34" w:name="_MON_156215539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11E27">
        <w:rPr>
          <w:b/>
          <w:bCs/>
        </w:rPr>
        <w:t>Нелихвени разходи</w:t>
      </w:r>
    </w:p>
    <w:p w:rsidR="00A3186F" w:rsidRPr="00421CE0" w:rsidRDefault="00785EEE" w:rsidP="00785EEE">
      <w:pPr>
        <w:spacing w:before="120" w:after="120"/>
        <w:jc w:val="both"/>
        <w:rPr>
          <w:bCs/>
        </w:rPr>
      </w:pPr>
      <w:r w:rsidRPr="00421CE0">
        <w:rPr>
          <w:b/>
          <w:bCs/>
        </w:rPr>
        <w:t>Нелихвените разходи</w:t>
      </w:r>
      <w:r w:rsidRPr="00421CE0">
        <w:rPr>
          <w:bCs/>
        </w:rPr>
        <w:t xml:space="preserve"> по държавния бюджет към март 2024 г.</w:t>
      </w:r>
      <w:r w:rsidRPr="00421CE0">
        <w:t xml:space="preserve"> </w:t>
      </w:r>
      <w:r w:rsidRPr="00A15AD9">
        <w:rPr>
          <w:bCs/>
        </w:rPr>
        <w:t xml:space="preserve">на съпоставима база са в размер на </w:t>
      </w:r>
      <w:r w:rsidRPr="00A15AD9">
        <w:rPr>
          <w:b/>
          <w:bCs/>
        </w:rPr>
        <w:t>3 933,2 млн. лв.</w:t>
      </w:r>
      <w:r w:rsidR="00A3186F" w:rsidRPr="00421CE0">
        <w:rPr>
          <w:bCs/>
        </w:rPr>
        <w:t xml:space="preserve"> </w:t>
      </w:r>
    </w:p>
    <w:p w:rsidR="00A3186F" w:rsidRPr="00F74EE5" w:rsidRDefault="00A3186F" w:rsidP="00A3186F">
      <w:pPr>
        <w:jc w:val="both"/>
        <w:rPr>
          <w:bCs/>
          <w:color w:val="0070C0"/>
        </w:rPr>
      </w:pPr>
      <w:r w:rsidRPr="009008EE">
        <w:rPr>
          <w:bCs/>
        </w:rPr>
        <w:t xml:space="preserve">Разходите за персонал (заплати и възнаграждения, други възнаграждения и плащания за персонала и осигурителни вноски) са в общ размер на </w:t>
      </w:r>
      <w:r w:rsidRPr="009008EE">
        <w:rPr>
          <w:bCs/>
          <w:lang w:val="ru-RU"/>
        </w:rPr>
        <w:t>2 276,6</w:t>
      </w:r>
      <w:r w:rsidRPr="009008EE">
        <w:rPr>
          <w:bCs/>
        </w:rPr>
        <w:t xml:space="preserve"> млн. лв. или 23,3 % от планираните за 202</w:t>
      </w:r>
      <w:r w:rsidRPr="00587800">
        <w:rPr>
          <w:bCs/>
          <w:lang w:val="ru-RU"/>
        </w:rPr>
        <w:t>4</w:t>
      </w:r>
      <w:r w:rsidRPr="009008EE">
        <w:rPr>
          <w:bCs/>
        </w:rPr>
        <w:t xml:space="preserve"> г.</w:t>
      </w:r>
      <w:r w:rsidRPr="00587800">
        <w:rPr>
          <w:bCs/>
          <w:lang w:val="ru-RU"/>
        </w:rPr>
        <w:t xml:space="preserve"> </w:t>
      </w:r>
      <w:r w:rsidRPr="009008EE">
        <w:rPr>
          <w:bCs/>
        </w:rPr>
        <w:t xml:space="preserve">и ръст от 354,3 млн. лв. (18,4 %) спрямо същия период на 2023 г. </w:t>
      </w:r>
      <w:r w:rsidRPr="0051290E">
        <w:rPr>
          <w:bCs/>
        </w:rPr>
        <w:t xml:space="preserve">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604,0 млн. лв. или 12,8 % от </w:t>
      </w:r>
      <w:r w:rsidRPr="00444C94">
        <w:rPr>
          <w:bCs/>
        </w:rPr>
        <w:t xml:space="preserve">планираните за годината. Социалните разходи (вкл. разходите за стипендии) са в размер на 380,6 млн. лв. или 14,2 % от предвидените </w:t>
      </w:r>
      <w:r w:rsidRPr="00444C94">
        <w:t>за годината</w:t>
      </w:r>
      <w:r w:rsidRPr="00444C94">
        <w:rPr>
          <w:bCs/>
        </w:rPr>
        <w:t xml:space="preserve"> като нарастват със 168,7</w:t>
      </w:r>
      <w:r>
        <w:rPr>
          <w:bCs/>
        </w:rPr>
        <w:t> </w:t>
      </w:r>
      <w:r w:rsidRPr="00444C94">
        <w:rPr>
          <w:bCs/>
        </w:rPr>
        <w:t xml:space="preserve">млн. лв. (79,6 %) спрямо същия период на 2023 г. </w:t>
      </w:r>
      <w:r w:rsidRPr="00293EC4">
        <w:t>Част от планираните социални разходи по държавния бюджет се предоставят като трансфери за общинските бюджети.</w:t>
      </w:r>
      <w:r w:rsidRPr="00293EC4">
        <w:rPr>
          <w:bCs/>
        </w:rPr>
        <w:t xml:space="preserve"> Предоставените текущи и капиталови трансфери за чужбина са в размер на 1,6 млн. лв. Разходите за субсидии са в размер на 377,1 млн. лв. или 19,3</w:t>
      </w:r>
      <w:r w:rsidR="004075B4">
        <w:rPr>
          <w:bCs/>
        </w:rPr>
        <w:t> </w:t>
      </w:r>
      <w:r w:rsidRPr="00293EC4">
        <w:rPr>
          <w:bCs/>
        </w:rPr>
        <w:t xml:space="preserve">% от планираните за годината и нарастват с 98,1 млн. лв. </w:t>
      </w:r>
      <w:r w:rsidRPr="00293EC4">
        <w:rPr>
          <w:bCs/>
          <w:lang w:val="ru-RU"/>
        </w:rPr>
        <w:t>(</w:t>
      </w:r>
      <w:r w:rsidRPr="00293EC4">
        <w:rPr>
          <w:bCs/>
        </w:rPr>
        <w:t>35,2 %</w:t>
      </w:r>
      <w:r w:rsidRPr="00293EC4">
        <w:rPr>
          <w:bCs/>
          <w:lang w:val="ru-RU"/>
        </w:rPr>
        <w:t xml:space="preserve">) сравнени със същия </w:t>
      </w:r>
      <w:r w:rsidRPr="00293EC4">
        <w:rPr>
          <w:bCs/>
        </w:rPr>
        <w:t xml:space="preserve">период </w:t>
      </w:r>
      <w:r w:rsidRPr="00293EC4">
        <w:rPr>
          <w:bCs/>
          <w:lang w:val="ru-RU"/>
        </w:rPr>
        <w:t>на предходната година</w:t>
      </w:r>
      <w:r w:rsidRPr="00293EC4">
        <w:rPr>
          <w:bCs/>
        </w:rPr>
        <w:t>.</w:t>
      </w:r>
      <w:r w:rsidRPr="00293EC4">
        <w:rPr>
          <w:bCs/>
          <w:lang w:val="ru-RU"/>
        </w:rPr>
        <w:t xml:space="preserve"> </w:t>
      </w:r>
      <w:r w:rsidRPr="00D62365">
        <w:rPr>
          <w:bCs/>
        </w:rPr>
        <w:t xml:space="preserve">Към март 2024 г. субсидиите за „БДЖ – Пътнически превози” ЕООД са в размер на 52,2 млн. лв., субсидиите за Национална </w:t>
      </w:r>
      <w:r w:rsidRPr="00BA2C8D">
        <w:rPr>
          <w:bCs/>
        </w:rPr>
        <w:t xml:space="preserve">компания „Железопътна инфраструктура” са 75,3 млн. лв. и 14,2 млн. лв. са за „Български пощи” ЕАД, в т.ч. 7,1 млн. лв. за извършване на универсална пощенска услуга, 6,8 млн. лв. за разпространение на периодични печатни издания - вестници и списания и 0,4 млн. лв. за предоставяне на </w:t>
      </w:r>
      <w:r w:rsidRPr="00352E85">
        <w:rPr>
          <w:bCs/>
        </w:rPr>
        <w:t>административни услуги. Към края на март 2024 г. ДФ „Земеделие“ e изплатил субсидии в общ размер на 77,0 млн. лв., от които 4,5 млн. лв. държавна помощ</w:t>
      </w:r>
      <w:r w:rsidRPr="003358E1">
        <w:rPr>
          <w:bCs/>
          <w:color w:val="000000" w:themeColor="text1"/>
        </w:rPr>
        <w:t>; 69,</w:t>
      </w:r>
      <w:r>
        <w:rPr>
          <w:bCs/>
          <w:color w:val="000000" w:themeColor="text1"/>
        </w:rPr>
        <w:t>5 </w:t>
      </w:r>
      <w:r w:rsidRPr="00A86884">
        <w:rPr>
          <w:bCs/>
        </w:rPr>
        <w:t xml:space="preserve">млн. лв. преходна национална помощ за тютюн и 2,6 млн. лв. средства за ДДС по схеми „Училищен плод“ и „Училищно мляко“. </w:t>
      </w:r>
    </w:p>
    <w:p w:rsidR="00A3186F" w:rsidRPr="00042FB1" w:rsidRDefault="00A3186F" w:rsidP="00A3186F">
      <w:pPr>
        <w:spacing w:before="120" w:after="240"/>
        <w:jc w:val="both"/>
        <w:rPr>
          <w:bCs/>
        </w:rPr>
      </w:pPr>
      <w:r w:rsidRPr="00042FB1">
        <w:rPr>
          <w:bCs/>
          <w:i/>
        </w:rPr>
        <w:t>Капиталовите разходи</w:t>
      </w:r>
      <w:r w:rsidRPr="00042FB1">
        <w:rPr>
          <w:bCs/>
        </w:rPr>
        <w:t xml:space="preserve"> (вкл. нетния прираст на държавния резерв) по държавния бюджет на съпоставима база възлизат на 293,3 млн. лева.</w:t>
      </w:r>
    </w:p>
    <w:p w:rsidR="00686EF0" w:rsidRPr="00613123" w:rsidRDefault="00686EF0" w:rsidP="00ED2B9A">
      <w:pPr>
        <w:numPr>
          <w:ilvl w:val="1"/>
          <w:numId w:val="12"/>
        </w:numPr>
        <w:tabs>
          <w:tab w:val="num" w:pos="720"/>
          <w:tab w:val="num" w:pos="900"/>
        </w:tabs>
        <w:spacing w:before="240" w:after="120"/>
        <w:ind w:left="714" w:hanging="357"/>
        <w:jc w:val="both"/>
        <w:rPr>
          <w:b/>
          <w:bCs/>
        </w:rPr>
      </w:pPr>
      <w:r w:rsidRPr="00613123">
        <w:rPr>
          <w:b/>
        </w:rPr>
        <w:t>Просрочени задължения</w:t>
      </w:r>
    </w:p>
    <w:p w:rsidR="008943A7" w:rsidRPr="00015F65" w:rsidRDefault="008943A7" w:rsidP="008943A7">
      <w:pPr>
        <w:spacing w:after="120"/>
        <w:jc w:val="both"/>
      </w:pPr>
      <w:r w:rsidRPr="00015F65">
        <w:t xml:space="preserve">Към 31.03.2024 г. просрочените задължения на централно и местно правителство са в размер на </w:t>
      </w:r>
      <w:r w:rsidRPr="00015F65">
        <w:rPr>
          <w:b/>
        </w:rPr>
        <w:t>347,9 млн. лева.</w:t>
      </w:r>
      <w:r w:rsidRPr="00015F65">
        <w:t xml:space="preserve"> </w:t>
      </w:r>
    </w:p>
    <w:p w:rsidR="008943A7" w:rsidRPr="00015F65" w:rsidRDefault="008943A7" w:rsidP="008943A7">
      <w:pPr>
        <w:spacing w:before="120"/>
        <w:jc w:val="both"/>
        <w:rPr>
          <w:noProof/>
        </w:rPr>
      </w:pPr>
      <w:r w:rsidRPr="00015F65">
        <w:t xml:space="preserve">Размерът на просрочените задължения на </w:t>
      </w:r>
      <w:r w:rsidRPr="00015F65">
        <w:rPr>
          <w:b/>
        </w:rPr>
        <w:t>централното правителство</w:t>
      </w:r>
      <w:r w:rsidRPr="00015F65">
        <w:t xml:space="preserve"> (министерства, ведомства и разпоредителите с бюджет по чл. 13, ал. 3 и ал. 4 на ЗПФ) е</w:t>
      </w:r>
      <w:r w:rsidRPr="00015F65">
        <w:rPr>
          <w:b/>
        </w:rPr>
        <w:t xml:space="preserve"> 222,4 млн. лева. </w:t>
      </w:r>
      <w:r w:rsidRPr="00015F65">
        <w:t xml:space="preserve">Спрямо отчетените в края на 2023 г. те намаляват с 8,1 млн. лева (основно от намаление на просрочията на МРРБ във връзка с обезпечени със средства </w:t>
      </w:r>
      <w:r w:rsidRPr="00015F65">
        <w:rPr>
          <w:noProof/>
        </w:rPr>
        <w:t>договори за текущ ремонт и поддържане на републиканските пътища, вкл. и зимно поддържане</w:t>
      </w:r>
      <w:r w:rsidRPr="00015F65">
        <w:t xml:space="preserve">). В обхвата на държавния бюджет по-значими проблеми с наличие на просрочени задължения има </w:t>
      </w:r>
      <w:r w:rsidRPr="00015F65">
        <w:rPr>
          <w:bCs/>
        </w:rPr>
        <w:t>при следните министерства</w:t>
      </w:r>
      <w:r w:rsidRPr="00015F65">
        <w:t xml:space="preserve">: </w:t>
      </w:r>
      <w:r w:rsidRPr="00015F65">
        <w:rPr>
          <w:bCs/>
        </w:rPr>
        <w:t xml:space="preserve">Министерството на регионалното развитие и благоустройството – 167,7 млн. лв. </w:t>
      </w:r>
      <w:r w:rsidRPr="00015F65">
        <w:rPr>
          <w:noProof/>
        </w:rPr>
        <w:t>(намаление с 12,9 млн. лв.</w:t>
      </w:r>
      <w:r w:rsidRPr="00015F65">
        <w:t xml:space="preserve"> спрямо просрочията в края на 2023 г.)</w:t>
      </w:r>
      <w:r w:rsidRPr="00015F65">
        <w:rPr>
          <w:lang w:val="ru-RU"/>
        </w:rPr>
        <w:t>;</w:t>
      </w:r>
      <w:r w:rsidRPr="004B7A23">
        <w:rPr>
          <w:color w:val="0070C0"/>
          <w:lang w:val="ru-RU"/>
        </w:rPr>
        <w:t xml:space="preserve"> </w:t>
      </w:r>
      <w:r w:rsidRPr="00015F65">
        <w:rPr>
          <w:noProof/>
        </w:rPr>
        <w:t xml:space="preserve">Министерството на земеделието и храните – 24,2 млн. лв. (увеличение с 1,2 млн. лв. </w:t>
      </w:r>
      <w:r w:rsidRPr="00015F65">
        <w:t>спрямо просрочията в края на 2023 г.</w:t>
      </w:r>
      <w:r w:rsidRPr="00015F65">
        <w:rPr>
          <w:noProof/>
        </w:rPr>
        <w:t>); Министерството на отбраната – 2,9 млн. лв. (с минимално намаление спрямо отчетените в края на 2023 г.), в т.ч. 2,8 млн. лв. на ВМА</w:t>
      </w:r>
      <w:r w:rsidRPr="004B7A23">
        <w:rPr>
          <w:noProof/>
          <w:color w:val="0070C0"/>
        </w:rPr>
        <w:t xml:space="preserve">. </w:t>
      </w:r>
      <w:r w:rsidRPr="00015F65">
        <w:rPr>
          <w:noProof/>
        </w:rPr>
        <w:t xml:space="preserve">От разпоредителите с бюджет по чл. 13, ал. 3 на Закона за публичните финанси проблеми с наличието на просрочени задължения има основно при държавните висши училища – 7,7 млн. лв. (увеличение с 2,3 млн. лв. </w:t>
      </w:r>
      <w:r w:rsidRPr="00015F65">
        <w:t xml:space="preserve">спрямо отчетените в края на 2023 г. и </w:t>
      </w:r>
      <w:r w:rsidRPr="00E02EF6">
        <w:t>представляват неплатени данък сгради и такса смет на общините от Софийския университет „Св. Климент Охридски“, надвнесени такси от студенти и специализанти на Медицинския университет - София и просрочени задължения към МБАЛ "Света Марина" - Варна от Техническия университет Варна</w:t>
      </w:r>
      <w:r w:rsidRPr="00E02EF6">
        <w:rPr>
          <w:noProof/>
        </w:rPr>
        <w:t xml:space="preserve">), </w:t>
      </w:r>
      <w:r w:rsidRPr="00015F65">
        <w:rPr>
          <w:noProof/>
        </w:rPr>
        <w:t xml:space="preserve">Българската национална телевизия – 8,3 млн. лв. (увеличение с 2,5 млн. лв. </w:t>
      </w:r>
      <w:r w:rsidRPr="00015F65">
        <w:t>спрямо отчетените в края на 2023 г.</w:t>
      </w:r>
      <w:r w:rsidRPr="00015F65">
        <w:rPr>
          <w:noProof/>
        </w:rPr>
        <w:t>, като това</w:t>
      </w:r>
      <w:r w:rsidRPr="004B7A23">
        <w:rPr>
          <w:noProof/>
          <w:color w:val="0070C0"/>
        </w:rPr>
        <w:t xml:space="preserve"> </w:t>
      </w:r>
      <w:r w:rsidRPr="000D0624">
        <w:rPr>
          <w:noProof/>
        </w:rPr>
        <w:t xml:space="preserve">са основно </w:t>
      </w:r>
      <w:r w:rsidRPr="000D0624">
        <w:t xml:space="preserve">просрочени задължения към доставчици в страната) и </w:t>
      </w:r>
      <w:r w:rsidRPr="000D0624">
        <w:rPr>
          <w:noProof/>
        </w:rPr>
        <w:t xml:space="preserve">Българското национало радио – 2,9 млн. лв. (увеличение с </w:t>
      </w:r>
      <w:r w:rsidRPr="00587800">
        <w:rPr>
          <w:noProof/>
          <w:lang w:val="ru-RU"/>
        </w:rPr>
        <w:t>0</w:t>
      </w:r>
      <w:r w:rsidRPr="000D0624">
        <w:rPr>
          <w:noProof/>
        </w:rPr>
        <w:t>,2 млн. лв. спрямо просрочията в края на 2023 г.</w:t>
      </w:r>
      <w:r w:rsidRPr="000D0624">
        <w:t xml:space="preserve">, като това са основно </w:t>
      </w:r>
      <w:r w:rsidRPr="000D0624">
        <w:rPr>
          <w:szCs w:val="20"/>
        </w:rPr>
        <w:t xml:space="preserve">просрочени задължения за данъци, вноски, такси и административни санкции към Столична община за такса битови отпадъци за минали периоди, в т.ч. </w:t>
      </w:r>
      <w:r w:rsidRPr="000D0624">
        <w:rPr>
          <w:szCs w:val="20"/>
          <w:lang w:val="ru-RU"/>
        </w:rPr>
        <w:t>1</w:t>
      </w:r>
      <w:r w:rsidRPr="000D0624">
        <w:rPr>
          <w:szCs w:val="20"/>
        </w:rPr>
        <w:t>,3 млн. лв. за лихви</w:t>
      </w:r>
      <w:r w:rsidRPr="000D0624">
        <w:t>)</w:t>
      </w:r>
      <w:r w:rsidRPr="000D0624">
        <w:rPr>
          <w:noProof/>
        </w:rPr>
        <w:t xml:space="preserve">. </w:t>
      </w:r>
      <w:r w:rsidRPr="00015F65">
        <w:rPr>
          <w:noProof/>
        </w:rPr>
        <w:t xml:space="preserve">От разпоредителите с бюджет по чл. 13, ал. 4 на Закона за публичните финанси проблеми с наличието на просрочени задължения има при Държавно предприятие „Научно-производствен център“ – 2,1 млн. лв. (увеличение с 0,1 млн. лв. </w:t>
      </w:r>
      <w:r w:rsidRPr="00015F65">
        <w:t>спрямо отчетените в края на 2023 г.</w:t>
      </w:r>
      <w:r w:rsidRPr="00015F65">
        <w:rPr>
          <w:lang w:val="ru-RU"/>
        </w:rPr>
        <w:t>)</w:t>
      </w:r>
      <w:r w:rsidRPr="00015F65">
        <w:t>.</w:t>
      </w:r>
    </w:p>
    <w:p w:rsidR="008943A7" w:rsidRPr="00AD2383" w:rsidRDefault="008943A7" w:rsidP="008943A7">
      <w:pPr>
        <w:spacing w:before="120" w:after="120"/>
        <w:jc w:val="both"/>
        <w:rPr>
          <w:noProof/>
        </w:rPr>
      </w:pPr>
      <w:r w:rsidRPr="000D0624">
        <w:rPr>
          <w:noProof/>
        </w:rPr>
        <w:t xml:space="preserve">Просрочените задължения по </w:t>
      </w:r>
      <w:r w:rsidRPr="000D0624">
        <w:rPr>
          <w:b/>
          <w:noProof/>
        </w:rPr>
        <w:t>бюджетите на общините</w:t>
      </w:r>
      <w:r w:rsidRPr="000D0624">
        <w:rPr>
          <w:noProof/>
        </w:rPr>
        <w:t xml:space="preserve"> към 31.03.2024 г. са в размер на </w:t>
      </w:r>
      <w:r w:rsidRPr="000D0624">
        <w:rPr>
          <w:b/>
          <w:noProof/>
        </w:rPr>
        <w:t>125,5 млн. лв.,</w:t>
      </w:r>
      <w:r w:rsidRPr="000D0624">
        <w:rPr>
          <w:noProof/>
        </w:rPr>
        <w:t xml:space="preserve"> като спрямо </w:t>
      </w:r>
      <w:r w:rsidRPr="000D0624">
        <w:t xml:space="preserve">края на 2023 г. </w:t>
      </w:r>
      <w:r w:rsidRPr="000D0624">
        <w:rPr>
          <w:noProof/>
        </w:rPr>
        <w:t xml:space="preserve">се отчита намаление с 32,8 млн. лева. </w:t>
      </w:r>
      <w:r w:rsidRPr="00AD2383">
        <w:rPr>
          <w:noProof/>
        </w:rPr>
        <w:t>С най-голям относителен дял в просрочените задължения по бюджетите на общините към края на месец март 2024 г. са просрочените задължения към доставчици, които са в размер на 109,1 млн. лева. В делегираните от държавата дейности просрочените задължения са в размер на 6,8 млн. лева.</w:t>
      </w:r>
    </w:p>
    <w:p w:rsidR="008943A7" w:rsidRPr="005E6014" w:rsidRDefault="001060C0" w:rsidP="008943A7">
      <w:pPr>
        <w:spacing w:after="120"/>
        <w:jc w:val="both"/>
        <w:rPr>
          <w:color w:val="0070C0"/>
          <w:highlight w:val="yellow"/>
          <w:lang w:val="en-US"/>
        </w:rPr>
      </w:pPr>
      <w:r w:rsidRPr="001060C0">
        <w:rPr>
          <w:noProof/>
        </w:rPr>
        <w:t>Извън обхвата на консолидираната фискална програма, продължава да има проблем с просрочията на лечебните заведения за болнична помощ (държавни и общински болници – търговски дружества). Към 31.03.2024 г. размерът на просрочените задължения е 60,8 млн. лв., от които 46,3 млн. лв. са на държавните болници и 14,5 млн. лв. са на общинските болници. Спрямо отчетените просрочени задължения към 31.12.2023 г. се отчита увеличение с 4,5 млн. лв. (с 8 на сто)</w:t>
      </w:r>
      <w:r w:rsidR="008943A7" w:rsidRPr="001060C0">
        <w:rPr>
          <w:color w:val="0070C0"/>
        </w:rPr>
        <w:t>.</w:t>
      </w:r>
    </w:p>
    <w:p w:rsidR="008943A7" w:rsidRPr="004B7A23" w:rsidRDefault="008943A7" w:rsidP="008943A7">
      <w:pPr>
        <w:ind w:firstLine="567"/>
        <w:jc w:val="both"/>
        <w:rPr>
          <w:noProof/>
          <w:color w:val="0070C0"/>
          <w:sz w:val="2"/>
          <w:szCs w:val="12"/>
          <w:lang w:val="en-US"/>
        </w:rPr>
      </w:pPr>
    </w:p>
    <w:p w:rsidR="008943A7" w:rsidRPr="006F09DE" w:rsidRDefault="008943A7" w:rsidP="008943A7">
      <w:pPr>
        <w:pStyle w:val="BodyTextIndent"/>
        <w:numPr>
          <w:ilvl w:val="1"/>
          <w:numId w:val="12"/>
        </w:numPr>
        <w:tabs>
          <w:tab w:val="clear" w:pos="2160"/>
          <w:tab w:val="num" w:pos="720"/>
          <w:tab w:val="num" w:pos="900"/>
        </w:tabs>
        <w:spacing w:before="120" w:after="0"/>
        <w:ind w:left="720"/>
        <w:jc w:val="both"/>
        <w:rPr>
          <w:b/>
          <w:bCs/>
        </w:rPr>
      </w:pPr>
      <w:r w:rsidRPr="006F09DE">
        <w:rPr>
          <w:b/>
          <w:bCs/>
        </w:rPr>
        <w:t>Разходи планирани по централн</w:t>
      </w:r>
      <w:r w:rsidRPr="006F09DE">
        <w:rPr>
          <w:b/>
          <w:bCs/>
          <w:szCs w:val="26"/>
        </w:rPr>
        <w:t xml:space="preserve">ия бюджет </w:t>
      </w:r>
      <w:r w:rsidRPr="006F09DE">
        <w:rPr>
          <w:b/>
          <w:bCs/>
        </w:rPr>
        <w:t>за субсидии, капиталови трансфери</w:t>
      </w:r>
      <w:r w:rsidRPr="006F09DE">
        <w:rPr>
          <w:bCs/>
        </w:rPr>
        <w:t xml:space="preserve"> </w:t>
      </w:r>
      <w:r w:rsidRPr="006F09DE">
        <w:rPr>
          <w:b/>
          <w:bCs/>
        </w:rPr>
        <w:t xml:space="preserve">и други разходи, свързани с дейността на реалния сектор </w:t>
      </w:r>
    </w:p>
    <w:p w:rsidR="008943A7" w:rsidRPr="004B7A23" w:rsidRDefault="008943A7" w:rsidP="008943A7">
      <w:pPr>
        <w:pStyle w:val="Header"/>
        <w:jc w:val="both"/>
        <w:rPr>
          <w:color w:val="0070C0"/>
          <w:sz w:val="8"/>
          <w:szCs w:val="8"/>
        </w:rPr>
      </w:pPr>
    </w:p>
    <w:p w:rsidR="008943A7" w:rsidRPr="004B7A23" w:rsidRDefault="008943A7" w:rsidP="008943A7">
      <w:pPr>
        <w:pStyle w:val="Header"/>
        <w:ind w:firstLine="567"/>
        <w:jc w:val="both"/>
        <w:rPr>
          <w:color w:val="0070C0"/>
          <w:sz w:val="4"/>
          <w:szCs w:val="4"/>
        </w:rPr>
      </w:pPr>
    </w:p>
    <w:p w:rsidR="008943A7" w:rsidRPr="00C06CBC" w:rsidRDefault="008943A7" w:rsidP="008943A7">
      <w:pPr>
        <w:pStyle w:val="BodyText2"/>
        <w:spacing w:after="0" w:line="240" w:lineRule="auto"/>
        <w:ind w:firstLine="567"/>
        <w:jc w:val="both"/>
      </w:pPr>
      <w:r w:rsidRPr="00C06CBC">
        <w:t xml:space="preserve">Средствата за </w:t>
      </w:r>
      <w:r w:rsidRPr="00C06CBC">
        <w:rPr>
          <w:bCs/>
        </w:rPr>
        <w:t>субсидии</w:t>
      </w:r>
      <w:r w:rsidRPr="00C06CBC">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w:t>
      </w:r>
    </w:p>
    <w:p w:rsidR="008943A7" w:rsidRPr="00C06CBC" w:rsidRDefault="008943A7" w:rsidP="008943A7">
      <w:pPr>
        <w:pStyle w:val="BodyTextIndent2"/>
        <w:spacing w:after="0" w:line="240" w:lineRule="auto"/>
        <w:ind w:left="0" w:firstLine="567"/>
        <w:jc w:val="both"/>
      </w:pPr>
      <w:r w:rsidRPr="00C06CBC">
        <w:t xml:space="preserve">За първо тримесечие на 2024 г. предоставените за тази цел средства са в размер на 42,5 млн. лв., в т.ч. за Столична община - в размер на 22,3 млн. лв. Средствата се разпределят по общини от Министерството на транспорта и съобщенията, с изключение на тези за Столична община. </w:t>
      </w:r>
    </w:p>
    <w:p w:rsidR="008943A7" w:rsidRPr="00C06CBC" w:rsidRDefault="008943A7" w:rsidP="008943A7">
      <w:pPr>
        <w:ind w:firstLine="567"/>
        <w:jc w:val="both"/>
      </w:pPr>
      <w:r w:rsidRPr="00C06CBC">
        <w:t>За първите три месеца на 2024 г.</w:t>
      </w:r>
      <w:r>
        <w:rPr>
          <w:b/>
          <w:i/>
          <w:color w:val="0070C0"/>
        </w:rPr>
        <w:t xml:space="preserve"> </w:t>
      </w:r>
      <w:r w:rsidRPr="00C06CBC">
        <w:rPr>
          <w:b/>
          <w:i/>
        </w:rPr>
        <w:t>от капиталови трансфери</w:t>
      </w:r>
      <w:r w:rsidRPr="00C06CBC">
        <w:t xml:space="preserve"> по централния бюджет предвидени за изпълнение на Програмите за отстраняване на нанесени щети </w:t>
      </w:r>
      <w:r w:rsidRPr="00C06CBC">
        <w:rPr>
          <w:noProof/>
        </w:rPr>
        <w:t>върху околната среда</w:t>
      </w:r>
      <w:r w:rsidRPr="00C06CBC">
        <w:t>, настъпили от минали действия или бездействия, при приватизация, не са изразходвани средства.</w:t>
      </w:r>
    </w:p>
    <w:p w:rsidR="008943A7" w:rsidRPr="00C06CBC" w:rsidRDefault="008943A7" w:rsidP="008943A7">
      <w:pPr>
        <w:spacing w:before="120" w:after="120"/>
        <w:ind w:firstLine="567"/>
        <w:jc w:val="both"/>
      </w:pPr>
      <w:r w:rsidRPr="00C06CBC">
        <w:rPr>
          <w:bCs/>
        </w:rPr>
        <w:t xml:space="preserve">По централния бюджет са предвидени и </w:t>
      </w:r>
      <w:r w:rsidRPr="00C06CBC">
        <w:rPr>
          <w:b/>
          <w:bCs/>
        </w:rPr>
        <w:t>други разходи</w:t>
      </w:r>
      <w:r w:rsidRPr="00C06CBC">
        <w:rPr>
          <w:bCs/>
        </w:rPr>
        <w:t>, свързани с к</w:t>
      </w:r>
      <w:r w:rsidRPr="00C06CBC">
        <w:t xml:space="preserve">омпенсиране със средства от държавния бюджет на </w:t>
      </w:r>
      <w:r w:rsidRPr="00C06CBC">
        <w:rPr>
          <w:bCs/>
        </w:rPr>
        <w:t>намалените приходи от прилагането на цени за пътуване, предвидени в нормативни актове за определени категории пътници</w:t>
      </w:r>
      <w:r w:rsidRPr="00C06CBC">
        <w:t xml:space="preserve"> по железопътния и автомобилния транспорт. Средствата </w:t>
      </w:r>
      <w:r w:rsidRPr="00C06CBC">
        <w:rPr>
          <w:bCs/>
        </w:rPr>
        <w:t xml:space="preserve">се предоставят на „БДЖ-Пътнически превози“ ЕООД за компенсации за пътувания с железопътния транспорт и под формата на целеви трансфер на общините - </w:t>
      </w:r>
      <w:r w:rsidRPr="00C06CBC">
        <w:t xml:space="preserve">за автомобилния транспорт. </w:t>
      </w:r>
    </w:p>
    <w:p w:rsidR="008943A7" w:rsidRPr="006D6DCB" w:rsidRDefault="008943A7" w:rsidP="008943A7">
      <w:pPr>
        <w:tabs>
          <w:tab w:val="left" w:pos="851"/>
        </w:tabs>
        <w:ind w:firstLine="567"/>
        <w:jc w:val="both"/>
        <w:rPr>
          <w:sz w:val="8"/>
          <w:szCs w:val="8"/>
        </w:rPr>
      </w:pPr>
      <w:r w:rsidRPr="006D6DCB">
        <w:t xml:space="preserve"> Предоставените средства за първо тримесечие на 2024 г. са общо в размер на 10</w:t>
      </w:r>
      <w:r w:rsidRPr="006D6DCB">
        <w:rPr>
          <w:lang w:val="ru-RU"/>
        </w:rPr>
        <w:t>4,9</w:t>
      </w:r>
      <w:r w:rsidRPr="006D6DCB">
        <w:t xml:space="preserve"> млн. лв., в т.ч. за вътрешноградския транспорт, междуселищния автомобилен транспорт и железопътния транспорт. </w:t>
      </w:r>
    </w:p>
    <w:p w:rsidR="008943A7" w:rsidRPr="006D6DCB" w:rsidRDefault="008943A7" w:rsidP="008943A7">
      <w:pPr>
        <w:tabs>
          <w:tab w:val="left" w:pos="851"/>
        </w:tabs>
        <w:ind w:firstLine="567"/>
        <w:jc w:val="both"/>
      </w:pPr>
      <w:r w:rsidRPr="006D6DCB">
        <w:t xml:space="preserve">Предоставените средства към 31.03.2024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6D6DCB">
        <w:rPr>
          <w:noProof/>
        </w:rPr>
        <w:t xml:space="preserve">вътрешноградски транспорт и междуселищен </w:t>
      </w:r>
      <w:r w:rsidRPr="006D6DCB">
        <w:t>автомобилен транспорт или железопътен транспорт са както следва:</w:t>
      </w:r>
    </w:p>
    <w:p w:rsidR="008943A7" w:rsidRPr="006D6DCB" w:rsidRDefault="008943A7" w:rsidP="008943A7">
      <w:pPr>
        <w:ind w:firstLine="567"/>
        <w:jc w:val="both"/>
      </w:pPr>
      <w:r w:rsidRPr="006D6DCB">
        <w:t xml:space="preserve">- компенсации за пътувания с железопътния транспорт в размер на 1,3 млн. лв.; </w:t>
      </w:r>
    </w:p>
    <w:p w:rsidR="008943A7" w:rsidRPr="006D6DCB" w:rsidRDefault="008943A7" w:rsidP="008943A7">
      <w:pPr>
        <w:tabs>
          <w:tab w:val="left" w:pos="540"/>
          <w:tab w:val="left" w:pos="709"/>
        </w:tabs>
        <w:ind w:firstLine="567"/>
        <w:jc w:val="both"/>
        <w:rPr>
          <w:noProof/>
        </w:rPr>
      </w:pPr>
      <w:r w:rsidRPr="006D6DCB">
        <w:rPr>
          <w:noProof/>
        </w:rPr>
        <w:t xml:space="preserve">- компенсации за пътувания с вътрешноградски транспорт и междуселищния автомобилен транспорт в страната, предоставени чрез Системата за електронни бюджетни разплащания – 103,6 млн. лв. </w:t>
      </w:r>
    </w:p>
    <w:p w:rsidR="008943A7" w:rsidRPr="006D6DCB" w:rsidRDefault="008943A7" w:rsidP="008943A7">
      <w:pPr>
        <w:ind w:firstLine="567"/>
        <w:jc w:val="both"/>
        <w:rPr>
          <w:noProof/>
        </w:rPr>
      </w:pPr>
      <w:r w:rsidRPr="006D6DCB">
        <w:rPr>
          <w:noProof/>
        </w:rPr>
        <w:t xml:space="preserve">Предоставените средства за </w:t>
      </w:r>
      <w:r w:rsidRPr="006D6DCB">
        <w:t>компенсиране на намалените приходи от прилагането на цени за пътуване, предвидени в нормативни актове за определени категории пътници,</w:t>
      </w:r>
      <w:r w:rsidRPr="006D6DCB">
        <w:rPr>
          <w:noProof/>
        </w:rPr>
        <w:t xml:space="preserve"> по вътрешноградския транспорт и междуселищния автомобилен транспорт за първите три месеца на 2024 г., диференцирани по групи правоимащи лица и размер на намалението спрямо редовната цена, са както следва:</w:t>
      </w:r>
    </w:p>
    <w:p w:rsidR="008943A7" w:rsidRPr="006D6DCB" w:rsidRDefault="008943A7" w:rsidP="008943A7">
      <w:pPr>
        <w:pStyle w:val="BodyTextIndent"/>
        <w:spacing w:after="0"/>
        <w:ind w:left="0" w:firstLine="567"/>
        <w:jc w:val="both"/>
      </w:pPr>
      <w:r w:rsidRPr="006D6DCB">
        <w:t xml:space="preserve">- 21,2 млн. лв. за транспорт на деца и ученици; </w:t>
      </w:r>
    </w:p>
    <w:p w:rsidR="008943A7" w:rsidRPr="006D6DCB" w:rsidRDefault="008943A7" w:rsidP="008943A7">
      <w:pPr>
        <w:pStyle w:val="BodyTextIndent"/>
        <w:tabs>
          <w:tab w:val="left" w:pos="1026"/>
        </w:tabs>
        <w:spacing w:after="0"/>
        <w:ind w:left="0" w:firstLine="567"/>
        <w:jc w:val="both"/>
      </w:pPr>
      <w:r w:rsidRPr="006D6DCB">
        <w:t>- 39,9 млн. лв. за безплатни и по намалени цени пътувания по общини, в това число:</w:t>
      </w:r>
    </w:p>
    <w:p w:rsidR="008943A7" w:rsidRPr="006D6DCB" w:rsidRDefault="008943A7" w:rsidP="008943A7">
      <w:pPr>
        <w:numPr>
          <w:ilvl w:val="0"/>
          <w:numId w:val="30"/>
        </w:numPr>
        <w:tabs>
          <w:tab w:val="left" w:pos="993"/>
        </w:tabs>
        <w:jc w:val="both"/>
      </w:pPr>
      <w:r w:rsidRPr="006D6DCB">
        <w:t xml:space="preserve">35,7 млн. лв. за безплатни пътувания на деца до седемгодишна възраст, ветерани от войните, военноинвалиди и </w:t>
      </w:r>
      <w:proofErr w:type="spellStart"/>
      <w:r w:rsidRPr="006D6DCB">
        <w:t>военнопострадали</w:t>
      </w:r>
      <w:proofErr w:type="spellEnd"/>
      <w:r w:rsidRPr="006D6DCB">
        <w:t xml:space="preserve">, както и пътувания по намалени цени на деца от 7 до 10 навършени години, учащи се и лица, получаващи пенсия, с вътрешноградския транспорт и междуселищния автомобилен транспорт; </w:t>
      </w:r>
    </w:p>
    <w:p w:rsidR="008943A7" w:rsidRPr="006D6DCB" w:rsidRDefault="008943A7" w:rsidP="008943A7">
      <w:pPr>
        <w:numPr>
          <w:ilvl w:val="0"/>
          <w:numId w:val="30"/>
        </w:numPr>
        <w:tabs>
          <w:tab w:val="left" w:pos="993"/>
        </w:tabs>
        <w:jc w:val="both"/>
      </w:pPr>
      <w:r w:rsidRPr="006D6DCB">
        <w:t>4,2 млн. лв. за превоз на служители, ползващи право на безплатно пътуване при изпълнение на служебните си задължения</w:t>
      </w:r>
      <w:r>
        <w:t>.</w:t>
      </w:r>
    </w:p>
    <w:p w:rsidR="006F434D" w:rsidRPr="004B7A23" w:rsidRDefault="006F434D" w:rsidP="008943A7">
      <w:pPr>
        <w:tabs>
          <w:tab w:val="left" w:pos="993"/>
        </w:tabs>
        <w:jc w:val="both"/>
        <w:rPr>
          <w:color w:val="0070C0"/>
        </w:rPr>
      </w:pPr>
    </w:p>
    <w:p w:rsidR="00333B5E" w:rsidRPr="00587800" w:rsidRDefault="00333B5E" w:rsidP="00333B5E">
      <w:pPr>
        <w:jc w:val="both"/>
        <w:rPr>
          <w:color w:val="0070C0"/>
          <w:sz w:val="12"/>
          <w:szCs w:val="12"/>
          <w:lang w:val="ru-RU"/>
        </w:rPr>
      </w:pPr>
    </w:p>
    <w:p w:rsidR="00C4366D" w:rsidRPr="00856544" w:rsidRDefault="00C4366D" w:rsidP="00C4366D">
      <w:pPr>
        <w:numPr>
          <w:ilvl w:val="0"/>
          <w:numId w:val="7"/>
        </w:numPr>
        <w:spacing w:after="120"/>
        <w:ind w:left="0" w:firstLine="360"/>
        <w:jc w:val="both"/>
        <w:rPr>
          <w:b/>
        </w:rPr>
      </w:pPr>
      <w:r w:rsidRPr="00856544">
        <w:rPr>
          <w:b/>
        </w:rPr>
        <w:t xml:space="preserve">Разходи за лихви </w:t>
      </w:r>
    </w:p>
    <w:p w:rsidR="00C4366D" w:rsidRPr="005F0DD9" w:rsidRDefault="00C4366D" w:rsidP="00C4366D">
      <w:pPr>
        <w:spacing w:after="60"/>
        <w:jc w:val="both"/>
      </w:pPr>
      <w:r w:rsidRPr="005F0DD9">
        <w:rPr>
          <w:b/>
        </w:rPr>
        <w:t xml:space="preserve">Лихвените плащания </w:t>
      </w:r>
      <w:r w:rsidRPr="005F0DD9">
        <w:t xml:space="preserve">по държавния бюджет към </w:t>
      </w:r>
      <w:r>
        <w:rPr>
          <w:lang w:val="ru-RU"/>
        </w:rPr>
        <w:t>31.03</w:t>
      </w:r>
      <w:r w:rsidRPr="005F0DD9">
        <w:rPr>
          <w:lang w:val="ru-RU"/>
        </w:rPr>
        <w:t>.2024</w:t>
      </w:r>
      <w:r w:rsidRPr="005F0DD9">
        <w:t xml:space="preserve"> г. са в общ размер на </w:t>
      </w:r>
      <w:r w:rsidRPr="005F0DD9">
        <w:rPr>
          <w:b/>
        </w:rPr>
        <w:t>322,4 млн. лв</w:t>
      </w:r>
      <w:r w:rsidRPr="005F0DD9">
        <w:t>. или 33,3 % от предвидените в годишните разчети.</w:t>
      </w:r>
    </w:p>
    <w:p w:rsidR="00C4366D" w:rsidRPr="00755848" w:rsidRDefault="00C4366D" w:rsidP="00C4366D">
      <w:pPr>
        <w:spacing w:after="120"/>
        <w:jc w:val="both"/>
      </w:pPr>
      <w:r w:rsidRPr="000571F1">
        <w:t xml:space="preserve">Разходите за </w:t>
      </w:r>
      <w:r w:rsidRPr="000571F1">
        <w:rPr>
          <w:b/>
        </w:rPr>
        <w:t>лихви по външни заеми</w:t>
      </w:r>
      <w:r w:rsidRPr="000571F1">
        <w:t xml:space="preserve"> са в размер на </w:t>
      </w:r>
      <w:r w:rsidRPr="000571F1">
        <w:rPr>
          <w:lang w:val="ru-RU"/>
        </w:rPr>
        <w:t>294,8</w:t>
      </w:r>
      <w:r w:rsidRPr="000571F1">
        <w:t xml:space="preserve"> млн. лв.</w:t>
      </w:r>
      <w:r>
        <w:t xml:space="preserve">, </w:t>
      </w:r>
      <w:r w:rsidRPr="00755848">
        <w:t xml:space="preserve">в т.ч. </w:t>
      </w:r>
      <w:r>
        <w:t>289,1</w:t>
      </w:r>
      <w:r w:rsidRPr="00755848">
        <w:t xml:space="preserve"> млн. лв. по централния бюджет. Разходите за лихви по </w:t>
      </w:r>
      <w:r w:rsidRPr="0068168F">
        <w:t>държавни инвестиционни заеми</w:t>
      </w:r>
      <w:r w:rsidRPr="008A4325">
        <w:t xml:space="preserve"> (ДИЗ)</w:t>
      </w:r>
      <w:r w:rsidRPr="00755848">
        <w:t xml:space="preserve">, управлявани от министерства и ведомства, са в размер на </w:t>
      </w:r>
      <w:r>
        <w:t>5,7</w:t>
      </w:r>
      <w:r w:rsidRPr="00755848">
        <w:t xml:space="preserve"> млн. л</w:t>
      </w:r>
      <w:r>
        <w:t>в.</w:t>
      </w:r>
      <w:r w:rsidRPr="00755848">
        <w:t xml:space="preserve"> </w:t>
      </w:r>
      <w:r>
        <w:rPr>
          <w:lang w:val="ru-RU"/>
        </w:rPr>
        <w:t>П</w:t>
      </w:r>
      <w:r w:rsidRPr="008A4325">
        <w:rPr>
          <w:lang w:val="ru-RU"/>
        </w:rPr>
        <w:t>о заемите с краен бенефициент – търговско дружество няма извършени плащания</w:t>
      </w:r>
      <w:r w:rsidRPr="00755848">
        <w:t xml:space="preserve">. </w:t>
      </w:r>
    </w:p>
    <w:p w:rsidR="00C4366D" w:rsidRPr="00E6322D" w:rsidRDefault="00C4366D" w:rsidP="00C4366D">
      <w:pPr>
        <w:spacing w:after="120"/>
        <w:jc w:val="both"/>
        <w:rPr>
          <w:b/>
        </w:rPr>
      </w:pPr>
      <w:r w:rsidRPr="00E6322D">
        <w:t>През отчетния период не са използвани средства за покриване на риска от активиране на държавни гаранции.</w:t>
      </w:r>
      <w:r w:rsidRPr="00E6322D">
        <w:rPr>
          <w:b/>
        </w:rPr>
        <w:t xml:space="preserve"> </w:t>
      </w:r>
    </w:p>
    <w:p w:rsidR="00C4366D" w:rsidRPr="00DA4F7C" w:rsidRDefault="00C4366D" w:rsidP="00C4366D">
      <w:pPr>
        <w:spacing w:after="60"/>
        <w:jc w:val="both"/>
      </w:pPr>
      <w:r w:rsidRPr="00DA4F7C">
        <w:rPr>
          <w:b/>
        </w:rPr>
        <w:t>Лихвите по вътрешни заеми</w:t>
      </w:r>
      <w:r w:rsidRPr="00DA4F7C">
        <w:t xml:space="preserve"> по държавния бюджет </w:t>
      </w:r>
      <w:r w:rsidRPr="00DA4F7C">
        <w:rPr>
          <w:bCs/>
        </w:rPr>
        <w:t>към март 2024 г.</w:t>
      </w:r>
      <w:r w:rsidRPr="00DA4F7C">
        <w:t xml:space="preserve"> са в размер на </w:t>
      </w:r>
      <w:r w:rsidRPr="00DA4F7C">
        <w:rPr>
          <w:b/>
        </w:rPr>
        <w:t>27,6 млн. лв.</w:t>
      </w:r>
      <w:r w:rsidRPr="00DA4F7C">
        <w:t xml:space="preserve"> и представляват лихви по емисии на ДЦК на вътрешния пазар. </w:t>
      </w:r>
    </w:p>
    <w:p w:rsidR="00C4366D" w:rsidRPr="002739BA" w:rsidRDefault="00C4366D" w:rsidP="00C4366D">
      <w:pPr>
        <w:numPr>
          <w:ilvl w:val="0"/>
          <w:numId w:val="44"/>
        </w:numPr>
        <w:tabs>
          <w:tab w:val="clear" w:pos="700"/>
          <w:tab w:val="num" w:pos="0"/>
          <w:tab w:val="left" w:pos="426"/>
        </w:tabs>
        <w:spacing w:before="240" w:after="120"/>
        <w:ind w:left="0" w:firstLine="0"/>
        <w:jc w:val="both"/>
        <w:rPr>
          <w:b/>
        </w:rPr>
      </w:pPr>
      <w:r w:rsidRPr="002739BA">
        <w:rPr>
          <w:b/>
        </w:rPr>
        <w:t xml:space="preserve">Нетният размер на трансферите по държавния бюджет  към март 2024 г. е 6 777,8 млн. лв.,  в т.ч.: </w:t>
      </w:r>
    </w:p>
    <w:p w:rsidR="00C4366D" w:rsidRPr="002739BA" w:rsidRDefault="00C4366D" w:rsidP="00C4366D">
      <w:pPr>
        <w:numPr>
          <w:ilvl w:val="0"/>
          <w:numId w:val="18"/>
        </w:numPr>
        <w:tabs>
          <w:tab w:val="clear" w:pos="700"/>
          <w:tab w:val="left" w:pos="180"/>
          <w:tab w:val="num" w:pos="540"/>
          <w:tab w:val="num" w:pos="1495"/>
          <w:tab w:val="num" w:pos="9858"/>
        </w:tabs>
        <w:ind w:left="538" w:hanging="357"/>
        <w:jc w:val="both"/>
      </w:pPr>
      <w:r w:rsidRPr="002739BA">
        <w:t>бюджетните  взаимоотношения  с  общините  включват  нето трансфери  и временни безлихвени заеми в  размер  на 2 689,2 млн. лв.,</w:t>
      </w:r>
      <w:r w:rsidRPr="002739BA">
        <w:rPr>
          <w:lang w:val="ru-RU"/>
        </w:rPr>
        <w:t xml:space="preserve"> </w:t>
      </w:r>
      <w:r w:rsidRPr="002739BA">
        <w:t>от които субсидии от централния бюджет в размер на 2 360,0 млн. лв., други целеви трансфери от централния бюджет в размер на 106,7 млн. лв., нетни трансфери от/за други бюджети в размер на 244,7 млн. лв. и възстановени трансфери от предходни години в централния бюджет – 22,2 млн. лева;</w:t>
      </w:r>
    </w:p>
    <w:p w:rsidR="00C4366D" w:rsidRPr="00F46AF2" w:rsidRDefault="00C4366D" w:rsidP="00C4366D">
      <w:pPr>
        <w:numPr>
          <w:ilvl w:val="0"/>
          <w:numId w:val="18"/>
        </w:numPr>
        <w:tabs>
          <w:tab w:val="clear" w:pos="700"/>
          <w:tab w:val="left" w:pos="180"/>
          <w:tab w:val="num" w:pos="540"/>
          <w:tab w:val="num" w:pos="1495"/>
          <w:tab w:val="num" w:pos="9858"/>
        </w:tabs>
        <w:ind w:left="538" w:hanging="357"/>
        <w:jc w:val="both"/>
      </w:pPr>
      <w:r w:rsidRPr="00F46AF2">
        <w:t xml:space="preserve">на </w:t>
      </w:r>
      <w:proofErr w:type="spellStart"/>
      <w:r w:rsidRPr="00F46AF2">
        <w:t>социалноосигурителните</w:t>
      </w:r>
      <w:proofErr w:type="spellEnd"/>
      <w:r w:rsidRPr="00F46AF2">
        <w:t xml:space="preserve"> фондове (нето) – 3 516,2 млн. лв.;</w:t>
      </w:r>
    </w:p>
    <w:p w:rsidR="00C4366D" w:rsidRPr="00F46AF2" w:rsidRDefault="00C4366D" w:rsidP="00C4366D">
      <w:pPr>
        <w:numPr>
          <w:ilvl w:val="0"/>
          <w:numId w:val="18"/>
        </w:numPr>
        <w:tabs>
          <w:tab w:val="clear" w:pos="700"/>
          <w:tab w:val="left" w:pos="180"/>
          <w:tab w:val="num" w:pos="540"/>
          <w:tab w:val="num" w:pos="1495"/>
          <w:tab w:val="num" w:pos="9858"/>
        </w:tabs>
        <w:ind w:left="538" w:hanging="357"/>
        <w:jc w:val="both"/>
      </w:pPr>
      <w:r w:rsidRPr="00F46AF2">
        <w:t xml:space="preserve">на други автономни бюджети (ДВУ, БАН, ССА, БНТ, БНР и БТА) – 307,8 млн. лв. </w:t>
      </w:r>
    </w:p>
    <w:p w:rsidR="00C4366D" w:rsidRPr="00856544" w:rsidRDefault="00C4366D" w:rsidP="00C4366D">
      <w:pPr>
        <w:pStyle w:val="ListParagraph"/>
        <w:numPr>
          <w:ilvl w:val="0"/>
          <w:numId w:val="43"/>
        </w:numPr>
        <w:tabs>
          <w:tab w:val="left" w:pos="426"/>
        </w:tabs>
        <w:spacing w:before="240" w:after="0" w:line="240" w:lineRule="auto"/>
        <w:ind w:left="0" w:firstLine="0"/>
        <w:contextualSpacing w:val="0"/>
        <w:rPr>
          <w:rFonts w:ascii="Times New Roman" w:hAnsi="Times New Roman"/>
          <w:bCs/>
        </w:rPr>
      </w:pPr>
      <w:r w:rsidRPr="00856544">
        <w:rPr>
          <w:rFonts w:ascii="Times New Roman" w:hAnsi="Times New Roman"/>
        </w:rPr>
        <w:t>Частта от</w:t>
      </w:r>
      <w:r w:rsidRPr="00856544">
        <w:rPr>
          <w:rFonts w:ascii="Times New Roman" w:hAnsi="Times New Roman"/>
          <w:b/>
        </w:rPr>
        <w:t xml:space="preserve"> вноската на Република България в общия бюджет на ЕС, </w:t>
      </w:r>
      <w:r w:rsidRPr="00856544">
        <w:rPr>
          <w:rFonts w:ascii="Times New Roman" w:hAnsi="Times New Roman"/>
        </w:rPr>
        <w:t>изплатена към 31.03.2024 г. от централния бюджет, възлиза на</w:t>
      </w:r>
      <w:r w:rsidRPr="00856544">
        <w:rPr>
          <w:rFonts w:ascii="Times New Roman" w:hAnsi="Times New Roman"/>
          <w:b/>
        </w:rPr>
        <w:t xml:space="preserve"> 339,3 млн. лева.</w:t>
      </w:r>
      <w:r w:rsidRPr="00856544">
        <w:rPr>
          <w:rFonts w:ascii="Times New Roman" w:hAnsi="Times New Roman"/>
        </w:rPr>
        <w:t xml:space="preserve"> </w:t>
      </w:r>
    </w:p>
    <w:p w:rsidR="00C4366D" w:rsidRPr="00A03110" w:rsidRDefault="00C4366D" w:rsidP="00C4366D">
      <w:pPr>
        <w:numPr>
          <w:ilvl w:val="0"/>
          <w:numId w:val="6"/>
        </w:numPr>
        <w:tabs>
          <w:tab w:val="clear" w:pos="7650"/>
          <w:tab w:val="num" w:pos="426"/>
        </w:tabs>
        <w:spacing w:before="240" w:after="240"/>
        <w:ind w:left="0" w:firstLine="0"/>
        <w:jc w:val="both"/>
        <w:rPr>
          <w:sz w:val="16"/>
          <w:szCs w:val="16"/>
        </w:rPr>
      </w:pPr>
      <w:r w:rsidRPr="00A03110">
        <w:rPr>
          <w:b/>
        </w:rPr>
        <w:t>Бюджетното салдо по държавния бюджет</w:t>
      </w:r>
      <w:r w:rsidRPr="00A03110">
        <w:t xml:space="preserve"> към </w:t>
      </w:r>
      <w:r w:rsidRPr="00A03110">
        <w:rPr>
          <w:lang w:val="ru-RU"/>
        </w:rPr>
        <w:t>31.03.2024</w:t>
      </w:r>
      <w:r w:rsidRPr="00A03110">
        <w:t xml:space="preserve"> г. </w:t>
      </w:r>
      <w:r w:rsidRPr="00A03110">
        <w:rPr>
          <w:b/>
        </w:rPr>
        <w:t>е отрицателно</w:t>
      </w:r>
      <w:r w:rsidRPr="00A03110">
        <w:t xml:space="preserve"> в размер на </w:t>
      </w:r>
      <w:r>
        <w:rPr>
          <w:b/>
        </w:rPr>
        <w:t>1 773,1</w:t>
      </w:r>
      <w:r w:rsidRPr="00A03110">
        <w:rPr>
          <w:b/>
        </w:rPr>
        <w:t xml:space="preserve"> млн. лева</w:t>
      </w:r>
      <w:r w:rsidRPr="00A03110">
        <w:t xml:space="preserve">. </w:t>
      </w:r>
    </w:p>
    <w:p w:rsidR="00C4366D" w:rsidRPr="00683BE0" w:rsidRDefault="00C4366D" w:rsidP="00C4366D">
      <w:pPr>
        <w:numPr>
          <w:ilvl w:val="0"/>
          <w:numId w:val="6"/>
        </w:numPr>
        <w:tabs>
          <w:tab w:val="clear" w:pos="7650"/>
          <w:tab w:val="num" w:pos="426"/>
        </w:tabs>
        <w:spacing w:before="240" w:after="240"/>
        <w:ind w:left="0" w:firstLine="0"/>
        <w:jc w:val="both"/>
        <w:rPr>
          <w:b/>
        </w:rPr>
      </w:pPr>
      <w:r w:rsidRPr="00683BE0">
        <w:rPr>
          <w:b/>
        </w:rPr>
        <w:t>Финансиране на бюджета чрез операции по дълга</w:t>
      </w:r>
    </w:p>
    <w:p w:rsidR="00C4366D" w:rsidRPr="00D231A1" w:rsidRDefault="00C4366D" w:rsidP="00C4366D">
      <w:pPr>
        <w:spacing w:before="120" w:after="120"/>
        <w:jc w:val="both"/>
      </w:pPr>
      <w:r w:rsidRPr="00D231A1">
        <w:t>Към 31.03.2024 г. е отчетено отрицателно нетно дългово финансиране на държавния бюджет в размер на 15,9 млн. лв., което се дължи на извършените погашения по държавния дълг без постъпления от емисии на държавни ценни книжа/държавни заеми. По централния бюджет е отчетено нулево дългово финансиране.</w:t>
      </w:r>
    </w:p>
    <w:p w:rsidR="00C4366D" w:rsidRPr="00F21E8F" w:rsidRDefault="00C4366D" w:rsidP="00C4366D">
      <w:pPr>
        <w:spacing w:after="120"/>
        <w:jc w:val="both"/>
      </w:pPr>
      <w:r w:rsidRPr="00F21E8F">
        <w:t xml:space="preserve">Операции с държавни ценни книжа по централния бюджет (позиция във вътрешното финансиране): Към месец март не са провеждани </w:t>
      </w:r>
      <w:proofErr w:type="spellStart"/>
      <w:r w:rsidRPr="00F21E8F">
        <w:t>аукциони</w:t>
      </w:r>
      <w:proofErr w:type="spellEnd"/>
      <w:r w:rsidRPr="00F21E8F">
        <w:t xml:space="preserve"> на емисии ДЦК за финансиране на бюджета, също така няма и извършени погашения по вътрешния дълг.</w:t>
      </w:r>
    </w:p>
    <w:p w:rsidR="00C4366D" w:rsidRDefault="00C4366D" w:rsidP="00C4366D">
      <w:pPr>
        <w:spacing w:after="120"/>
        <w:jc w:val="both"/>
      </w:pPr>
      <w:r w:rsidRPr="001A020B">
        <w:t>Към март не са издавани еврооблигации на международните капиталови пазари, както и няма усвоявания на средства по държавни заеми. Не са извършени погашения по външния държавен дълг от централен бюджет</w:t>
      </w:r>
      <w:r>
        <w:t xml:space="preserve">. </w:t>
      </w:r>
    </w:p>
    <w:p w:rsidR="00C4366D" w:rsidRPr="00F74EE5" w:rsidRDefault="0035004A" w:rsidP="00C4366D">
      <w:pPr>
        <w:spacing w:after="120"/>
        <w:jc w:val="both"/>
        <w:rPr>
          <w:color w:val="0070C0"/>
        </w:rPr>
      </w:pPr>
      <w:r w:rsidRPr="0035004A">
        <w:t>Погашенията по ДИЗ, управлявани от министерства и ведомства в края на март са в размер на 15,6 млн. лв. По заемите с краен бенефициент търговско дружество извършените погашения са в размер на 0,3 млн. лева</w:t>
      </w:r>
      <w:r w:rsidR="00C4366D" w:rsidRPr="00F74EE5">
        <w:rPr>
          <w:color w:val="0070C0"/>
        </w:rPr>
        <w:t>.</w:t>
      </w:r>
    </w:p>
    <w:p w:rsidR="00C4366D" w:rsidRPr="00FB1CAF" w:rsidRDefault="00C4366D" w:rsidP="00C4366D">
      <w:pPr>
        <w:spacing w:after="120"/>
        <w:jc w:val="both"/>
      </w:pPr>
      <w:r w:rsidRPr="00FB1CAF">
        <w:t>Не са използвани средства, предвидени за покриване на риска от активиране на държавни гаранции.</w:t>
      </w:r>
    </w:p>
    <w:p w:rsidR="00C4366D" w:rsidRPr="007E7607" w:rsidRDefault="00C4366D" w:rsidP="00C4366D">
      <w:pPr>
        <w:pStyle w:val="Heading1"/>
        <w:numPr>
          <w:ilvl w:val="1"/>
          <w:numId w:val="9"/>
        </w:numPr>
        <w:spacing w:before="240" w:after="120"/>
        <w:ind w:right="-108" w:hanging="357"/>
        <w:jc w:val="both"/>
        <w:rPr>
          <w:sz w:val="24"/>
        </w:rPr>
      </w:pPr>
      <w:r w:rsidRPr="007E7607">
        <w:rPr>
          <w:sz w:val="24"/>
        </w:rPr>
        <w:t>Бюджет на съдебната власт</w:t>
      </w:r>
    </w:p>
    <w:p w:rsidR="00C4366D" w:rsidRPr="004B7A23" w:rsidRDefault="00C4366D" w:rsidP="00C4366D">
      <w:pPr>
        <w:jc w:val="both"/>
        <w:rPr>
          <w:color w:val="0070C0"/>
        </w:rPr>
      </w:pPr>
      <w:r w:rsidRPr="008A7462">
        <w:t>За първото тримесечие на 202</w:t>
      </w:r>
      <w:r w:rsidRPr="00587800">
        <w:rPr>
          <w:lang w:val="ru-RU"/>
        </w:rPr>
        <w:t>4</w:t>
      </w:r>
      <w:r w:rsidRPr="008A7462">
        <w:t xml:space="preserve"> г. по бюджета на съдебната власт са отчетени </w:t>
      </w:r>
      <w:r w:rsidRPr="008A7462">
        <w:rPr>
          <w:b/>
        </w:rPr>
        <w:t>приходи</w:t>
      </w:r>
      <w:r w:rsidRPr="008A7462">
        <w:t xml:space="preserve"> в размер на </w:t>
      </w:r>
      <w:r w:rsidRPr="00587800">
        <w:rPr>
          <w:lang w:val="ru-RU"/>
        </w:rPr>
        <w:t>27</w:t>
      </w:r>
      <w:r w:rsidRPr="008A7462">
        <w:t xml:space="preserve">,5 </w:t>
      </w:r>
      <w:r w:rsidRPr="00232227">
        <w:t>млн. лв., от които 23,3 млн. лв. - приходи от съдебни такси. За сравнение, към 31.03.2023 г. са отчетени общо приходи в размер на 22,2 млн. лв., от които 18,5 млн. лв. - приходи от съдебни такси.</w:t>
      </w:r>
    </w:p>
    <w:p w:rsidR="00C4366D" w:rsidRPr="00C93A09" w:rsidRDefault="00C4366D" w:rsidP="00C4366D">
      <w:pPr>
        <w:tabs>
          <w:tab w:val="left" w:pos="90"/>
        </w:tabs>
        <w:spacing w:before="120"/>
        <w:jc w:val="both"/>
      </w:pPr>
      <w:r w:rsidRPr="00C93A09">
        <w:rPr>
          <w:b/>
        </w:rPr>
        <w:t xml:space="preserve">Разходите </w:t>
      </w:r>
      <w:r w:rsidRPr="00C93A09">
        <w:t>по бюджета на съдебната власт</w:t>
      </w:r>
      <w:r w:rsidRPr="00C93A09">
        <w:rPr>
          <w:b/>
        </w:rPr>
        <w:t xml:space="preserve"> </w:t>
      </w:r>
      <w:r w:rsidRPr="00C93A09">
        <w:t>към 31.09.2024 г.</w:t>
      </w:r>
      <w:r w:rsidRPr="00C93A09">
        <w:rPr>
          <w:b/>
        </w:rPr>
        <w:t xml:space="preserve"> </w:t>
      </w:r>
      <w:r w:rsidRPr="00C93A09">
        <w:t>са в размер на 321,5 млн. лв., като с най-голям относителен дял от отчетените разходи са тези за персонал – 93,6 % (300,8 млн. лв.). За сравнение, през същия период на 2023 г. са отчетени общо разходи в размер 249,1 млн. лева.</w:t>
      </w:r>
    </w:p>
    <w:p w:rsidR="00F521AA" w:rsidRPr="006308FC" w:rsidRDefault="00F521AA" w:rsidP="00ED2B9A">
      <w:pPr>
        <w:pStyle w:val="Heading1"/>
        <w:numPr>
          <w:ilvl w:val="0"/>
          <w:numId w:val="9"/>
        </w:numPr>
        <w:tabs>
          <w:tab w:val="left" w:pos="90"/>
          <w:tab w:val="left" w:pos="993"/>
        </w:tabs>
        <w:spacing w:before="240" w:after="120"/>
        <w:ind w:left="0" w:right="-108" w:firstLine="567"/>
        <w:jc w:val="both"/>
        <w:rPr>
          <w:sz w:val="24"/>
        </w:rPr>
      </w:pPr>
      <w:r w:rsidRPr="006308FC">
        <w:rPr>
          <w:sz w:val="24"/>
        </w:rPr>
        <w:t xml:space="preserve">Сметки за средства от ЕС на Разплащателната агенция към ДФ „Земеделие“ и на Националния фонд към Министерството на финансите </w:t>
      </w:r>
    </w:p>
    <w:p w:rsidR="00F521AA" w:rsidRPr="006308FC" w:rsidRDefault="00F521AA" w:rsidP="00F34210">
      <w:pPr>
        <w:pStyle w:val="Heading1"/>
        <w:numPr>
          <w:ilvl w:val="1"/>
          <w:numId w:val="9"/>
        </w:numPr>
        <w:tabs>
          <w:tab w:val="left" w:pos="90"/>
          <w:tab w:val="left" w:pos="993"/>
        </w:tabs>
        <w:spacing w:before="120" w:after="120"/>
        <w:ind w:left="0" w:right="-108" w:firstLine="567"/>
        <w:jc w:val="both"/>
        <w:rPr>
          <w:sz w:val="24"/>
        </w:rPr>
      </w:pPr>
      <w:r w:rsidRPr="006308FC">
        <w:rPr>
          <w:sz w:val="24"/>
        </w:rPr>
        <w:t xml:space="preserve"> Сметка за Европейски средства на Разплащателна агенция </w:t>
      </w:r>
      <w:r w:rsidR="00924745" w:rsidRPr="006308FC">
        <w:rPr>
          <w:sz w:val="24"/>
        </w:rPr>
        <w:t xml:space="preserve">ДФ „Земеделие“ </w:t>
      </w:r>
      <w:r w:rsidRPr="006308FC">
        <w:rPr>
          <w:sz w:val="24"/>
        </w:rPr>
        <w:t xml:space="preserve"> </w:t>
      </w:r>
    </w:p>
    <w:p w:rsidR="006308FC" w:rsidRPr="00765EEF" w:rsidRDefault="006308FC" w:rsidP="006308FC">
      <w:pPr>
        <w:numPr>
          <w:ilvl w:val="0"/>
          <w:numId w:val="20"/>
        </w:numPr>
        <w:tabs>
          <w:tab w:val="left" w:pos="90"/>
          <w:tab w:val="num" w:pos="540"/>
        </w:tabs>
        <w:spacing w:before="120" w:after="120" w:line="276" w:lineRule="auto"/>
        <w:ind w:left="0" w:firstLine="567"/>
        <w:contextualSpacing/>
        <w:jc w:val="both"/>
        <w:rPr>
          <w:b/>
          <w:lang w:eastAsia="bg-BG"/>
        </w:rPr>
      </w:pPr>
      <w:r w:rsidRPr="00765EEF">
        <w:rPr>
          <w:b/>
          <w:lang w:eastAsia="bg-BG"/>
        </w:rPr>
        <w:t>Приходи</w:t>
      </w:r>
    </w:p>
    <w:p w:rsidR="006308FC" w:rsidRPr="00FD01B9" w:rsidRDefault="006308FC" w:rsidP="00C96981">
      <w:pPr>
        <w:ind w:firstLine="567"/>
        <w:jc w:val="both"/>
      </w:pPr>
      <w:r w:rsidRPr="00FD01B9">
        <w:t>За 202</w:t>
      </w:r>
      <w:r w:rsidRPr="00AE2D5C">
        <w:rPr>
          <w:lang w:val="ru-RU"/>
        </w:rPr>
        <w:t xml:space="preserve">4 </w:t>
      </w:r>
      <w:r w:rsidRPr="00FD01B9">
        <w:t xml:space="preserve">г. планираните приходи по утвърдените годишни разчети на сметката за средства от Европейския съюз на Разплащателната агенция към ДФ „Земеделие” са в размер на </w:t>
      </w:r>
      <w:r w:rsidRPr="00AE2D5C">
        <w:rPr>
          <w:lang w:val="ru-RU"/>
        </w:rPr>
        <w:t>859,3</w:t>
      </w:r>
      <w:r w:rsidR="00F02F44">
        <w:t> </w:t>
      </w:r>
      <w:r w:rsidRPr="00FD01B9">
        <w:t>млн.</w:t>
      </w:r>
      <w:r>
        <w:t> </w:t>
      </w:r>
      <w:r w:rsidRPr="00FD01B9">
        <w:t>л</w:t>
      </w:r>
      <w:r>
        <w:t>ева</w:t>
      </w:r>
      <w:r w:rsidRPr="00FD01B9">
        <w:t>.</w:t>
      </w:r>
      <w:r w:rsidRPr="00AE2D5C">
        <w:rPr>
          <w:lang w:val="ru-RU"/>
        </w:rPr>
        <w:t xml:space="preserve"> </w:t>
      </w:r>
      <w:r w:rsidRPr="00FD01B9">
        <w:t>Към 31.03.202</w:t>
      </w:r>
      <w:r w:rsidRPr="00AE2D5C">
        <w:rPr>
          <w:lang w:val="ru-RU"/>
        </w:rPr>
        <w:t>4</w:t>
      </w:r>
      <w:r>
        <w:rPr>
          <w:lang w:val="ru-RU"/>
        </w:rPr>
        <w:t xml:space="preserve"> </w:t>
      </w:r>
      <w:r w:rsidRPr="00FD01B9">
        <w:t>г. постъпленията са в размер на 288,6 млн.</w:t>
      </w:r>
      <w:r>
        <w:t xml:space="preserve"> </w:t>
      </w:r>
      <w:r w:rsidRPr="00FD01B9">
        <w:t>лв., което представлява 33,6</w:t>
      </w:r>
      <w:r>
        <w:t> </w:t>
      </w:r>
      <w:r w:rsidRPr="00FD01B9">
        <w:t xml:space="preserve">% от годишния план. За същия период на </w:t>
      </w:r>
      <w:r>
        <w:t>предходната</w:t>
      </w:r>
      <w:r w:rsidRPr="00FD01B9">
        <w:t xml:space="preserve"> година отчетената сума в частта „Приходи“ е 94,2 млн.</w:t>
      </w:r>
      <w:r>
        <w:t xml:space="preserve"> </w:t>
      </w:r>
      <w:r w:rsidRPr="00FD01B9">
        <w:t>л</w:t>
      </w:r>
      <w:r>
        <w:t>е</w:t>
      </w:r>
      <w:r w:rsidRPr="00FD01B9">
        <w:t>в</w:t>
      </w:r>
      <w:r>
        <w:t>а</w:t>
      </w:r>
      <w:r w:rsidRPr="00FD01B9">
        <w:t>.</w:t>
      </w:r>
    </w:p>
    <w:p w:rsidR="006308FC" w:rsidRPr="00FD01B9" w:rsidRDefault="006308FC" w:rsidP="00C96981">
      <w:pPr>
        <w:tabs>
          <w:tab w:val="left" w:pos="709"/>
        </w:tabs>
        <w:ind w:firstLine="567"/>
        <w:jc w:val="both"/>
      </w:pPr>
      <w:r w:rsidRPr="00FD01B9">
        <w:tab/>
        <w:t>Приходната част е формирана от приходи от наказателни лихви, помощи и дарения от чужбина и коректив на касови постъпления, както следва:</w:t>
      </w:r>
    </w:p>
    <w:p w:rsidR="006308FC" w:rsidRPr="00FD01B9" w:rsidRDefault="006308FC" w:rsidP="006308FC">
      <w:pPr>
        <w:numPr>
          <w:ilvl w:val="0"/>
          <w:numId w:val="19"/>
        </w:numPr>
        <w:tabs>
          <w:tab w:val="left" w:pos="993"/>
        </w:tabs>
        <w:spacing w:before="120" w:after="120"/>
        <w:ind w:left="1321" w:hanging="612"/>
        <w:jc w:val="both"/>
        <w:rPr>
          <w:b/>
          <w:i/>
        </w:rPr>
      </w:pPr>
      <w:r w:rsidRPr="00FD01B9">
        <w:rPr>
          <w:b/>
          <w:i/>
        </w:rPr>
        <w:t>Приходи от наказателни лихви</w:t>
      </w:r>
    </w:p>
    <w:p w:rsidR="006308FC" w:rsidRPr="00FD01B9" w:rsidRDefault="006308FC" w:rsidP="00C96981">
      <w:pPr>
        <w:ind w:firstLine="567"/>
        <w:jc w:val="both"/>
      </w:pPr>
      <w:r w:rsidRPr="00FD01B9">
        <w:t>Към края на първото тримесечие на 202</w:t>
      </w:r>
      <w:r w:rsidRPr="00AE2D5C">
        <w:rPr>
          <w:lang w:val="ru-RU"/>
        </w:rPr>
        <w:t>4</w:t>
      </w:r>
      <w:r>
        <w:rPr>
          <w:lang w:val="ru-RU"/>
        </w:rPr>
        <w:t xml:space="preserve"> </w:t>
      </w:r>
      <w:r w:rsidRPr="00FD01B9">
        <w:t>г. са отчетени приходи от получени наказателни лихви, свързани с вземания за възстановяване на средства от ЕК в размер на 0,2 млн.</w:t>
      </w:r>
      <w:r>
        <w:t xml:space="preserve"> </w:t>
      </w:r>
      <w:r w:rsidRPr="00FD01B9">
        <w:t>л</w:t>
      </w:r>
      <w:r>
        <w:t>е</w:t>
      </w:r>
      <w:r w:rsidRPr="00FD01B9">
        <w:t>в</w:t>
      </w:r>
      <w:r>
        <w:t>а</w:t>
      </w:r>
      <w:r w:rsidRPr="00FD01B9">
        <w:t>.</w:t>
      </w:r>
    </w:p>
    <w:p w:rsidR="006308FC" w:rsidRPr="00FD01B9" w:rsidRDefault="006308FC" w:rsidP="006308FC">
      <w:pPr>
        <w:numPr>
          <w:ilvl w:val="0"/>
          <w:numId w:val="19"/>
        </w:numPr>
        <w:tabs>
          <w:tab w:val="left" w:pos="993"/>
        </w:tabs>
        <w:spacing w:before="120" w:after="120"/>
        <w:ind w:left="1321" w:hanging="612"/>
        <w:jc w:val="both"/>
        <w:rPr>
          <w:b/>
          <w:i/>
        </w:rPr>
      </w:pPr>
      <w:r w:rsidRPr="00FD01B9">
        <w:rPr>
          <w:b/>
          <w:i/>
        </w:rPr>
        <w:t>Текущи помощи и дарения от Европейския съюз</w:t>
      </w:r>
    </w:p>
    <w:p w:rsidR="006308FC" w:rsidRPr="00FD01B9" w:rsidRDefault="006308FC" w:rsidP="00C96981">
      <w:pPr>
        <w:ind w:firstLine="567"/>
        <w:jc w:val="both"/>
      </w:pPr>
      <w:r w:rsidRPr="00FD01B9">
        <w:t>Общият размер на получените приходи, отчетени в „Текущи помощи и дарения от Европейския съюз“, към 31.03.202</w:t>
      </w:r>
      <w:r w:rsidRPr="00AE2D5C">
        <w:rPr>
          <w:lang w:val="ru-RU"/>
        </w:rPr>
        <w:t>4</w:t>
      </w:r>
      <w:r>
        <w:rPr>
          <w:lang w:val="ru-RU"/>
        </w:rPr>
        <w:t xml:space="preserve"> </w:t>
      </w:r>
      <w:r w:rsidRPr="00FD01B9">
        <w:t>г. е 25,4 млн.</w:t>
      </w:r>
      <w:r>
        <w:t xml:space="preserve"> </w:t>
      </w:r>
      <w:r w:rsidRPr="00FD01B9">
        <w:t xml:space="preserve">лв., при планирани за годината средства в размер на </w:t>
      </w:r>
      <w:r w:rsidRPr="00AE2D5C">
        <w:rPr>
          <w:lang w:val="ru-RU"/>
        </w:rPr>
        <w:t>106,1</w:t>
      </w:r>
      <w:r w:rsidRPr="00FD01B9">
        <w:t xml:space="preserve"> млн.</w:t>
      </w:r>
      <w:r>
        <w:t xml:space="preserve"> </w:t>
      </w:r>
      <w:r w:rsidRPr="00FD01B9">
        <w:t>л</w:t>
      </w:r>
      <w:r>
        <w:t>е</w:t>
      </w:r>
      <w:r w:rsidRPr="00FD01B9">
        <w:t>в</w:t>
      </w:r>
      <w:r>
        <w:t>а</w:t>
      </w:r>
      <w:r w:rsidRPr="00FD01B9">
        <w:t>.</w:t>
      </w:r>
    </w:p>
    <w:p w:rsidR="006308FC" w:rsidRPr="00FD01B9" w:rsidRDefault="006308FC" w:rsidP="00C96981">
      <w:pPr>
        <w:ind w:firstLine="567"/>
        <w:jc w:val="both"/>
      </w:pPr>
      <w:r w:rsidRPr="00FD01B9">
        <w:t>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(ПРСР) без директни плащания към 31.03.202</w:t>
      </w:r>
      <w:r w:rsidRPr="00AE2D5C">
        <w:rPr>
          <w:lang w:val="ru-RU"/>
        </w:rPr>
        <w:t>4</w:t>
      </w:r>
      <w:r>
        <w:rPr>
          <w:lang w:val="ru-RU"/>
        </w:rPr>
        <w:t xml:space="preserve"> </w:t>
      </w:r>
      <w:r w:rsidRPr="00FD01B9">
        <w:t xml:space="preserve">г. възлизат на </w:t>
      </w:r>
      <w:r w:rsidRPr="00AE2D5C">
        <w:rPr>
          <w:lang w:val="ru-RU"/>
        </w:rPr>
        <w:t>18</w:t>
      </w:r>
      <w:r w:rsidRPr="00FD01B9">
        <w:t>,</w:t>
      </w:r>
      <w:r w:rsidRPr="00AE2D5C">
        <w:rPr>
          <w:lang w:val="ru-RU"/>
        </w:rPr>
        <w:t>1</w:t>
      </w:r>
      <w:r w:rsidRPr="00FD01B9">
        <w:t xml:space="preserve"> млн.</w:t>
      </w:r>
      <w:r>
        <w:t xml:space="preserve"> </w:t>
      </w:r>
      <w:r w:rsidRPr="00FD01B9">
        <w:t xml:space="preserve">лв., което е </w:t>
      </w:r>
      <w:r w:rsidRPr="00AE2D5C">
        <w:rPr>
          <w:lang w:val="ru-RU"/>
        </w:rPr>
        <w:t>24</w:t>
      </w:r>
      <w:r w:rsidRPr="00FD01B9">
        <w:t>,9</w:t>
      </w:r>
      <w:r>
        <w:t> </w:t>
      </w:r>
      <w:r w:rsidRPr="00FD01B9">
        <w:t xml:space="preserve">% от планираните за годината </w:t>
      </w:r>
      <w:r w:rsidRPr="00AE2D5C">
        <w:rPr>
          <w:lang w:val="ru-RU"/>
        </w:rPr>
        <w:t>72,8</w:t>
      </w:r>
      <w:r w:rsidRPr="00FD01B9">
        <w:t xml:space="preserve"> млн.</w:t>
      </w:r>
      <w:r>
        <w:t xml:space="preserve"> </w:t>
      </w:r>
      <w:r w:rsidRPr="00FD01B9">
        <w:t>лв. За същия период на миналата година отчетените текущи приходи са били в размер на 21,7 млн.</w:t>
      </w:r>
      <w:r>
        <w:t xml:space="preserve"> </w:t>
      </w:r>
      <w:r w:rsidRPr="00FD01B9">
        <w:t>л</w:t>
      </w:r>
      <w:r>
        <w:t>е</w:t>
      </w:r>
      <w:r w:rsidRPr="00FD01B9">
        <w:t>в</w:t>
      </w:r>
      <w:r>
        <w:t>а</w:t>
      </w:r>
      <w:r w:rsidRPr="00FD01B9">
        <w:t>.</w:t>
      </w:r>
    </w:p>
    <w:p w:rsidR="006308FC" w:rsidRPr="00FD01B9" w:rsidRDefault="006308FC" w:rsidP="00C96981">
      <w:pPr>
        <w:ind w:firstLine="567"/>
        <w:jc w:val="both"/>
      </w:pPr>
      <w:r w:rsidRPr="00FD01B9">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(ЕФГЗ) към 31.03.2024</w:t>
      </w:r>
      <w:r>
        <w:t xml:space="preserve"> </w:t>
      </w:r>
      <w:r w:rsidRPr="00FD01B9">
        <w:t>г. са 1,5 млн.</w:t>
      </w:r>
      <w:r>
        <w:t xml:space="preserve"> </w:t>
      </w:r>
      <w:r w:rsidRPr="00FD01B9">
        <w:t xml:space="preserve">лв., което представлява </w:t>
      </w:r>
      <w:r w:rsidRPr="00AE2D5C">
        <w:rPr>
          <w:lang w:val="ru-RU"/>
        </w:rPr>
        <w:t>13</w:t>
      </w:r>
      <w:r w:rsidRPr="00FD01B9">
        <w:t>,</w:t>
      </w:r>
      <w:r w:rsidRPr="00AE2D5C">
        <w:rPr>
          <w:lang w:val="ru-RU"/>
        </w:rPr>
        <w:t>4</w:t>
      </w:r>
      <w:r>
        <w:rPr>
          <w:lang w:val="ru-RU"/>
        </w:rPr>
        <w:t xml:space="preserve"> </w:t>
      </w:r>
      <w:r w:rsidRPr="00FD01B9">
        <w:t>% от планираните 11,2 млн.</w:t>
      </w:r>
      <w:r>
        <w:t xml:space="preserve"> </w:t>
      </w:r>
      <w:r w:rsidRPr="00FD01B9">
        <w:t>лв. за годината. За първото тримесечие на 2023</w:t>
      </w:r>
      <w:r>
        <w:t xml:space="preserve"> </w:t>
      </w:r>
      <w:r w:rsidRPr="00FD01B9">
        <w:t>г. по това направление са отчетени също 1,5 млн.</w:t>
      </w:r>
      <w:r>
        <w:t xml:space="preserve"> </w:t>
      </w:r>
      <w:r w:rsidRPr="00FD01B9">
        <w:t>лв.</w:t>
      </w:r>
    </w:p>
    <w:p w:rsidR="006308FC" w:rsidRPr="00FD01B9" w:rsidRDefault="006308FC" w:rsidP="00C96981">
      <w:pPr>
        <w:ind w:firstLine="567"/>
        <w:jc w:val="both"/>
      </w:pPr>
      <w:r w:rsidRPr="00FD01B9">
        <w:t>За периода 01.01-31.03.2024</w:t>
      </w:r>
      <w:r>
        <w:t xml:space="preserve"> </w:t>
      </w:r>
      <w:r w:rsidRPr="00FD01B9">
        <w:t xml:space="preserve">г. са получени </w:t>
      </w:r>
      <w:r w:rsidRPr="00AE2D5C">
        <w:rPr>
          <w:lang w:val="ru-RU"/>
        </w:rPr>
        <w:t>5</w:t>
      </w:r>
      <w:r w:rsidRPr="00FD01B9">
        <w:t>,</w:t>
      </w:r>
      <w:r w:rsidRPr="00AE2D5C">
        <w:rPr>
          <w:lang w:val="ru-RU"/>
        </w:rPr>
        <w:t>8</w:t>
      </w:r>
      <w:r w:rsidRPr="00FD01B9">
        <w:t xml:space="preserve"> млн.</w:t>
      </w:r>
      <w:r>
        <w:t xml:space="preserve"> </w:t>
      </w:r>
      <w:r w:rsidRPr="00FD01B9">
        <w:t xml:space="preserve">лв. текущи приходи, възстановени средства от Европейския фонд за морско дело и рибарство (ЕФМДР), което представлява </w:t>
      </w:r>
      <w:r w:rsidRPr="00AE2D5C">
        <w:rPr>
          <w:lang w:val="ru-RU"/>
        </w:rPr>
        <w:t>26</w:t>
      </w:r>
      <w:r w:rsidRPr="00FD01B9">
        <w:t>,</w:t>
      </w:r>
      <w:r w:rsidRPr="00AE2D5C">
        <w:rPr>
          <w:lang w:val="ru-RU"/>
        </w:rPr>
        <w:t>2</w:t>
      </w:r>
      <w:r>
        <w:rPr>
          <w:lang w:val="ru-RU"/>
        </w:rPr>
        <w:t> </w:t>
      </w:r>
      <w:r w:rsidRPr="00FD01B9">
        <w:t>% от годишния план в размер на 22,1 млн.</w:t>
      </w:r>
      <w:r>
        <w:t xml:space="preserve"> </w:t>
      </w:r>
      <w:r w:rsidRPr="00FD01B9">
        <w:t>л</w:t>
      </w:r>
      <w:r>
        <w:t>е</w:t>
      </w:r>
      <w:r w:rsidRPr="00FD01B9">
        <w:t>в</w:t>
      </w:r>
      <w:r>
        <w:t>а</w:t>
      </w:r>
      <w:r w:rsidRPr="00FD01B9">
        <w:t>. През същия период на миналата година са получени 1,4 млн.</w:t>
      </w:r>
      <w:r>
        <w:t xml:space="preserve"> </w:t>
      </w:r>
      <w:r w:rsidRPr="00FD01B9">
        <w:t>лв. текущи приходи.</w:t>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Капиталови помощи и дарения от Европейския съюз</w:t>
      </w:r>
    </w:p>
    <w:p w:rsidR="006308FC" w:rsidRPr="00FD01B9" w:rsidRDefault="006308FC" w:rsidP="00C96981">
      <w:pPr>
        <w:ind w:firstLine="567"/>
        <w:jc w:val="both"/>
      </w:pPr>
      <w:r w:rsidRPr="00FD01B9">
        <w:t>Общият размер на получените приходи, отчетени в „Капиталови помощи и дарения от Европейския съюз“ към 31.03.2024</w:t>
      </w:r>
      <w:r>
        <w:t xml:space="preserve"> </w:t>
      </w:r>
      <w:r w:rsidRPr="00FD01B9">
        <w:t>г. е 266,2 млн.</w:t>
      </w:r>
      <w:r>
        <w:t xml:space="preserve"> </w:t>
      </w:r>
      <w:r w:rsidRPr="00FD01B9">
        <w:t>лв. при планирани за годината 753,2 млн.</w:t>
      </w:r>
      <w:r>
        <w:t xml:space="preserve"> </w:t>
      </w:r>
      <w:r w:rsidRPr="00FD01B9">
        <w:t>лв.</w:t>
      </w:r>
    </w:p>
    <w:p w:rsidR="006308FC" w:rsidRPr="00FD01B9" w:rsidRDefault="006308FC" w:rsidP="00E031F0">
      <w:pPr>
        <w:ind w:firstLine="567"/>
        <w:jc w:val="both"/>
      </w:pPr>
      <w:r w:rsidRPr="00FD01B9">
        <w:t>Получените капиталови приходи от ЕЗФРСР по линия на ПРСР без директни плащания към края на м</w:t>
      </w:r>
      <w:r>
        <w:t>есец март 2</w:t>
      </w:r>
      <w:r w:rsidRPr="00FD01B9">
        <w:t>024</w:t>
      </w:r>
      <w:r>
        <w:t xml:space="preserve"> </w:t>
      </w:r>
      <w:r w:rsidRPr="00FD01B9">
        <w:t xml:space="preserve">г. са </w:t>
      </w:r>
      <w:r w:rsidRPr="00AE2D5C">
        <w:rPr>
          <w:lang w:val="ru-RU"/>
        </w:rPr>
        <w:t>262</w:t>
      </w:r>
      <w:r w:rsidRPr="00FD01B9">
        <w:t>,</w:t>
      </w:r>
      <w:r w:rsidRPr="00AE2D5C">
        <w:rPr>
          <w:lang w:val="ru-RU"/>
        </w:rPr>
        <w:t>6</w:t>
      </w:r>
      <w:r w:rsidRPr="00FD01B9">
        <w:t xml:space="preserve"> млн.</w:t>
      </w:r>
      <w:r>
        <w:t xml:space="preserve"> </w:t>
      </w:r>
      <w:r w:rsidRPr="00FD01B9">
        <w:t>лв., от които 27,6 млн.</w:t>
      </w:r>
      <w:r>
        <w:t xml:space="preserve"> </w:t>
      </w:r>
      <w:r w:rsidRPr="00FD01B9">
        <w:t xml:space="preserve">лв. са аванс по линия на </w:t>
      </w:r>
      <w:r w:rsidRPr="00FD01B9">
        <w:rPr>
          <w:lang w:eastAsia="bg-BG"/>
        </w:rPr>
        <w:t xml:space="preserve">Стратегическия План по ОСП 2023-2027. </w:t>
      </w:r>
      <w:r w:rsidRPr="00FD01B9">
        <w:t xml:space="preserve"> Изпълнени са </w:t>
      </w:r>
      <w:r w:rsidRPr="00AE2D5C">
        <w:rPr>
          <w:lang w:val="ru-RU"/>
        </w:rPr>
        <w:t>35</w:t>
      </w:r>
      <w:r w:rsidRPr="00FD01B9">
        <w:t>,</w:t>
      </w:r>
      <w:r w:rsidRPr="00AE2D5C">
        <w:rPr>
          <w:lang w:val="ru-RU"/>
        </w:rPr>
        <w:t>6</w:t>
      </w:r>
      <w:r>
        <w:rPr>
          <w:lang w:val="ru-RU"/>
        </w:rPr>
        <w:t xml:space="preserve"> </w:t>
      </w:r>
      <w:r w:rsidRPr="00FD01B9">
        <w:t>% от годишния план, който е в размер на 738,2 млн.</w:t>
      </w:r>
      <w:r>
        <w:t xml:space="preserve"> </w:t>
      </w:r>
      <w:r w:rsidRPr="00FD01B9">
        <w:t xml:space="preserve">лв. </w:t>
      </w:r>
      <w:r>
        <w:t>За с</w:t>
      </w:r>
      <w:r w:rsidRPr="00FD01B9">
        <w:t>равнение</w:t>
      </w:r>
      <w:r>
        <w:t>,</w:t>
      </w:r>
      <w:r w:rsidRPr="00FD01B9">
        <w:t xml:space="preserve"> </w:t>
      </w:r>
      <w:r>
        <w:t>за</w:t>
      </w:r>
      <w:r w:rsidRPr="00FD01B9">
        <w:t xml:space="preserve"> първото тримесечие на предходната година, капиталовите приходи по ПРСР са били 69,1 млн.</w:t>
      </w:r>
      <w:r>
        <w:t xml:space="preserve"> </w:t>
      </w:r>
      <w:r w:rsidRPr="00FD01B9">
        <w:t>лв.</w:t>
      </w:r>
    </w:p>
    <w:p w:rsidR="006308FC" w:rsidRPr="00FD01B9" w:rsidRDefault="006308FC" w:rsidP="00E031F0">
      <w:pPr>
        <w:ind w:firstLine="567"/>
        <w:jc w:val="both"/>
      </w:pPr>
      <w:r w:rsidRPr="00FD01B9">
        <w:t>В периода 01.01-31.03.2024</w:t>
      </w:r>
      <w:r>
        <w:t xml:space="preserve"> </w:t>
      </w:r>
      <w:r w:rsidRPr="00FD01B9">
        <w:t>г. са получени капиталови приходи в размер 3,</w:t>
      </w:r>
      <w:r w:rsidRPr="00AE2D5C">
        <w:rPr>
          <w:lang w:val="ru-RU"/>
        </w:rPr>
        <w:t>6</w:t>
      </w:r>
      <w:r w:rsidRPr="00FD01B9">
        <w:t xml:space="preserve"> млн.</w:t>
      </w:r>
      <w:r>
        <w:t xml:space="preserve"> </w:t>
      </w:r>
      <w:r w:rsidRPr="00FD01B9">
        <w:t>лв. от фонд ЕФМДР. Степента на изпълнение спрямо годишния разчет от 14,9 млн.</w:t>
      </w:r>
      <w:r>
        <w:t xml:space="preserve"> </w:t>
      </w:r>
      <w:r w:rsidRPr="00FD01B9">
        <w:t xml:space="preserve">лв. е </w:t>
      </w:r>
      <w:r w:rsidRPr="00AE2D5C">
        <w:rPr>
          <w:lang w:val="ru-RU"/>
        </w:rPr>
        <w:t>24</w:t>
      </w:r>
      <w:r w:rsidRPr="00FD01B9">
        <w:t>,2</w:t>
      </w:r>
      <w:r>
        <w:t xml:space="preserve"> </w:t>
      </w:r>
      <w:r w:rsidRPr="00FD01B9">
        <w:t>%. За същия период на предходната година по това направление са отчетени 2,1 млн.</w:t>
      </w:r>
      <w:r>
        <w:t xml:space="preserve"> </w:t>
      </w:r>
      <w:r w:rsidRPr="00FD01B9">
        <w:t>л</w:t>
      </w:r>
      <w:r>
        <w:t>е</w:t>
      </w:r>
      <w:r w:rsidRPr="00FD01B9">
        <w:t>в</w:t>
      </w:r>
      <w:r>
        <w:t>а</w:t>
      </w:r>
      <w:r w:rsidRPr="00FD01B9">
        <w:t>.</w:t>
      </w:r>
      <w:r w:rsidRPr="00FD01B9">
        <w:tab/>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 xml:space="preserve">Коректив на касови постъпления </w:t>
      </w:r>
    </w:p>
    <w:p w:rsidR="006308FC" w:rsidRPr="00FD01B9" w:rsidRDefault="006308FC" w:rsidP="00E031F0">
      <w:pPr>
        <w:spacing w:before="120" w:after="120"/>
        <w:ind w:firstLine="567"/>
        <w:jc w:val="both"/>
        <w:rPr>
          <w:bCs/>
          <w:iCs/>
        </w:rPr>
      </w:pPr>
      <w:r w:rsidRPr="00FD01B9">
        <w:rPr>
          <w:bCs/>
          <w:iCs/>
        </w:rPr>
        <w:t>Към 31.03.2024</w:t>
      </w:r>
      <w:r>
        <w:rPr>
          <w:bCs/>
          <w:iCs/>
        </w:rPr>
        <w:t xml:space="preserve"> </w:t>
      </w:r>
      <w:r w:rsidRPr="00FD01B9">
        <w:rPr>
          <w:bCs/>
          <w:iCs/>
        </w:rPr>
        <w:t>г. отчетеният коректив на касови постъпления е минус 3,2 млн.</w:t>
      </w:r>
      <w:r>
        <w:rPr>
          <w:bCs/>
          <w:iCs/>
        </w:rPr>
        <w:t xml:space="preserve"> </w:t>
      </w:r>
      <w:r w:rsidRPr="00FD01B9">
        <w:rPr>
          <w:bCs/>
          <w:iCs/>
        </w:rPr>
        <w:t>лв. Той е формиран от размера на принудително събрани суми от НАП, за които не е извършен превод на средства по сметката на ДФЗ-РА.</w:t>
      </w:r>
    </w:p>
    <w:p w:rsidR="006308FC" w:rsidRPr="004C216C" w:rsidRDefault="006308FC" w:rsidP="006308FC">
      <w:pPr>
        <w:numPr>
          <w:ilvl w:val="0"/>
          <w:numId w:val="20"/>
        </w:numPr>
        <w:spacing w:before="120" w:after="120" w:line="276" w:lineRule="auto"/>
        <w:ind w:left="777" w:hanging="357"/>
        <w:jc w:val="both"/>
        <w:rPr>
          <w:b/>
          <w:lang w:eastAsia="bg-BG"/>
        </w:rPr>
      </w:pPr>
      <w:r w:rsidRPr="004C216C">
        <w:rPr>
          <w:b/>
          <w:lang w:eastAsia="bg-BG"/>
        </w:rPr>
        <w:t>Разходи</w:t>
      </w:r>
    </w:p>
    <w:p w:rsidR="006308FC" w:rsidRPr="00FD01B9" w:rsidRDefault="006308FC" w:rsidP="00E031F0">
      <w:pPr>
        <w:ind w:firstLine="567"/>
        <w:jc w:val="both"/>
      </w:pPr>
      <w:r w:rsidRPr="00FD01B9">
        <w:t>Общият размер на планираните за 2024г. разходи по утвърдените годишни разчети на сметката за средства от Европейския съюз на Разплащателната агенция към ДФ „Земеделие” са 1 310,8 млн.</w:t>
      </w:r>
      <w:r>
        <w:t> </w:t>
      </w:r>
      <w:r w:rsidRPr="00FD01B9">
        <w:t>л</w:t>
      </w:r>
      <w:r>
        <w:t>е</w:t>
      </w:r>
      <w:r w:rsidRPr="00FD01B9">
        <w:t>в</w:t>
      </w:r>
      <w:r>
        <w:t>а</w:t>
      </w:r>
      <w:r w:rsidRPr="00FD01B9">
        <w:t>.</w:t>
      </w:r>
    </w:p>
    <w:p w:rsidR="006308FC" w:rsidRPr="00FD01B9" w:rsidRDefault="006308FC" w:rsidP="00E031F0">
      <w:pPr>
        <w:ind w:firstLine="567"/>
        <w:jc w:val="both"/>
        <w:rPr>
          <w:szCs w:val="20"/>
        </w:rPr>
      </w:pPr>
      <w:r w:rsidRPr="00FD01B9">
        <w:rPr>
          <w:szCs w:val="20"/>
        </w:rPr>
        <w:t>Уточненият план на субсидиите за текуща дейност и капиталовите трансфери за 2024</w:t>
      </w:r>
      <w:r>
        <w:rPr>
          <w:szCs w:val="20"/>
        </w:rPr>
        <w:t xml:space="preserve"> </w:t>
      </w:r>
      <w:r w:rsidRPr="00FD01B9">
        <w:rPr>
          <w:szCs w:val="20"/>
        </w:rPr>
        <w:t>г. е 1 065,6 млн.</w:t>
      </w:r>
      <w:r>
        <w:rPr>
          <w:szCs w:val="20"/>
        </w:rPr>
        <w:t xml:space="preserve"> </w:t>
      </w:r>
      <w:r w:rsidRPr="00FD01B9">
        <w:rPr>
          <w:szCs w:val="20"/>
        </w:rPr>
        <w:t>лв. Изпълнението им към 31.03.2024</w:t>
      </w:r>
      <w:r>
        <w:rPr>
          <w:szCs w:val="20"/>
        </w:rPr>
        <w:t xml:space="preserve"> </w:t>
      </w:r>
      <w:r w:rsidRPr="00FD01B9">
        <w:rPr>
          <w:szCs w:val="20"/>
        </w:rPr>
        <w:t>г. възлиза на 6,5</w:t>
      </w:r>
      <w:r>
        <w:rPr>
          <w:szCs w:val="20"/>
        </w:rPr>
        <w:t xml:space="preserve"> </w:t>
      </w:r>
      <w:r w:rsidRPr="00FD01B9">
        <w:rPr>
          <w:szCs w:val="20"/>
        </w:rPr>
        <w:t>% от годишния план при отчетени разходи в размер 69,1 млн.</w:t>
      </w:r>
      <w:r>
        <w:rPr>
          <w:szCs w:val="20"/>
        </w:rPr>
        <w:t xml:space="preserve"> </w:t>
      </w:r>
      <w:r w:rsidRPr="00FD01B9">
        <w:rPr>
          <w:szCs w:val="20"/>
        </w:rPr>
        <w:t>л</w:t>
      </w:r>
      <w:r>
        <w:rPr>
          <w:szCs w:val="20"/>
        </w:rPr>
        <w:t>е</w:t>
      </w:r>
      <w:r w:rsidRPr="00FD01B9">
        <w:rPr>
          <w:szCs w:val="20"/>
        </w:rPr>
        <w:t>в</w:t>
      </w:r>
      <w:r>
        <w:rPr>
          <w:szCs w:val="20"/>
        </w:rPr>
        <w:t>а</w:t>
      </w:r>
      <w:r w:rsidRPr="00FD01B9">
        <w:rPr>
          <w:szCs w:val="20"/>
        </w:rPr>
        <w:t>.</w:t>
      </w:r>
    </w:p>
    <w:p w:rsidR="006308FC" w:rsidRPr="00FD01B9" w:rsidRDefault="006308FC" w:rsidP="00E031F0">
      <w:pPr>
        <w:ind w:firstLine="567"/>
        <w:jc w:val="both"/>
        <w:rPr>
          <w:szCs w:val="20"/>
        </w:rPr>
      </w:pPr>
      <w:r w:rsidRPr="00FD01B9">
        <w:rPr>
          <w:szCs w:val="20"/>
        </w:rPr>
        <w:t>Останалите планирани разходи в размер 245,2 млн.</w:t>
      </w:r>
      <w:r>
        <w:rPr>
          <w:szCs w:val="20"/>
        </w:rPr>
        <w:t xml:space="preserve"> </w:t>
      </w:r>
      <w:r w:rsidRPr="00FD01B9">
        <w:rPr>
          <w:szCs w:val="20"/>
        </w:rPr>
        <w:t>лв. са формирани от: разходи за заплати и възнаграждения на персонала 11,1 млн.</w:t>
      </w:r>
      <w:r>
        <w:rPr>
          <w:szCs w:val="20"/>
        </w:rPr>
        <w:t xml:space="preserve"> </w:t>
      </w:r>
      <w:r w:rsidRPr="00FD01B9">
        <w:rPr>
          <w:szCs w:val="20"/>
        </w:rPr>
        <w:t>лв., задължителни осигурителни вноски от работодатели 3,5 млн.</w:t>
      </w:r>
      <w:r>
        <w:rPr>
          <w:szCs w:val="20"/>
        </w:rPr>
        <w:t xml:space="preserve"> </w:t>
      </w:r>
      <w:r w:rsidRPr="00FD01B9">
        <w:rPr>
          <w:szCs w:val="20"/>
        </w:rPr>
        <w:t>лв., издръжка 57,3 млн.</w:t>
      </w:r>
      <w:r>
        <w:rPr>
          <w:szCs w:val="20"/>
        </w:rPr>
        <w:t xml:space="preserve"> </w:t>
      </w:r>
      <w:r w:rsidRPr="00FD01B9">
        <w:rPr>
          <w:szCs w:val="20"/>
        </w:rPr>
        <w:t>лв. и придобиване на ДМА 173,3 млн.</w:t>
      </w:r>
      <w:r>
        <w:rPr>
          <w:szCs w:val="20"/>
        </w:rPr>
        <w:t xml:space="preserve"> </w:t>
      </w:r>
      <w:r w:rsidRPr="00FD01B9">
        <w:rPr>
          <w:szCs w:val="20"/>
        </w:rPr>
        <w:t>лв. Те подлежат на отчитане в § 63-00 Трансфери между сметки за средствата от ЕС.</w:t>
      </w:r>
    </w:p>
    <w:p w:rsidR="006308FC" w:rsidRPr="00FD01B9" w:rsidRDefault="006308FC" w:rsidP="006308FC">
      <w:pPr>
        <w:ind w:firstLine="709"/>
        <w:jc w:val="both"/>
      </w:pPr>
      <w:r w:rsidRPr="00FD01B9">
        <w:t>Изпълнението на отчетените разходи е както следва:</w:t>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tab/>
      </w:r>
      <w:r w:rsidRPr="00FD01B9">
        <w:rPr>
          <w:b/>
          <w:i/>
          <w:lang w:eastAsia="bg-BG"/>
        </w:rPr>
        <w:t>Субсидии и други текущи трансфери за нефинансови предприятия</w:t>
      </w:r>
    </w:p>
    <w:p w:rsidR="006308FC" w:rsidRPr="00FD01B9" w:rsidRDefault="006308FC" w:rsidP="00E031F0">
      <w:pPr>
        <w:ind w:firstLine="567"/>
        <w:contextualSpacing/>
        <w:jc w:val="both"/>
      </w:pPr>
      <w:r w:rsidRPr="00FD01B9">
        <w:t>За 2024</w:t>
      </w:r>
      <w:r>
        <w:t xml:space="preserve"> </w:t>
      </w:r>
      <w:r w:rsidRPr="00FD01B9">
        <w:t>г. са планирани средства в размер на 341,7 млн.</w:t>
      </w:r>
      <w:r>
        <w:t xml:space="preserve"> </w:t>
      </w:r>
      <w:r w:rsidRPr="00FD01B9">
        <w:t>лв. за субсидии и други текущи трансфери за нефинансови предприятия. Отчетените към 31.03.2024</w:t>
      </w:r>
      <w:r>
        <w:t xml:space="preserve"> </w:t>
      </w:r>
      <w:r w:rsidRPr="00FD01B9">
        <w:t>г. средства представляват 7,5</w:t>
      </w:r>
      <w:r>
        <w:t> </w:t>
      </w:r>
      <w:r w:rsidRPr="00FD01B9">
        <w:t>% от планираните за годината и са в размер на 25,7 млн.</w:t>
      </w:r>
      <w:r>
        <w:t xml:space="preserve"> </w:t>
      </w:r>
      <w:r w:rsidRPr="00FD01B9">
        <w:t>лв. Към 31.03.2023</w:t>
      </w:r>
      <w:r>
        <w:t xml:space="preserve"> </w:t>
      </w:r>
      <w:r w:rsidRPr="00FD01B9">
        <w:t>г. отчетените текущи субсидии са 44,8 млн.</w:t>
      </w:r>
      <w:r>
        <w:t xml:space="preserve"> </w:t>
      </w:r>
      <w:r w:rsidRPr="00FD01B9">
        <w:t xml:space="preserve">лв. </w:t>
      </w:r>
    </w:p>
    <w:p w:rsidR="006308FC" w:rsidRPr="00FD01B9" w:rsidRDefault="006308FC" w:rsidP="003F442C">
      <w:pPr>
        <w:ind w:firstLine="567"/>
        <w:contextualSpacing/>
        <w:jc w:val="both"/>
      </w:pPr>
      <w:r w:rsidRPr="00FD01B9">
        <w:t>Изпълнението по дейности е както следва:</w:t>
      </w:r>
    </w:p>
    <w:p w:rsidR="006308FC" w:rsidRPr="00FD01B9" w:rsidRDefault="006308FC" w:rsidP="003F442C">
      <w:pPr>
        <w:ind w:firstLine="567"/>
        <w:contextualSpacing/>
        <w:jc w:val="both"/>
      </w:pPr>
      <w:r w:rsidRPr="00FD01B9">
        <w:t xml:space="preserve">- национално съфинансиране към ЕЗФРСР за директни плащания – </w:t>
      </w:r>
      <w:r w:rsidRPr="0018630F">
        <w:rPr>
          <w:lang w:val="ru-RU"/>
        </w:rPr>
        <w:t>0</w:t>
      </w:r>
      <w:r w:rsidRPr="00FD01B9">
        <w:t>,</w:t>
      </w:r>
      <w:r w:rsidRPr="0018630F">
        <w:rPr>
          <w:lang w:val="ru-RU"/>
        </w:rPr>
        <w:t>2</w:t>
      </w:r>
      <w:r w:rsidRPr="00FD01B9">
        <w:t xml:space="preserve"> млн.</w:t>
      </w:r>
      <w:r w:rsidRPr="00CB4642">
        <w:rPr>
          <w:lang w:val="ru-RU"/>
        </w:rPr>
        <w:t xml:space="preserve"> </w:t>
      </w:r>
      <w:r w:rsidRPr="00FD01B9">
        <w:t xml:space="preserve">лв., изпълнение </w:t>
      </w:r>
      <w:r w:rsidRPr="0018630F">
        <w:rPr>
          <w:lang w:val="ru-RU"/>
        </w:rPr>
        <w:t>0,1</w:t>
      </w:r>
      <w:r w:rsidRPr="00CB4642">
        <w:rPr>
          <w:lang w:val="ru-RU"/>
        </w:rPr>
        <w:t xml:space="preserve"> </w:t>
      </w:r>
      <w:r w:rsidRPr="00FD01B9">
        <w:t>% от планираните за годината 195,2 млн.</w:t>
      </w:r>
      <w:r w:rsidRPr="00CB4642">
        <w:rPr>
          <w:lang w:val="ru-RU"/>
        </w:rPr>
        <w:t xml:space="preserve"> </w:t>
      </w:r>
      <w:r w:rsidRPr="00FD01B9">
        <w:t>лв.;</w:t>
      </w:r>
    </w:p>
    <w:p w:rsidR="006308FC" w:rsidRPr="00FD01B9" w:rsidRDefault="006308FC" w:rsidP="003F442C">
      <w:pPr>
        <w:ind w:firstLine="567"/>
        <w:contextualSpacing/>
        <w:jc w:val="both"/>
      </w:pPr>
      <w:r w:rsidRPr="00FD01B9">
        <w:t>- текущи субсидии по Програмата за морско дело и рибарство – 3,9 млн.</w:t>
      </w:r>
      <w:r w:rsidRPr="00CB4642">
        <w:rPr>
          <w:lang w:val="ru-RU"/>
        </w:rPr>
        <w:t xml:space="preserve"> </w:t>
      </w:r>
      <w:r w:rsidRPr="00FD01B9">
        <w:t>лв., изпълнение 55,7</w:t>
      </w:r>
      <w:r w:rsidRPr="00CB4642">
        <w:rPr>
          <w:lang w:val="ru-RU"/>
        </w:rPr>
        <w:t xml:space="preserve"> </w:t>
      </w:r>
      <w:r w:rsidRPr="00FD01B9">
        <w:t>% от планираните 7</w:t>
      </w:r>
      <w:r>
        <w:t>,</w:t>
      </w:r>
      <w:r w:rsidRPr="00CB4642">
        <w:rPr>
          <w:lang w:val="ru-RU"/>
        </w:rPr>
        <w:t>0</w:t>
      </w:r>
      <w:r w:rsidRPr="00FD01B9">
        <w:t xml:space="preserve"> млн.</w:t>
      </w:r>
      <w:r>
        <w:t xml:space="preserve"> </w:t>
      </w:r>
      <w:r w:rsidRPr="00FD01B9">
        <w:t>лв.;</w:t>
      </w:r>
    </w:p>
    <w:p w:rsidR="006308FC" w:rsidRPr="00FD01B9" w:rsidRDefault="006308FC" w:rsidP="003F442C">
      <w:pPr>
        <w:ind w:firstLine="567"/>
        <w:contextualSpacing/>
        <w:jc w:val="both"/>
      </w:pPr>
      <w:r w:rsidRPr="00FD01B9">
        <w:t>- текущи субсидии по Програмата за развитие на селските райони – 8,4 млн.</w:t>
      </w:r>
      <w:r>
        <w:t xml:space="preserve"> </w:t>
      </w:r>
      <w:r w:rsidRPr="00FD01B9">
        <w:t>лв., изпълнение от 11,7</w:t>
      </w:r>
      <w:r>
        <w:t xml:space="preserve"> </w:t>
      </w:r>
      <w:r w:rsidRPr="00FD01B9">
        <w:t>% на планираните за годината 71,6 млн.</w:t>
      </w:r>
      <w:r>
        <w:t xml:space="preserve"> </w:t>
      </w:r>
      <w:r w:rsidRPr="00FD01B9">
        <w:t>лв.;</w:t>
      </w:r>
    </w:p>
    <w:p w:rsidR="006308FC" w:rsidRPr="00FD01B9" w:rsidRDefault="006308FC" w:rsidP="003F442C">
      <w:pPr>
        <w:ind w:firstLine="567"/>
        <w:contextualSpacing/>
        <w:jc w:val="both"/>
      </w:pPr>
      <w:r w:rsidRPr="00FD01B9">
        <w:t>- текущи субсидии за пазарни мерки – 13,2 млн.</w:t>
      </w:r>
      <w:r>
        <w:t xml:space="preserve"> </w:t>
      </w:r>
      <w:r w:rsidRPr="00FD01B9">
        <w:t>лв., изпълнение от 19,4</w:t>
      </w:r>
      <w:r>
        <w:t xml:space="preserve"> </w:t>
      </w:r>
      <w:r w:rsidRPr="00FD01B9">
        <w:t>% на планираните за 2024</w:t>
      </w:r>
      <w:r>
        <w:t xml:space="preserve"> </w:t>
      </w:r>
      <w:r w:rsidRPr="00FD01B9">
        <w:t>г. 67,9 млн.</w:t>
      </w:r>
      <w:r>
        <w:t xml:space="preserve"> </w:t>
      </w:r>
      <w:r w:rsidRPr="00FD01B9">
        <w:t xml:space="preserve">лв. </w:t>
      </w:r>
    </w:p>
    <w:p w:rsidR="006308FC" w:rsidRPr="00FD01B9" w:rsidRDefault="006308FC" w:rsidP="006308FC">
      <w:pPr>
        <w:contextualSpacing/>
        <w:jc w:val="both"/>
      </w:pP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Субсидии и други текущи трансфери за юридически лица с нестопанска цел</w:t>
      </w:r>
    </w:p>
    <w:p w:rsidR="006308FC" w:rsidRPr="00FD01B9" w:rsidRDefault="006308FC" w:rsidP="005133D4">
      <w:pPr>
        <w:tabs>
          <w:tab w:val="left" w:pos="993"/>
        </w:tabs>
        <w:ind w:firstLine="567"/>
        <w:jc w:val="both"/>
      </w:pPr>
      <w:r w:rsidRPr="00FD01B9">
        <w:t>За 2024</w:t>
      </w:r>
      <w:r>
        <w:t xml:space="preserve"> </w:t>
      </w:r>
      <w:r w:rsidRPr="00FD01B9">
        <w:t>г. за субсидии и други текущи трансфери за юридически лица с нестопанска цел са планирани 27,5 млн.</w:t>
      </w:r>
      <w:r>
        <w:t xml:space="preserve"> </w:t>
      </w:r>
      <w:r w:rsidRPr="00FD01B9">
        <w:t>л</w:t>
      </w:r>
      <w:r>
        <w:t>е</w:t>
      </w:r>
      <w:r w:rsidRPr="00FD01B9">
        <w:t>в</w:t>
      </w:r>
      <w:r>
        <w:t>а</w:t>
      </w:r>
      <w:r w:rsidRPr="00FD01B9">
        <w:t xml:space="preserve">. Към края на първото тримесечие на </w:t>
      </w:r>
      <w:r>
        <w:t>годината</w:t>
      </w:r>
      <w:r w:rsidRPr="00FD01B9">
        <w:t xml:space="preserve"> са отчетени разходи в размер на 2,</w:t>
      </w:r>
      <w:r w:rsidRPr="0018630F">
        <w:rPr>
          <w:lang w:val="ru-RU"/>
        </w:rPr>
        <w:t>4</w:t>
      </w:r>
      <w:r w:rsidRPr="00FD01B9">
        <w:t xml:space="preserve"> млн.</w:t>
      </w:r>
      <w:r>
        <w:t xml:space="preserve"> </w:t>
      </w:r>
      <w:r w:rsidRPr="00FD01B9">
        <w:t>лв., степен на изпълнение – 8,</w:t>
      </w:r>
      <w:r w:rsidRPr="0018630F">
        <w:rPr>
          <w:lang w:val="ru-RU"/>
        </w:rPr>
        <w:t>7</w:t>
      </w:r>
      <w:r>
        <w:rPr>
          <w:lang w:val="ru-RU"/>
        </w:rPr>
        <w:t xml:space="preserve"> </w:t>
      </w:r>
      <w:r w:rsidRPr="00FD01B9">
        <w:t>%. За същия период на предходната 2023</w:t>
      </w:r>
      <w:r>
        <w:t xml:space="preserve"> </w:t>
      </w:r>
      <w:r w:rsidRPr="00FD01B9">
        <w:t>г. този вид разходи са възлизали на 1,9 млн.</w:t>
      </w:r>
      <w:r>
        <w:t xml:space="preserve"> </w:t>
      </w:r>
      <w:r w:rsidRPr="00FD01B9">
        <w:t>лв.</w:t>
      </w:r>
    </w:p>
    <w:p w:rsidR="006308FC" w:rsidRPr="00FD01B9" w:rsidRDefault="006308FC" w:rsidP="005133D4">
      <w:pPr>
        <w:tabs>
          <w:tab w:val="left" w:pos="993"/>
        </w:tabs>
        <w:ind w:firstLine="567"/>
        <w:jc w:val="both"/>
      </w:pPr>
      <w:r w:rsidRPr="00FD01B9">
        <w:t>Разпределението по дейности е както следва:</w:t>
      </w:r>
    </w:p>
    <w:p w:rsidR="006308FC" w:rsidRPr="00FD01B9" w:rsidRDefault="006308FC" w:rsidP="005133D4">
      <w:pPr>
        <w:tabs>
          <w:tab w:val="left" w:pos="993"/>
        </w:tabs>
        <w:ind w:firstLine="567"/>
        <w:jc w:val="both"/>
      </w:pPr>
      <w:r w:rsidRPr="00FD01B9">
        <w:t xml:space="preserve">- </w:t>
      </w:r>
      <w:r>
        <w:t xml:space="preserve"> </w:t>
      </w:r>
      <w:r w:rsidRPr="00FD01B9">
        <w:t>текущи субсидии по ПМДР – 0,6 млн.</w:t>
      </w:r>
      <w:r>
        <w:t xml:space="preserve"> </w:t>
      </w:r>
      <w:r w:rsidRPr="00FD01B9">
        <w:t>лв., възлизащи на 5,4</w:t>
      </w:r>
      <w:r>
        <w:t xml:space="preserve"> </w:t>
      </w:r>
      <w:r w:rsidRPr="00FD01B9">
        <w:t>% от планираните 11,1 млн.</w:t>
      </w:r>
      <w:r>
        <w:t> </w:t>
      </w:r>
      <w:r w:rsidRPr="00FD01B9">
        <w:t>лв.;</w:t>
      </w:r>
    </w:p>
    <w:p w:rsidR="006308FC" w:rsidRPr="00FD01B9" w:rsidRDefault="006308FC" w:rsidP="005133D4">
      <w:pPr>
        <w:tabs>
          <w:tab w:val="left" w:pos="993"/>
        </w:tabs>
        <w:ind w:firstLine="567"/>
        <w:jc w:val="both"/>
      </w:pPr>
      <w:r w:rsidRPr="00FD01B9">
        <w:t>- текущи субсидии по Програмата за развитие на селските райони – 1,7 млн.</w:t>
      </w:r>
      <w:r>
        <w:t xml:space="preserve"> </w:t>
      </w:r>
      <w:r w:rsidRPr="00FD01B9">
        <w:t>лв., при планирани 14,7 млн.</w:t>
      </w:r>
      <w:r>
        <w:t xml:space="preserve"> </w:t>
      </w:r>
      <w:r w:rsidRPr="00FD01B9">
        <w:t>лв., степен на изпълнение 11,6</w:t>
      </w:r>
      <w:r>
        <w:t xml:space="preserve"> </w:t>
      </w:r>
      <w:r w:rsidRPr="00FD01B9">
        <w:t>%;</w:t>
      </w:r>
    </w:p>
    <w:p w:rsidR="006308FC" w:rsidRPr="00FD01B9" w:rsidRDefault="006308FC" w:rsidP="005133D4">
      <w:pPr>
        <w:tabs>
          <w:tab w:val="left" w:pos="993"/>
        </w:tabs>
        <w:ind w:firstLine="567"/>
        <w:jc w:val="both"/>
      </w:pPr>
      <w:r w:rsidRPr="00FD01B9">
        <w:t xml:space="preserve">-  текущи субсидии за пазарни мерки – </w:t>
      </w:r>
      <w:r>
        <w:t>няма изразходени средства</w:t>
      </w:r>
      <w:r w:rsidRPr="00FD01B9">
        <w:t>, при годишен разчет 1,7</w:t>
      </w:r>
      <w:r w:rsidR="000B511E">
        <w:t> </w:t>
      </w:r>
      <w:r w:rsidRPr="00FD01B9">
        <w:t>млн.</w:t>
      </w:r>
      <w:r>
        <w:t xml:space="preserve"> </w:t>
      </w:r>
      <w:r w:rsidRPr="00FD01B9">
        <w:t>лв.</w:t>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Капиталови трансфери за нефинансови предприятия</w:t>
      </w:r>
    </w:p>
    <w:p w:rsidR="006308FC" w:rsidRPr="00FD01B9" w:rsidRDefault="006308FC" w:rsidP="005133D4">
      <w:pPr>
        <w:tabs>
          <w:tab w:val="left" w:pos="993"/>
        </w:tabs>
        <w:ind w:firstLine="567"/>
        <w:jc w:val="both"/>
      </w:pPr>
      <w:r w:rsidRPr="00FD01B9">
        <w:t>За 2024</w:t>
      </w:r>
      <w:r>
        <w:t xml:space="preserve"> </w:t>
      </w:r>
      <w:r w:rsidRPr="00FD01B9">
        <w:t>г. за капиталови трансфери за нефинансови предприятия са планирани 675,8 млн.</w:t>
      </w:r>
      <w:r>
        <w:t> </w:t>
      </w:r>
      <w:r w:rsidRPr="00FD01B9">
        <w:t>лв. Към 31.03.2024</w:t>
      </w:r>
      <w:r>
        <w:t xml:space="preserve"> </w:t>
      </w:r>
      <w:r w:rsidRPr="00FD01B9">
        <w:t>г. са отчетени 39,8 млн.</w:t>
      </w:r>
      <w:r>
        <w:t xml:space="preserve"> </w:t>
      </w:r>
      <w:r w:rsidRPr="00FD01B9">
        <w:t>лв., представляващи 5,9</w:t>
      </w:r>
      <w:r>
        <w:t xml:space="preserve"> </w:t>
      </w:r>
      <w:r w:rsidRPr="00FD01B9">
        <w:t>% от годишния план. Отчетените за периода 01.01-31.03.2023</w:t>
      </w:r>
      <w:r>
        <w:t xml:space="preserve"> </w:t>
      </w:r>
      <w:r w:rsidRPr="00FD01B9">
        <w:t>г. разходи за капиталови субсидии за физически лица и предприятия са били 20,7 млн.</w:t>
      </w:r>
      <w:r>
        <w:t xml:space="preserve"> </w:t>
      </w:r>
      <w:r w:rsidRPr="00FD01B9">
        <w:t>лв.</w:t>
      </w:r>
    </w:p>
    <w:p w:rsidR="006308FC" w:rsidRPr="00FD01B9" w:rsidRDefault="006308FC" w:rsidP="005133D4">
      <w:pPr>
        <w:tabs>
          <w:tab w:val="left" w:pos="993"/>
        </w:tabs>
        <w:ind w:firstLine="567"/>
        <w:jc w:val="both"/>
      </w:pPr>
      <w:r w:rsidRPr="00FD01B9">
        <w:t>Разпределението по дейности е както следва:</w:t>
      </w:r>
    </w:p>
    <w:p w:rsidR="006308FC" w:rsidRPr="00FD01B9" w:rsidRDefault="006308FC" w:rsidP="005133D4">
      <w:pPr>
        <w:ind w:firstLine="567"/>
        <w:contextualSpacing/>
        <w:jc w:val="both"/>
      </w:pPr>
      <w:r w:rsidRPr="00FD01B9">
        <w:t>- капиталови трансфери по Програмата за морско дело и рибарство (ПМДР) – 1,2 млн.</w:t>
      </w:r>
      <w:r>
        <w:t xml:space="preserve"> </w:t>
      </w:r>
      <w:r w:rsidRPr="00FD01B9">
        <w:t>лв., 8,1</w:t>
      </w:r>
      <w:r>
        <w:t xml:space="preserve"> </w:t>
      </w:r>
      <w:r w:rsidRPr="00FD01B9">
        <w:t>%  изпълнение на годишния план (</w:t>
      </w:r>
      <w:r w:rsidRPr="0018630F">
        <w:rPr>
          <w:lang w:val="ru-RU"/>
        </w:rPr>
        <w:t>14,</w:t>
      </w:r>
      <w:r w:rsidRPr="00FD01B9">
        <w:t>9 млн.</w:t>
      </w:r>
      <w:r>
        <w:t xml:space="preserve"> </w:t>
      </w:r>
      <w:r w:rsidRPr="00FD01B9">
        <w:t>лв.);</w:t>
      </w:r>
    </w:p>
    <w:p w:rsidR="006308FC" w:rsidRPr="00FD01B9" w:rsidRDefault="006308FC" w:rsidP="005133D4">
      <w:pPr>
        <w:ind w:firstLine="567"/>
        <w:contextualSpacing/>
        <w:jc w:val="both"/>
      </w:pPr>
      <w:r w:rsidRPr="00FD01B9">
        <w:t>- капиталови трансфери по ПРСР – 38,6 млн.</w:t>
      </w:r>
      <w:r>
        <w:t xml:space="preserve"> </w:t>
      </w:r>
      <w:r w:rsidRPr="00FD01B9">
        <w:t>лв., 5,9</w:t>
      </w:r>
      <w:r>
        <w:t xml:space="preserve"> </w:t>
      </w:r>
      <w:r w:rsidRPr="00FD01B9">
        <w:t>% изпълнение на годишния план, възлизащ на 657 млн.</w:t>
      </w:r>
      <w:r>
        <w:t xml:space="preserve"> </w:t>
      </w:r>
      <w:r w:rsidRPr="00FD01B9">
        <w:t>лв.;</w:t>
      </w:r>
    </w:p>
    <w:p w:rsidR="006308FC" w:rsidRPr="00FD01B9" w:rsidRDefault="006308FC" w:rsidP="005133D4">
      <w:pPr>
        <w:ind w:firstLine="567"/>
        <w:contextualSpacing/>
        <w:jc w:val="both"/>
      </w:pPr>
      <w:r w:rsidRPr="00FD01B9">
        <w:t xml:space="preserve">- капиталови трансфери за пазарни мерки – </w:t>
      </w:r>
      <w:r>
        <w:t>няма усвоени средства,</w:t>
      </w:r>
      <w:r w:rsidRPr="00FD01B9">
        <w:t xml:space="preserve"> при годишен разчет 3,9 млн.</w:t>
      </w:r>
      <w:r>
        <w:t xml:space="preserve"> </w:t>
      </w:r>
      <w:r w:rsidRPr="00FD01B9">
        <w:t>лв.</w:t>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Капиталови трансфери за организации с нестопанска цел</w:t>
      </w:r>
    </w:p>
    <w:p w:rsidR="006308FC" w:rsidRPr="00FD01B9" w:rsidRDefault="006308FC" w:rsidP="005133D4">
      <w:pPr>
        <w:ind w:firstLine="567"/>
        <w:jc w:val="both"/>
      </w:pPr>
      <w:r w:rsidRPr="00FD01B9">
        <w:t>Годишните разчети за капиталови трансфери за организации с нестопанска цел за 2024</w:t>
      </w:r>
      <w:r>
        <w:t xml:space="preserve"> </w:t>
      </w:r>
      <w:r w:rsidRPr="00FD01B9">
        <w:t>г. възлизат на 20,6 млн.</w:t>
      </w:r>
      <w:r>
        <w:t xml:space="preserve"> </w:t>
      </w:r>
      <w:r w:rsidRPr="00FD01B9">
        <w:t>лв. Към 31.03.2024</w:t>
      </w:r>
      <w:r>
        <w:t xml:space="preserve"> </w:t>
      </w:r>
      <w:r w:rsidRPr="00FD01B9">
        <w:t>г. са отчетени 1,2 млн.</w:t>
      </w:r>
      <w:r>
        <w:t xml:space="preserve"> </w:t>
      </w:r>
      <w:r w:rsidRPr="00FD01B9">
        <w:t>лв., като степента на изпълнение е 5,8</w:t>
      </w:r>
      <w:r>
        <w:t xml:space="preserve"> </w:t>
      </w:r>
      <w:r w:rsidRPr="00FD01B9">
        <w:t>%. През същия период на предходната година са отчетени 1,5 млн.</w:t>
      </w:r>
      <w:r>
        <w:t xml:space="preserve"> </w:t>
      </w:r>
      <w:r w:rsidRPr="00FD01B9">
        <w:t>лв.</w:t>
      </w:r>
    </w:p>
    <w:p w:rsidR="006308FC" w:rsidRPr="00FD01B9" w:rsidRDefault="006308FC" w:rsidP="005133D4">
      <w:pPr>
        <w:tabs>
          <w:tab w:val="left" w:pos="993"/>
        </w:tabs>
        <w:ind w:firstLine="567"/>
        <w:jc w:val="both"/>
      </w:pPr>
      <w:r w:rsidRPr="00FD01B9">
        <w:t>Разпределението по дейности е както следва:</w:t>
      </w:r>
    </w:p>
    <w:p w:rsidR="006308FC" w:rsidRPr="00FD01B9" w:rsidRDefault="006308FC" w:rsidP="005133D4">
      <w:pPr>
        <w:ind w:firstLine="567"/>
        <w:contextualSpacing/>
        <w:jc w:val="both"/>
      </w:pPr>
      <w:r w:rsidRPr="00FD01B9">
        <w:t xml:space="preserve">- капиталови трансфери по ПМДР – </w:t>
      </w:r>
      <w:r>
        <w:t>няма усвоени средства</w:t>
      </w:r>
      <w:r w:rsidRPr="00FD01B9">
        <w:t>, при годишен разчет 1,7 млн.</w:t>
      </w:r>
      <w:r>
        <w:t> </w:t>
      </w:r>
      <w:r w:rsidRPr="00FD01B9">
        <w:t>лв.;</w:t>
      </w:r>
    </w:p>
    <w:p w:rsidR="006308FC" w:rsidRPr="00FD01B9" w:rsidRDefault="006308FC" w:rsidP="005133D4">
      <w:pPr>
        <w:ind w:firstLine="567"/>
        <w:contextualSpacing/>
        <w:jc w:val="both"/>
      </w:pPr>
      <w:r w:rsidRPr="00FD01B9">
        <w:t>- капиталови трансфери по ПРСР – 1,2 млн.</w:t>
      </w:r>
      <w:r>
        <w:t xml:space="preserve"> </w:t>
      </w:r>
      <w:r w:rsidRPr="00FD01B9">
        <w:t>лв., 6,3</w:t>
      </w:r>
      <w:r>
        <w:t xml:space="preserve"> </w:t>
      </w:r>
      <w:r w:rsidRPr="00FD01B9">
        <w:t>% изпълнение на годишния план от 18,9 млн.</w:t>
      </w:r>
      <w:r>
        <w:t xml:space="preserve"> </w:t>
      </w:r>
      <w:r w:rsidRPr="00FD01B9">
        <w:t>л</w:t>
      </w:r>
      <w:r>
        <w:t>е</w:t>
      </w:r>
      <w:r w:rsidRPr="00FD01B9">
        <w:t>в</w:t>
      </w:r>
      <w:r>
        <w:t>а</w:t>
      </w:r>
      <w:r w:rsidRPr="00FD01B9">
        <w:t>.</w:t>
      </w:r>
    </w:p>
    <w:p w:rsidR="006308FC" w:rsidRPr="00753DCB" w:rsidRDefault="006308FC" w:rsidP="006308FC">
      <w:pPr>
        <w:numPr>
          <w:ilvl w:val="0"/>
          <w:numId w:val="20"/>
        </w:numPr>
        <w:spacing w:before="120" w:after="120" w:line="276" w:lineRule="auto"/>
        <w:ind w:left="777" w:hanging="357"/>
        <w:jc w:val="both"/>
        <w:rPr>
          <w:b/>
          <w:lang w:eastAsia="bg-BG"/>
        </w:rPr>
      </w:pPr>
      <w:r w:rsidRPr="00753DCB">
        <w:rPr>
          <w:b/>
          <w:lang w:eastAsia="bg-BG"/>
        </w:rPr>
        <w:t xml:space="preserve">Трансфери </w:t>
      </w:r>
    </w:p>
    <w:p w:rsidR="006308FC" w:rsidRPr="00F03C8D" w:rsidRDefault="006308FC" w:rsidP="00730E54">
      <w:pPr>
        <w:pStyle w:val="ListParagraph"/>
        <w:tabs>
          <w:tab w:val="left" w:pos="540"/>
        </w:tabs>
        <w:spacing w:after="0" w:line="240" w:lineRule="auto"/>
        <w:ind w:left="0" w:firstLine="567"/>
        <w:rPr>
          <w:rFonts w:ascii="Times New Roman" w:hAnsi="Times New Roman"/>
        </w:rPr>
      </w:pPr>
      <w:r w:rsidRPr="00F03C8D">
        <w:rPr>
          <w:rFonts w:ascii="Times New Roman" w:hAnsi="Times New Roman"/>
        </w:rPr>
        <w:t>В частта на трансферите, в касовия отчет на ДФЗ-РА към 31.03.2024г. са отразени следните касови потоци:</w:t>
      </w:r>
    </w:p>
    <w:p w:rsidR="006308FC" w:rsidRPr="00FD01B9" w:rsidRDefault="006308FC" w:rsidP="006308FC">
      <w:pPr>
        <w:numPr>
          <w:ilvl w:val="0"/>
          <w:numId w:val="19"/>
        </w:numPr>
        <w:tabs>
          <w:tab w:val="left" w:pos="993"/>
        </w:tabs>
        <w:spacing w:before="120" w:after="120"/>
        <w:ind w:left="1321" w:hanging="612"/>
        <w:jc w:val="both"/>
        <w:rPr>
          <w:b/>
          <w:i/>
          <w:lang w:eastAsia="bg-BG"/>
        </w:rPr>
      </w:pPr>
      <w:r w:rsidRPr="00FD01B9">
        <w:rPr>
          <w:b/>
          <w:i/>
          <w:lang w:eastAsia="bg-BG"/>
        </w:rPr>
        <w:t xml:space="preserve">Трансфери между бюджети и сметки за средства от Европейския съюз </w:t>
      </w:r>
    </w:p>
    <w:p w:rsidR="006308FC" w:rsidRPr="00FD01B9" w:rsidRDefault="006308FC" w:rsidP="00730E54">
      <w:pPr>
        <w:ind w:firstLine="567"/>
        <w:jc w:val="both"/>
      </w:pPr>
      <w:r w:rsidRPr="00FD01B9">
        <w:t>Получените трансфери от бюджетни сметки на бюджетни организации и общини са формирани при възстановяване на суми по вземания по ПРСР и директни плащания и техният размер е 1,3 млн.</w:t>
      </w:r>
      <w:r>
        <w:t xml:space="preserve"> </w:t>
      </w:r>
      <w:r w:rsidRPr="00FD01B9">
        <w:t>лв.</w:t>
      </w:r>
    </w:p>
    <w:p w:rsidR="006308FC" w:rsidRDefault="006308FC" w:rsidP="00730E54">
      <w:pPr>
        <w:ind w:firstLine="567"/>
        <w:jc w:val="both"/>
      </w:pPr>
      <w:r w:rsidRPr="00FD01B9">
        <w:t>Предоставените за периода трансфери във връзка с чл.14 от Закона за подпомагане на земеделските производители възлизат на 0,</w:t>
      </w:r>
      <w:r w:rsidRPr="00F03C8D">
        <w:rPr>
          <w:lang w:val="ru-RU"/>
        </w:rPr>
        <w:t>4</w:t>
      </w:r>
      <w:r w:rsidRPr="00FD01B9">
        <w:t xml:space="preserve"> млн.</w:t>
      </w:r>
      <w:r>
        <w:t xml:space="preserve"> </w:t>
      </w:r>
      <w:r w:rsidRPr="00FD01B9">
        <w:t>лв.</w:t>
      </w:r>
    </w:p>
    <w:p w:rsidR="006308FC" w:rsidRPr="00F03C8D" w:rsidRDefault="006308FC" w:rsidP="006308FC">
      <w:pPr>
        <w:numPr>
          <w:ilvl w:val="0"/>
          <w:numId w:val="19"/>
        </w:numPr>
        <w:tabs>
          <w:tab w:val="left" w:pos="993"/>
        </w:tabs>
        <w:spacing w:before="120" w:after="120"/>
        <w:ind w:left="1321" w:hanging="612"/>
        <w:jc w:val="both"/>
        <w:rPr>
          <w:b/>
          <w:i/>
          <w:lang w:eastAsia="bg-BG"/>
        </w:rPr>
      </w:pPr>
      <w:r w:rsidRPr="00F03C8D">
        <w:rPr>
          <w:b/>
          <w:i/>
          <w:lang w:eastAsia="bg-BG"/>
        </w:rPr>
        <w:t>Трансфери между сметки за средства от Европейския съюз:</w:t>
      </w:r>
    </w:p>
    <w:p w:rsidR="006308FC" w:rsidRPr="00F03C8D" w:rsidRDefault="006308FC" w:rsidP="00730E54">
      <w:pPr>
        <w:tabs>
          <w:tab w:val="left" w:pos="540"/>
        </w:tabs>
        <w:ind w:firstLine="567"/>
        <w:jc w:val="both"/>
      </w:pPr>
      <w:r w:rsidRPr="00F03C8D">
        <w:t>Предоставените трансфери са формирани от изплатените субсидии на публични бенефициенти. Към 31.03.2024</w:t>
      </w:r>
      <w:r>
        <w:t xml:space="preserve"> </w:t>
      </w:r>
      <w:r w:rsidRPr="00F03C8D">
        <w:t>г. са отчетени 1</w:t>
      </w:r>
      <w:r w:rsidRPr="00F03C8D">
        <w:rPr>
          <w:lang w:val="en-US"/>
        </w:rPr>
        <w:t>5</w:t>
      </w:r>
      <w:r w:rsidRPr="00F03C8D">
        <w:t>,</w:t>
      </w:r>
      <w:r w:rsidRPr="00F03C8D">
        <w:rPr>
          <w:lang w:val="en-US"/>
        </w:rPr>
        <w:t>4</w:t>
      </w:r>
      <w:r w:rsidRPr="00F03C8D">
        <w:t xml:space="preserve"> млн.</w:t>
      </w:r>
      <w:r>
        <w:t xml:space="preserve"> </w:t>
      </w:r>
      <w:r w:rsidRPr="00F03C8D">
        <w:t xml:space="preserve">лв., в т.ч.: </w:t>
      </w:r>
    </w:p>
    <w:p w:rsidR="006308FC" w:rsidRPr="00F03C8D" w:rsidRDefault="006308FC" w:rsidP="00730E54">
      <w:pPr>
        <w:numPr>
          <w:ilvl w:val="0"/>
          <w:numId w:val="34"/>
        </w:numPr>
        <w:tabs>
          <w:tab w:val="left" w:pos="540"/>
          <w:tab w:val="left" w:pos="851"/>
        </w:tabs>
        <w:ind w:left="0" w:firstLine="567"/>
        <w:contextualSpacing/>
        <w:jc w:val="both"/>
      </w:pPr>
      <w:r w:rsidRPr="00F03C8D">
        <w:t>по Програмата за развитие на селските райони: 1</w:t>
      </w:r>
      <w:r w:rsidRPr="00F03C8D">
        <w:rPr>
          <w:lang w:val="ru-RU"/>
        </w:rPr>
        <w:t>1</w:t>
      </w:r>
      <w:r w:rsidRPr="00F03C8D">
        <w:t>,8 млн.</w:t>
      </w:r>
      <w:r>
        <w:t xml:space="preserve"> </w:t>
      </w:r>
      <w:r w:rsidRPr="00F03C8D">
        <w:t>лв.;</w:t>
      </w:r>
    </w:p>
    <w:p w:rsidR="006308FC" w:rsidRPr="00F03C8D" w:rsidRDefault="006308FC" w:rsidP="00730E54">
      <w:pPr>
        <w:numPr>
          <w:ilvl w:val="0"/>
          <w:numId w:val="34"/>
        </w:numPr>
        <w:tabs>
          <w:tab w:val="left" w:pos="540"/>
          <w:tab w:val="left" w:pos="851"/>
        </w:tabs>
        <w:ind w:left="0" w:firstLine="567"/>
        <w:contextualSpacing/>
        <w:jc w:val="both"/>
      </w:pPr>
      <w:r w:rsidRPr="00F03C8D">
        <w:t xml:space="preserve">по Програмата за морско дело и рибарство: </w:t>
      </w:r>
      <w:r w:rsidRPr="00F03C8D">
        <w:rPr>
          <w:lang w:val="ru-RU"/>
        </w:rPr>
        <w:t>3</w:t>
      </w:r>
      <w:r w:rsidRPr="00F03C8D">
        <w:t>,</w:t>
      </w:r>
      <w:r w:rsidRPr="00F03C8D">
        <w:rPr>
          <w:lang w:val="ru-RU"/>
        </w:rPr>
        <w:t>6</w:t>
      </w:r>
      <w:r w:rsidRPr="00F03C8D">
        <w:t xml:space="preserve"> млн.</w:t>
      </w:r>
      <w:r>
        <w:t xml:space="preserve"> </w:t>
      </w:r>
      <w:r w:rsidRPr="00F03C8D">
        <w:t>лв.</w:t>
      </w:r>
    </w:p>
    <w:p w:rsidR="006308FC" w:rsidRPr="00F03C8D" w:rsidRDefault="006308FC" w:rsidP="006308FC">
      <w:pPr>
        <w:tabs>
          <w:tab w:val="left" w:pos="540"/>
        </w:tabs>
        <w:jc w:val="both"/>
      </w:pPr>
      <w:r w:rsidRPr="00F03C8D">
        <w:tab/>
      </w:r>
    </w:p>
    <w:p w:rsidR="006308FC" w:rsidRPr="00F03C8D" w:rsidRDefault="006308FC" w:rsidP="00730E54">
      <w:pPr>
        <w:tabs>
          <w:tab w:val="left" w:pos="540"/>
        </w:tabs>
        <w:ind w:firstLine="567"/>
        <w:jc w:val="both"/>
      </w:pPr>
      <w:r w:rsidRPr="00F03C8D">
        <w:t>Към края на първото тримесечие на 2023</w:t>
      </w:r>
      <w:r>
        <w:t xml:space="preserve"> </w:t>
      </w:r>
      <w:r w:rsidRPr="00F03C8D">
        <w:t>г. предоставените трансфери са възлизали на 11,5 млн.</w:t>
      </w:r>
      <w:r>
        <w:t xml:space="preserve"> </w:t>
      </w:r>
      <w:r w:rsidRPr="00F03C8D">
        <w:t>лв.</w:t>
      </w:r>
    </w:p>
    <w:p w:rsidR="006308FC" w:rsidRPr="00F03C8D" w:rsidRDefault="006308FC" w:rsidP="006308FC">
      <w:pPr>
        <w:numPr>
          <w:ilvl w:val="0"/>
          <w:numId w:val="20"/>
        </w:numPr>
        <w:spacing w:before="120" w:after="120" w:line="276" w:lineRule="auto"/>
        <w:ind w:left="777" w:hanging="357"/>
        <w:jc w:val="both"/>
        <w:rPr>
          <w:b/>
          <w:lang w:eastAsia="bg-BG"/>
        </w:rPr>
      </w:pPr>
      <w:r w:rsidRPr="00F03C8D">
        <w:rPr>
          <w:b/>
          <w:lang w:eastAsia="bg-BG"/>
        </w:rPr>
        <w:t>Финансиране</w:t>
      </w:r>
    </w:p>
    <w:p w:rsidR="006308FC" w:rsidRPr="00F03C8D" w:rsidRDefault="006308FC" w:rsidP="006308FC">
      <w:pPr>
        <w:numPr>
          <w:ilvl w:val="0"/>
          <w:numId w:val="19"/>
        </w:numPr>
        <w:tabs>
          <w:tab w:val="left" w:pos="993"/>
        </w:tabs>
        <w:spacing w:before="120" w:after="120"/>
        <w:ind w:left="851" w:hanging="425"/>
        <w:jc w:val="both"/>
        <w:rPr>
          <w:b/>
          <w:lang w:eastAsia="bg-BG"/>
        </w:rPr>
      </w:pPr>
      <w:r w:rsidRPr="00F03C8D">
        <w:rPr>
          <w:b/>
          <w:lang w:eastAsia="bg-BG"/>
        </w:rPr>
        <w:t>Суми по разчети за поети осигурителни вноски и данъци</w:t>
      </w:r>
    </w:p>
    <w:p w:rsidR="006308FC" w:rsidRPr="00F03C8D" w:rsidRDefault="006308FC" w:rsidP="00730E54">
      <w:pPr>
        <w:ind w:firstLine="567"/>
        <w:jc w:val="both"/>
        <w:rPr>
          <w:lang w:eastAsia="bg-BG"/>
        </w:rPr>
      </w:pPr>
      <w:r w:rsidRPr="00F03C8D">
        <w:rPr>
          <w:lang w:eastAsia="bg-BG"/>
        </w:rPr>
        <w:t>Към края на първото тримесечие на 2024</w:t>
      </w:r>
      <w:r>
        <w:rPr>
          <w:lang w:eastAsia="bg-BG"/>
        </w:rPr>
        <w:t xml:space="preserve"> </w:t>
      </w:r>
      <w:r w:rsidRPr="00F03C8D">
        <w:rPr>
          <w:lang w:eastAsia="bg-BG"/>
        </w:rPr>
        <w:t>г. сумата по разчети за поети данъци, формирани от удържан и внесен окончателен данък на физически лица, съгл. чл. 65, ал. 14 от ЗДДФЛ възлиза нето на 0,1 млн.</w:t>
      </w:r>
      <w:r>
        <w:rPr>
          <w:lang w:eastAsia="bg-BG"/>
        </w:rPr>
        <w:t xml:space="preserve"> </w:t>
      </w:r>
      <w:r w:rsidRPr="00F03C8D">
        <w:rPr>
          <w:lang w:eastAsia="bg-BG"/>
        </w:rPr>
        <w:t>л</w:t>
      </w:r>
      <w:r>
        <w:rPr>
          <w:lang w:eastAsia="bg-BG"/>
        </w:rPr>
        <w:t>е</w:t>
      </w:r>
      <w:r w:rsidRPr="00F03C8D">
        <w:rPr>
          <w:lang w:eastAsia="bg-BG"/>
        </w:rPr>
        <w:t>в</w:t>
      </w:r>
      <w:r>
        <w:rPr>
          <w:lang w:eastAsia="bg-BG"/>
        </w:rPr>
        <w:t>а</w:t>
      </w:r>
      <w:r w:rsidRPr="00F03C8D">
        <w:rPr>
          <w:lang w:eastAsia="bg-BG"/>
        </w:rPr>
        <w:t>.</w:t>
      </w:r>
    </w:p>
    <w:p w:rsidR="006308FC" w:rsidRPr="00F03C8D" w:rsidRDefault="006308FC" w:rsidP="006308FC">
      <w:pPr>
        <w:numPr>
          <w:ilvl w:val="0"/>
          <w:numId w:val="19"/>
        </w:numPr>
        <w:tabs>
          <w:tab w:val="left" w:pos="993"/>
        </w:tabs>
        <w:spacing w:before="120" w:after="120"/>
        <w:ind w:left="851" w:hanging="425"/>
        <w:jc w:val="both"/>
        <w:rPr>
          <w:b/>
          <w:lang w:eastAsia="bg-BG"/>
        </w:rPr>
      </w:pPr>
      <w:r w:rsidRPr="00F03C8D">
        <w:rPr>
          <w:b/>
          <w:lang w:eastAsia="bg-BG"/>
        </w:rPr>
        <w:t>Друго финансиране</w:t>
      </w:r>
    </w:p>
    <w:p w:rsidR="006308FC" w:rsidRPr="00F03C8D" w:rsidRDefault="006308FC" w:rsidP="00730E54">
      <w:pPr>
        <w:ind w:firstLine="567"/>
        <w:jc w:val="both"/>
        <w:rPr>
          <w:lang w:eastAsia="bg-BG"/>
        </w:rPr>
      </w:pPr>
      <w:r w:rsidRPr="00F03C8D">
        <w:rPr>
          <w:lang w:eastAsia="bg-BG"/>
        </w:rPr>
        <w:t>За периода 01.01-31.03.2024</w:t>
      </w:r>
      <w:r>
        <w:rPr>
          <w:lang w:eastAsia="bg-BG"/>
        </w:rPr>
        <w:t xml:space="preserve"> </w:t>
      </w:r>
      <w:r w:rsidRPr="00F03C8D">
        <w:rPr>
          <w:lang w:eastAsia="bg-BG"/>
        </w:rPr>
        <w:t>г. извършените плащания, възстановените суми, разчетът с централния бюджет и операциите с чужди средства, включени в отчетността в „Друго финансиране“ възлизат общо на -205</w:t>
      </w:r>
      <w:r>
        <w:rPr>
          <w:lang w:eastAsia="bg-BG"/>
        </w:rPr>
        <w:t>,0</w:t>
      </w:r>
      <w:r w:rsidRPr="00F03C8D">
        <w:rPr>
          <w:lang w:eastAsia="bg-BG"/>
        </w:rPr>
        <w:t xml:space="preserve"> млн.</w:t>
      </w:r>
      <w:r>
        <w:rPr>
          <w:lang w:eastAsia="bg-BG"/>
        </w:rPr>
        <w:t xml:space="preserve"> </w:t>
      </w:r>
      <w:r w:rsidRPr="00F03C8D">
        <w:rPr>
          <w:lang w:eastAsia="bg-BG"/>
        </w:rPr>
        <w:t>лв., при планирани -4,8 млн.</w:t>
      </w:r>
      <w:r>
        <w:rPr>
          <w:lang w:eastAsia="bg-BG"/>
        </w:rPr>
        <w:t xml:space="preserve"> </w:t>
      </w:r>
      <w:r w:rsidRPr="00F03C8D">
        <w:rPr>
          <w:lang w:eastAsia="bg-BG"/>
        </w:rPr>
        <w:t>лв.</w:t>
      </w:r>
    </w:p>
    <w:p w:rsidR="006308FC" w:rsidRPr="00F03C8D" w:rsidRDefault="006308FC" w:rsidP="00D8300D">
      <w:pPr>
        <w:ind w:firstLine="567"/>
        <w:jc w:val="both"/>
        <w:rPr>
          <w:lang w:eastAsia="bg-BG"/>
        </w:rPr>
      </w:pPr>
      <w:r w:rsidRPr="00F03C8D">
        <w:rPr>
          <w:lang w:eastAsia="bg-BG"/>
        </w:rPr>
        <w:t>Към 31.03.2024</w:t>
      </w:r>
      <w:r>
        <w:rPr>
          <w:lang w:eastAsia="bg-BG"/>
        </w:rPr>
        <w:t xml:space="preserve"> </w:t>
      </w:r>
      <w:r w:rsidRPr="00F03C8D">
        <w:rPr>
          <w:lang w:eastAsia="bg-BG"/>
        </w:rPr>
        <w:t xml:space="preserve">г. са отчетени плащания в общ размер </w:t>
      </w:r>
      <w:r>
        <w:rPr>
          <w:lang w:eastAsia="bg-BG"/>
        </w:rPr>
        <w:t xml:space="preserve">на </w:t>
      </w:r>
      <w:r w:rsidRPr="00F03C8D">
        <w:rPr>
          <w:lang w:eastAsia="bg-BG"/>
        </w:rPr>
        <w:t>272,6 млн.</w:t>
      </w:r>
      <w:r>
        <w:rPr>
          <w:lang w:eastAsia="bg-BG"/>
        </w:rPr>
        <w:t xml:space="preserve"> </w:t>
      </w:r>
      <w:r w:rsidRPr="00F03C8D">
        <w:rPr>
          <w:lang w:eastAsia="bg-BG"/>
        </w:rPr>
        <w:t>лв., представляващи 14,4</w:t>
      </w:r>
      <w:r>
        <w:rPr>
          <w:lang w:eastAsia="bg-BG"/>
        </w:rPr>
        <w:t xml:space="preserve"> </w:t>
      </w:r>
      <w:r w:rsidRPr="00F03C8D">
        <w:rPr>
          <w:lang w:eastAsia="bg-BG"/>
        </w:rPr>
        <w:t>% от годишните разчети, които са 1 898,5 млн.</w:t>
      </w:r>
      <w:r>
        <w:rPr>
          <w:lang w:eastAsia="bg-BG"/>
        </w:rPr>
        <w:t xml:space="preserve"> </w:t>
      </w:r>
      <w:r w:rsidRPr="00F03C8D">
        <w:rPr>
          <w:lang w:eastAsia="bg-BG"/>
        </w:rPr>
        <w:t>лв. За същия период на 2023</w:t>
      </w:r>
      <w:r>
        <w:rPr>
          <w:lang w:eastAsia="bg-BG"/>
        </w:rPr>
        <w:t xml:space="preserve"> </w:t>
      </w:r>
      <w:r w:rsidRPr="00F03C8D">
        <w:rPr>
          <w:lang w:eastAsia="bg-BG"/>
        </w:rPr>
        <w:t>г. плащанията, отчитани като финансиране са били 218,4 млн.</w:t>
      </w:r>
      <w:r>
        <w:rPr>
          <w:lang w:eastAsia="bg-BG"/>
        </w:rPr>
        <w:t xml:space="preserve"> </w:t>
      </w:r>
      <w:r w:rsidRPr="00F03C8D">
        <w:rPr>
          <w:lang w:eastAsia="bg-BG"/>
        </w:rPr>
        <w:t>лв.</w:t>
      </w:r>
    </w:p>
    <w:p w:rsidR="006308FC" w:rsidRPr="00F03C8D" w:rsidRDefault="006308FC" w:rsidP="00D8300D">
      <w:pPr>
        <w:ind w:firstLine="567"/>
        <w:jc w:val="both"/>
        <w:rPr>
          <w:szCs w:val="20"/>
        </w:rPr>
      </w:pPr>
      <w:r w:rsidRPr="00F03C8D">
        <w:rPr>
          <w:szCs w:val="20"/>
        </w:rPr>
        <w:t>Отчетените плащания са по следните направления:</w:t>
      </w:r>
    </w:p>
    <w:p w:rsidR="006308FC" w:rsidRPr="00F03C8D" w:rsidRDefault="006308FC" w:rsidP="00D8300D">
      <w:pPr>
        <w:numPr>
          <w:ilvl w:val="0"/>
          <w:numId w:val="21"/>
        </w:numPr>
        <w:tabs>
          <w:tab w:val="left" w:pos="851"/>
        </w:tabs>
        <w:ind w:left="851" w:hanging="284"/>
        <w:jc w:val="both"/>
        <w:rPr>
          <w:szCs w:val="20"/>
        </w:rPr>
      </w:pPr>
      <w:r w:rsidRPr="00F03C8D">
        <w:rPr>
          <w:szCs w:val="20"/>
        </w:rPr>
        <w:t>269,7 млн.</w:t>
      </w:r>
      <w:r>
        <w:rPr>
          <w:szCs w:val="20"/>
        </w:rPr>
        <w:t xml:space="preserve"> </w:t>
      </w:r>
      <w:r w:rsidRPr="00F03C8D">
        <w:rPr>
          <w:szCs w:val="20"/>
        </w:rPr>
        <w:t>лв. за директни плащания за сметка на ЕФГЗ, представляващи 16,6</w:t>
      </w:r>
      <w:r>
        <w:rPr>
          <w:szCs w:val="20"/>
        </w:rPr>
        <w:t xml:space="preserve"> </w:t>
      </w:r>
      <w:r w:rsidRPr="00F03C8D">
        <w:rPr>
          <w:szCs w:val="20"/>
        </w:rPr>
        <w:t>% от планираните 1 620,3 млн.</w:t>
      </w:r>
      <w:r>
        <w:rPr>
          <w:szCs w:val="20"/>
        </w:rPr>
        <w:t xml:space="preserve"> </w:t>
      </w:r>
      <w:r w:rsidRPr="00F03C8D">
        <w:rPr>
          <w:szCs w:val="20"/>
        </w:rPr>
        <w:t>лв.;</w:t>
      </w:r>
    </w:p>
    <w:p w:rsidR="006308FC" w:rsidRPr="00F03C8D" w:rsidRDefault="006308FC" w:rsidP="00D8300D">
      <w:pPr>
        <w:numPr>
          <w:ilvl w:val="0"/>
          <w:numId w:val="21"/>
        </w:numPr>
        <w:tabs>
          <w:tab w:val="left" w:pos="851"/>
        </w:tabs>
        <w:ind w:left="851" w:hanging="284"/>
        <w:jc w:val="both"/>
        <w:rPr>
          <w:szCs w:val="20"/>
        </w:rPr>
      </w:pPr>
      <w:r w:rsidRPr="00F03C8D">
        <w:rPr>
          <w:szCs w:val="20"/>
        </w:rPr>
        <w:t>0,4 млн.</w:t>
      </w:r>
      <w:r>
        <w:rPr>
          <w:szCs w:val="20"/>
        </w:rPr>
        <w:t xml:space="preserve"> </w:t>
      </w:r>
      <w:r w:rsidRPr="00F03C8D">
        <w:rPr>
          <w:szCs w:val="20"/>
        </w:rPr>
        <w:t>лв. средства от ЕЗФРСР, прехвърлени към директни плащания, което е 0,2</w:t>
      </w:r>
      <w:r>
        <w:rPr>
          <w:szCs w:val="20"/>
        </w:rPr>
        <w:t xml:space="preserve"> </w:t>
      </w:r>
      <w:r w:rsidRPr="00F03C8D">
        <w:rPr>
          <w:szCs w:val="20"/>
        </w:rPr>
        <w:t>% от планираните  214,1 млн.</w:t>
      </w:r>
      <w:r>
        <w:rPr>
          <w:szCs w:val="20"/>
        </w:rPr>
        <w:t xml:space="preserve"> </w:t>
      </w:r>
      <w:r w:rsidRPr="00F03C8D">
        <w:rPr>
          <w:szCs w:val="20"/>
        </w:rPr>
        <w:t>лв.;</w:t>
      </w:r>
    </w:p>
    <w:p w:rsidR="006308FC" w:rsidRPr="00F03C8D" w:rsidRDefault="006308FC" w:rsidP="00D8300D">
      <w:pPr>
        <w:numPr>
          <w:ilvl w:val="0"/>
          <w:numId w:val="21"/>
        </w:numPr>
        <w:tabs>
          <w:tab w:val="left" w:pos="851"/>
        </w:tabs>
        <w:ind w:left="851" w:hanging="284"/>
        <w:jc w:val="both"/>
        <w:rPr>
          <w:szCs w:val="20"/>
        </w:rPr>
      </w:pPr>
      <w:r w:rsidRPr="00F03C8D">
        <w:rPr>
          <w:szCs w:val="20"/>
        </w:rPr>
        <w:t>2,2 млн.</w:t>
      </w:r>
      <w:r>
        <w:rPr>
          <w:szCs w:val="20"/>
        </w:rPr>
        <w:t xml:space="preserve"> </w:t>
      </w:r>
      <w:r w:rsidRPr="00F03C8D">
        <w:rPr>
          <w:szCs w:val="20"/>
        </w:rPr>
        <w:t>лв. за пазарни мерки при разчет за плащания в размер 39,9 млн.</w:t>
      </w:r>
      <w:r>
        <w:rPr>
          <w:szCs w:val="20"/>
        </w:rPr>
        <w:t xml:space="preserve"> </w:t>
      </w:r>
      <w:r w:rsidRPr="00F03C8D">
        <w:rPr>
          <w:szCs w:val="20"/>
        </w:rPr>
        <w:t>лв. изпълнение 5,5</w:t>
      </w:r>
      <w:r>
        <w:rPr>
          <w:szCs w:val="20"/>
        </w:rPr>
        <w:t xml:space="preserve"> </w:t>
      </w:r>
      <w:r w:rsidRPr="00F03C8D">
        <w:rPr>
          <w:szCs w:val="20"/>
        </w:rPr>
        <w:t>%;</w:t>
      </w:r>
    </w:p>
    <w:p w:rsidR="006308FC" w:rsidRPr="00F03C8D" w:rsidRDefault="006308FC" w:rsidP="00D8300D">
      <w:pPr>
        <w:numPr>
          <w:ilvl w:val="0"/>
          <w:numId w:val="21"/>
        </w:numPr>
        <w:tabs>
          <w:tab w:val="left" w:pos="851"/>
        </w:tabs>
        <w:ind w:left="851" w:hanging="284"/>
        <w:jc w:val="both"/>
        <w:rPr>
          <w:szCs w:val="20"/>
        </w:rPr>
      </w:pPr>
      <w:r w:rsidRPr="00F03C8D">
        <w:rPr>
          <w:szCs w:val="20"/>
        </w:rPr>
        <w:t>0,3 млн.</w:t>
      </w:r>
      <w:r>
        <w:rPr>
          <w:szCs w:val="20"/>
        </w:rPr>
        <w:t xml:space="preserve"> </w:t>
      </w:r>
      <w:r w:rsidRPr="00F03C8D">
        <w:rPr>
          <w:szCs w:val="20"/>
        </w:rPr>
        <w:t>лв. за преструктуриране, изпълнение 1,2</w:t>
      </w:r>
      <w:r>
        <w:rPr>
          <w:szCs w:val="20"/>
        </w:rPr>
        <w:t xml:space="preserve"> </w:t>
      </w:r>
      <w:r w:rsidRPr="00F03C8D">
        <w:rPr>
          <w:szCs w:val="20"/>
        </w:rPr>
        <w:t>% от планираните плащания в размер 24,2 млн.</w:t>
      </w:r>
      <w:r>
        <w:rPr>
          <w:szCs w:val="20"/>
        </w:rPr>
        <w:t xml:space="preserve"> </w:t>
      </w:r>
      <w:r w:rsidRPr="00F03C8D">
        <w:rPr>
          <w:szCs w:val="20"/>
        </w:rPr>
        <w:t>лв.</w:t>
      </w:r>
    </w:p>
    <w:p w:rsidR="006308FC" w:rsidRPr="00F03C8D" w:rsidRDefault="006308FC" w:rsidP="00D8300D">
      <w:pPr>
        <w:tabs>
          <w:tab w:val="left" w:pos="709"/>
        </w:tabs>
        <w:ind w:firstLine="567"/>
        <w:jc w:val="both"/>
        <w:rPr>
          <w:lang w:eastAsia="bg-BG"/>
        </w:rPr>
      </w:pPr>
      <w:r w:rsidRPr="00F03C8D">
        <w:rPr>
          <w:lang w:eastAsia="bg-BG"/>
        </w:rPr>
        <w:t>Възстановените суми от Европейския съюз към 31.03.2024</w:t>
      </w:r>
      <w:r>
        <w:rPr>
          <w:lang w:eastAsia="bg-BG"/>
        </w:rPr>
        <w:t xml:space="preserve"> </w:t>
      </w:r>
      <w:r w:rsidRPr="00F03C8D">
        <w:rPr>
          <w:lang w:eastAsia="bg-BG"/>
        </w:rPr>
        <w:t>г. възлизат общо на</w:t>
      </w:r>
      <w:r>
        <w:rPr>
          <w:lang w:eastAsia="bg-BG"/>
        </w:rPr>
        <w:t xml:space="preserve"> </w:t>
      </w:r>
      <w:r w:rsidRPr="00F03C8D">
        <w:rPr>
          <w:lang w:eastAsia="bg-BG"/>
        </w:rPr>
        <w:t>594,3 млн.</w:t>
      </w:r>
      <w:r>
        <w:rPr>
          <w:lang w:eastAsia="bg-BG"/>
        </w:rPr>
        <w:t> </w:t>
      </w:r>
      <w:r w:rsidRPr="00F03C8D">
        <w:rPr>
          <w:lang w:eastAsia="bg-BG"/>
        </w:rPr>
        <w:t>лв., представляващи 31,5</w:t>
      </w:r>
      <w:r>
        <w:rPr>
          <w:lang w:eastAsia="bg-BG"/>
        </w:rPr>
        <w:t xml:space="preserve"> </w:t>
      </w:r>
      <w:r w:rsidRPr="00F03C8D">
        <w:rPr>
          <w:lang w:eastAsia="bg-BG"/>
        </w:rPr>
        <w:t>% от планираните 1</w:t>
      </w:r>
      <w:r w:rsidRPr="00F03C8D">
        <w:rPr>
          <w:lang w:val="en-US" w:eastAsia="bg-BG"/>
        </w:rPr>
        <w:t> </w:t>
      </w:r>
      <w:r w:rsidRPr="00F03C8D">
        <w:rPr>
          <w:lang w:eastAsia="bg-BG"/>
        </w:rPr>
        <w:t>887,6 млн.</w:t>
      </w:r>
      <w:r>
        <w:rPr>
          <w:lang w:eastAsia="bg-BG"/>
        </w:rPr>
        <w:t xml:space="preserve"> </w:t>
      </w:r>
      <w:r w:rsidRPr="00F03C8D">
        <w:rPr>
          <w:lang w:eastAsia="bg-BG"/>
        </w:rPr>
        <w:t>лв. Отчетеното изпълнение за периода 01.01-31.03.2023</w:t>
      </w:r>
      <w:r>
        <w:rPr>
          <w:lang w:eastAsia="bg-BG"/>
        </w:rPr>
        <w:t xml:space="preserve"> </w:t>
      </w:r>
      <w:r w:rsidRPr="00F03C8D">
        <w:rPr>
          <w:lang w:eastAsia="bg-BG"/>
        </w:rPr>
        <w:t>г. е 935,9 млн.</w:t>
      </w:r>
      <w:r>
        <w:rPr>
          <w:lang w:eastAsia="bg-BG"/>
        </w:rPr>
        <w:t xml:space="preserve"> </w:t>
      </w:r>
      <w:r w:rsidRPr="00F03C8D">
        <w:rPr>
          <w:lang w:eastAsia="bg-BG"/>
        </w:rPr>
        <w:t>лв.</w:t>
      </w:r>
    </w:p>
    <w:p w:rsidR="006308FC" w:rsidRPr="00F03C8D" w:rsidRDefault="006308FC" w:rsidP="00D8300D">
      <w:pPr>
        <w:tabs>
          <w:tab w:val="left" w:pos="709"/>
        </w:tabs>
        <w:ind w:firstLine="567"/>
        <w:jc w:val="both"/>
        <w:rPr>
          <w:lang w:eastAsia="bg-BG"/>
        </w:rPr>
      </w:pPr>
      <w:r w:rsidRPr="00F03C8D">
        <w:rPr>
          <w:lang w:eastAsia="bg-BG"/>
        </w:rPr>
        <w:t>Възстановени са суми по следните направления:</w:t>
      </w:r>
    </w:p>
    <w:p w:rsidR="006308FC" w:rsidRPr="00F03C8D" w:rsidRDefault="006308FC" w:rsidP="00D8300D">
      <w:pPr>
        <w:numPr>
          <w:ilvl w:val="0"/>
          <w:numId w:val="21"/>
        </w:numPr>
        <w:tabs>
          <w:tab w:val="left" w:pos="851"/>
        </w:tabs>
        <w:ind w:left="851" w:hanging="284"/>
        <w:jc w:val="both"/>
        <w:rPr>
          <w:lang w:eastAsia="bg-BG"/>
        </w:rPr>
      </w:pPr>
      <w:r w:rsidRPr="00F03C8D">
        <w:rPr>
          <w:lang w:eastAsia="bg-BG"/>
        </w:rPr>
        <w:t>549,6 млн.</w:t>
      </w:r>
      <w:r>
        <w:rPr>
          <w:lang w:eastAsia="bg-BG"/>
        </w:rPr>
        <w:t xml:space="preserve"> </w:t>
      </w:r>
      <w:r w:rsidRPr="00F03C8D">
        <w:rPr>
          <w:lang w:eastAsia="bg-BG"/>
        </w:rPr>
        <w:t>лв. за директни плащания от ЕФГЗ – 34,2</w:t>
      </w:r>
      <w:r>
        <w:rPr>
          <w:lang w:eastAsia="bg-BG"/>
        </w:rPr>
        <w:t xml:space="preserve"> </w:t>
      </w:r>
      <w:r w:rsidRPr="00F03C8D">
        <w:rPr>
          <w:lang w:eastAsia="bg-BG"/>
        </w:rPr>
        <w:t>% от планираните 1 605,8 млн.</w:t>
      </w:r>
      <w:r>
        <w:rPr>
          <w:lang w:eastAsia="bg-BG"/>
        </w:rPr>
        <w:t xml:space="preserve"> </w:t>
      </w:r>
      <w:r w:rsidRPr="00F03C8D">
        <w:rPr>
          <w:lang w:eastAsia="bg-BG"/>
        </w:rPr>
        <w:t>лв.;</w:t>
      </w:r>
    </w:p>
    <w:p w:rsidR="006308FC" w:rsidRPr="00F03C8D" w:rsidRDefault="006308FC" w:rsidP="00D8300D">
      <w:pPr>
        <w:numPr>
          <w:ilvl w:val="0"/>
          <w:numId w:val="21"/>
        </w:numPr>
        <w:tabs>
          <w:tab w:val="left" w:pos="851"/>
        </w:tabs>
        <w:ind w:left="851" w:hanging="284"/>
        <w:jc w:val="both"/>
        <w:rPr>
          <w:lang w:eastAsia="bg-BG"/>
        </w:rPr>
      </w:pPr>
      <w:r w:rsidRPr="00F03C8D">
        <w:rPr>
          <w:lang w:eastAsia="bg-BG"/>
        </w:rPr>
        <w:t>23,9 млн.</w:t>
      </w:r>
      <w:r>
        <w:rPr>
          <w:lang w:eastAsia="bg-BG"/>
        </w:rPr>
        <w:t xml:space="preserve"> </w:t>
      </w:r>
      <w:r w:rsidRPr="00F03C8D">
        <w:rPr>
          <w:lang w:eastAsia="bg-BG"/>
        </w:rPr>
        <w:t>лв. от ЕЗФРСР, прехвърлени към директни плащания – 11</w:t>
      </w:r>
      <w:r>
        <w:rPr>
          <w:lang w:eastAsia="bg-BG"/>
        </w:rPr>
        <w:t xml:space="preserve">,0 </w:t>
      </w:r>
      <w:r w:rsidRPr="00F03C8D">
        <w:rPr>
          <w:lang w:eastAsia="bg-BG"/>
        </w:rPr>
        <w:t>% от заложените 218,2 млн.</w:t>
      </w:r>
      <w:r>
        <w:rPr>
          <w:lang w:eastAsia="bg-BG"/>
        </w:rPr>
        <w:t xml:space="preserve"> </w:t>
      </w:r>
      <w:r w:rsidRPr="00F03C8D">
        <w:rPr>
          <w:lang w:eastAsia="bg-BG"/>
        </w:rPr>
        <w:t>лв.;</w:t>
      </w:r>
    </w:p>
    <w:p w:rsidR="006308FC" w:rsidRPr="00F03C8D" w:rsidRDefault="006308FC" w:rsidP="00D8300D">
      <w:pPr>
        <w:numPr>
          <w:ilvl w:val="0"/>
          <w:numId w:val="21"/>
        </w:numPr>
        <w:tabs>
          <w:tab w:val="left" w:pos="851"/>
        </w:tabs>
        <w:ind w:left="851" w:hanging="284"/>
        <w:jc w:val="both"/>
        <w:rPr>
          <w:lang w:eastAsia="bg-BG"/>
        </w:rPr>
      </w:pPr>
      <w:r w:rsidRPr="00F03C8D">
        <w:rPr>
          <w:lang w:eastAsia="bg-BG"/>
        </w:rPr>
        <w:t>20,4 млн.</w:t>
      </w:r>
      <w:r>
        <w:rPr>
          <w:lang w:eastAsia="bg-BG"/>
        </w:rPr>
        <w:t xml:space="preserve"> </w:t>
      </w:r>
      <w:r w:rsidRPr="00F03C8D">
        <w:rPr>
          <w:lang w:eastAsia="bg-BG"/>
        </w:rPr>
        <w:t>лв. за пазарни мерки от ЕФГЗ при планирани 38,5 млн.</w:t>
      </w:r>
      <w:r>
        <w:rPr>
          <w:lang w:eastAsia="bg-BG"/>
        </w:rPr>
        <w:t xml:space="preserve"> </w:t>
      </w:r>
      <w:r w:rsidRPr="00F03C8D">
        <w:rPr>
          <w:lang w:eastAsia="bg-BG"/>
        </w:rPr>
        <w:t>лв., степен на изпълнение: 53</w:t>
      </w:r>
      <w:r>
        <w:rPr>
          <w:lang w:eastAsia="bg-BG"/>
        </w:rPr>
        <w:t xml:space="preserve"> </w:t>
      </w:r>
      <w:r w:rsidRPr="00F03C8D">
        <w:rPr>
          <w:lang w:eastAsia="bg-BG"/>
        </w:rPr>
        <w:t>%;</w:t>
      </w:r>
    </w:p>
    <w:p w:rsidR="006308FC" w:rsidRPr="00F03C8D" w:rsidRDefault="006308FC" w:rsidP="00D8300D">
      <w:pPr>
        <w:numPr>
          <w:ilvl w:val="0"/>
          <w:numId w:val="21"/>
        </w:numPr>
        <w:tabs>
          <w:tab w:val="left" w:pos="851"/>
        </w:tabs>
        <w:ind w:left="851" w:hanging="284"/>
        <w:jc w:val="both"/>
        <w:rPr>
          <w:lang w:eastAsia="bg-BG"/>
        </w:rPr>
      </w:pPr>
      <w:r w:rsidRPr="00F03C8D">
        <w:rPr>
          <w:lang w:eastAsia="bg-BG"/>
        </w:rPr>
        <w:t>0,4 млн.</w:t>
      </w:r>
      <w:r>
        <w:rPr>
          <w:lang w:eastAsia="bg-BG"/>
        </w:rPr>
        <w:t xml:space="preserve"> </w:t>
      </w:r>
      <w:r w:rsidRPr="00F03C8D">
        <w:rPr>
          <w:lang w:eastAsia="bg-BG"/>
        </w:rPr>
        <w:t>лв. за преструктуриране от ЕФГЗ при планирани 25,1 млн.</w:t>
      </w:r>
      <w:r>
        <w:rPr>
          <w:lang w:eastAsia="bg-BG"/>
        </w:rPr>
        <w:t xml:space="preserve"> </w:t>
      </w:r>
      <w:r w:rsidRPr="00F03C8D">
        <w:rPr>
          <w:lang w:eastAsia="bg-BG"/>
        </w:rPr>
        <w:t>лв., изпълнение 1,6</w:t>
      </w:r>
      <w:r>
        <w:rPr>
          <w:lang w:eastAsia="bg-BG"/>
        </w:rPr>
        <w:t> </w:t>
      </w:r>
      <w:r w:rsidRPr="00F03C8D">
        <w:rPr>
          <w:lang w:eastAsia="bg-BG"/>
        </w:rPr>
        <w:t>%.</w:t>
      </w:r>
    </w:p>
    <w:p w:rsidR="006308FC" w:rsidRPr="00F03C8D" w:rsidRDefault="006308FC" w:rsidP="00D8300D">
      <w:pPr>
        <w:tabs>
          <w:tab w:val="left" w:pos="709"/>
        </w:tabs>
        <w:spacing w:after="120"/>
        <w:ind w:firstLine="567"/>
        <w:contextualSpacing/>
        <w:jc w:val="both"/>
      </w:pPr>
      <w:r w:rsidRPr="00F03C8D">
        <w:rPr>
          <w:lang w:eastAsia="bg-BG"/>
        </w:rPr>
        <w:t xml:space="preserve">Предоставените суми (нето) </w:t>
      </w:r>
      <w:r w:rsidRPr="00F03C8D">
        <w:t>по разчети с ЦБ за финансиране на плащания при недостиг на средства по сметки</w:t>
      </w:r>
      <w:r w:rsidRPr="00F03C8D">
        <w:rPr>
          <w:lang w:eastAsia="bg-BG"/>
        </w:rPr>
        <w:t xml:space="preserve"> към 31.03.2024</w:t>
      </w:r>
      <w:r>
        <w:rPr>
          <w:lang w:eastAsia="bg-BG"/>
        </w:rPr>
        <w:t xml:space="preserve"> </w:t>
      </w:r>
      <w:r w:rsidRPr="00F03C8D">
        <w:rPr>
          <w:lang w:eastAsia="bg-BG"/>
        </w:rPr>
        <w:t>г. възлизат на -526,7 млн.</w:t>
      </w:r>
      <w:r>
        <w:rPr>
          <w:lang w:eastAsia="bg-BG"/>
        </w:rPr>
        <w:t xml:space="preserve"> </w:t>
      </w:r>
      <w:r w:rsidRPr="00F03C8D">
        <w:rPr>
          <w:lang w:eastAsia="bg-BG"/>
        </w:rPr>
        <w:t>лв., при планирани 6,1 млн.</w:t>
      </w:r>
      <w:r>
        <w:rPr>
          <w:lang w:eastAsia="bg-BG"/>
        </w:rPr>
        <w:t xml:space="preserve"> </w:t>
      </w:r>
      <w:r w:rsidRPr="00F03C8D">
        <w:rPr>
          <w:lang w:eastAsia="bg-BG"/>
        </w:rPr>
        <w:t>лв.</w:t>
      </w:r>
    </w:p>
    <w:p w:rsidR="00EB292B" w:rsidRPr="004B7A23" w:rsidRDefault="00EB292B" w:rsidP="00EB292B">
      <w:pPr>
        <w:tabs>
          <w:tab w:val="left" w:pos="540"/>
        </w:tabs>
        <w:spacing w:before="120"/>
        <w:ind w:firstLine="567"/>
        <w:jc w:val="both"/>
        <w:rPr>
          <w:color w:val="0070C0"/>
        </w:rPr>
      </w:pPr>
      <w:r w:rsidRPr="004B7A23">
        <w:rPr>
          <w:color w:val="0070C0"/>
          <w:lang w:eastAsia="bg-BG"/>
        </w:rPr>
        <w:tab/>
      </w:r>
    </w:p>
    <w:p w:rsidR="00EB292B" w:rsidRPr="00B039F0" w:rsidRDefault="00EB292B" w:rsidP="00EB292B">
      <w:pPr>
        <w:pStyle w:val="Heading1"/>
        <w:numPr>
          <w:ilvl w:val="1"/>
          <w:numId w:val="9"/>
        </w:numPr>
        <w:spacing w:after="120"/>
        <w:ind w:left="792" w:right="-115" w:hanging="432"/>
        <w:jc w:val="both"/>
        <w:rPr>
          <w:sz w:val="24"/>
        </w:rPr>
      </w:pPr>
      <w:bookmarkStart w:id="35" w:name="_Toc83045529"/>
      <w:r w:rsidRPr="00B039F0">
        <w:rPr>
          <w:sz w:val="24"/>
        </w:rPr>
        <w:t>Сметка за средствата от Европейския съюз на Национален фонд към Министерство на финансите</w:t>
      </w:r>
      <w:bookmarkEnd w:id="35"/>
    </w:p>
    <w:p w:rsidR="00B039F0" w:rsidRPr="000B151D" w:rsidRDefault="00B039F0" w:rsidP="009E5646">
      <w:pPr>
        <w:ind w:firstLine="567"/>
        <w:jc w:val="both"/>
        <w:rPr>
          <w:bCs/>
          <w:color w:val="0070C0"/>
        </w:rPr>
      </w:pPr>
      <w:r w:rsidRPr="000F041C">
        <w:rPr>
          <w:bCs/>
        </w:rPr>
        <w:t>По сметките на НФ към 3</w:t>
      </w:r>
      <w:r w:rsidRPr="000F041C">
        <w:rPr>
          <w:bCs/>
          <w:lang w:val="ru-RU"/>
        </w:rPr>
        <w:t>1</w:t>
      </w:r>
      <w:r w:rsidRPr="000F041C">
        <w:rPr>
          <w:bCs/>
        </w:rPr>
        <w:t>.</w:t>
      </w:r>
      <w:r w:rsidRPr="000F041C">
        <w:rPr>
          <w:bCs/>
          <w:lang w:val="ru-RU"/>
        </w:rPr>
        <w:t>03</w:t>
      </w:r>
      <w:r w:rsidRPr="000F041C">
        <w:rPr>
          <w:bCs/>
        </w:rPr>
        <w:t>.2024 г. са постъпили приходи (нето) в размер на 1</w:t>
      </w:r>
      <w:r>
        <w:rPr>
          <w:bCs/>
        </w:rPr>
        <w:t> </w:t>
      </w:r>
      <w:r w:rsidRPr="000F041C">
        <w:rPr>
          <w:bCs/>
        </w:rPr>
        <w:t>055</w:t>
      </w:r>
      <w:r>
        <w:rPr>
          <w:bCs/>
        </w:rPr>
        <w:t>,</w:t>
      </w:r>
      <w:r w:rsidRPr="000F041C">
        <w:rPr>
          <w:bCs/>
        </w:rPr>
        <w:t>9</w:t>
      </w:r>
      <w:r>
        <w:rPr>
          <w:bCs/>
          <w:lang w:val="ru-RU"/>
        </w:rPr>
        <w:t> </w:t>
      </w:r>
      <w:r w:rsidRPr="000F041C">
        <w:rPr>
          <w:bCs/>
        </w:rPr>
        <w:t>млн.</w:t>
      </w:r>
      <w:r>
        <w:rPr>
          <w:bCs/>
        </w:rPr>
        <w:t> </w:t>
      </w:r>
      <w:r w:rsidRPr="000F041C">
        <w:rPr>
          <w:bCs/>
        </w:rPr>
        <w:t>лв</w:t>
      </w:r>
      <w:r>
        <w:rPr>
          <w:bCs/>
        </w:rPr>
        <w:t>.</w:t>
      </w:r>
      <w:r w:rsidRPr="000F041C">
        <w:rPr>
          <w:bCs/>
        </w:rPr>
        <w:t xml:space="preserve"> по програмите, съфинансирани от Европейския фонд за регионално развитие, Европейския социален фонд (включително Инициативата за младежка заетост), Кохезионния фонд на ЕС за финансовата рамка, както </w:t>
      </w:r>
      <w:r>
        <w:rPr>
          <w:bCs/>
        </w:rPr>
        <w:t xml:space="preserve">и </w:t>
      </w:r>
      <w:r w:rsidRPr="000F041C">
        <w:rPr>
          <w:bCs/>
        </w:rPr>
        <w:t xml:space="preserve">Европейския социален фонд+,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w:t>
      </w:r>
      <w:r w:rsidRPr="009C5E47">
        <w:rPr>
          <w:bCs/>
        </w:rPr>
        <w:t>двустранните програми за трансгранично сътрудничество по външните граници на EС</w:t>
      </w:r>
      <w:r>
        <w:rPr>
          <w:bCs/>
        </w:rPr>
        <w:t xml:space="preserve"> (</w:t>
      </w:r>
      <w:r w:rsidRPr="000F041C">
        <w:rPr>
          <w:bCs/>
        </w:rPr>
        <w:t>ПТСВГ</w:t>
      </w:r>
      <w:r>
        <w:rPr>
          <w:bCs/>
        </w:rPr>
        <w:t>)</w:t>
      </w:r>
      <w:r w:rsidRPr="000F041C">
        <w:rPr>
          <w:bCs/>
        </w:rPr>
        <w:t xml:space="preserve"> и изплатените средства от получения ресурс към бенефициенти извън страната.</w:t>
      </w:r>
    </w:p>
    <w:p w:rsidR="00B039F0" w:rsidRPr="00B44E8C" w:rsidRDefault="00B039F0" w:rsidP="009E5646">
      <w:pPr>
        <w:ind w:firstLine="567"/>
        <w:jc w:val="both"/>
        <w:rPr>
          <w:bCs/>
        </w:rPr>
      </w:pPr>
      <w:r w:rsidRPr="00B44E8C">
        <w:rPr>
          <w:bCs/>
        </w:rPr>
        <w:t>Извършените разходи (нето) за периода с натрупване чрез сметките на НФ възлизат на 219</w:t>
      </w:r>
      <w:r>
        <w:rPr>
          <w:bCs/>
        </w:rPr>
        <w:t>,</w:t>
      </w:r>
      <w:r w:rsidRPr="00B44E8C">
        <w:rPr>
          <w:bCs/>
        </w:rPr>
        <w:t>3</w:t>
      </w:r>
      <w:r w:rsidR="00E15484">
        <w:rPr>
          <w:bCs/>
        </w:rPr>
        <w:t> </w:t>
      </w:r>
      <w:r w:rsidRPr="00B44E8C">
        <w:rPr>
          <w:bCs/>
        </w:rPr>
        <w:t>млн. лева. По видове разходи изпълнението е както следва: 94</w:t>
      </w:r>
      <w:r>
        <w:rPr>
          <w:bCs/>
        </w:rPr>
        <w:t>,</w:t>
      </w:r>
      <w:r w:rsidRPr="00B44E8C">
        <w:rPr>
          <w:bCs/>
        </w:rPr>
        <w:t>30</w:t>
      </w:r>
      <w:r>
        <w:rPr>
          <w:bCs/>
        </w:rPr>
        <w:t xml:space="preserve"> </w:t>
      </w:r>
      <w:r w:rsidRPr="00B44E8C">
        <w:rPr>
          <w:bCs/>
        </w:rPr>
        <w:t>% от общата стойност са капиталови трансфери, 5</w:t>
      </w:r>
      <w:r>
        <w:rPr>
          <w:bCs/>
        </w:rPr>
        <w:t>,</w:t>
      </w:r>
      <w:r w:rsidRPr="00B44E8C">
        <w:rPr>
          <w:bCs/>
        </w:rPr>
        <w:t>42</w:t>
      </w:r>
      <w:r>
        <w:rPr>
          <w:bCs/>
        </w:rPr>
        <w:t xml:space="preserve"> </w:t>
      </w:r>
      <w:r w:rsidRPr="00B44E8C">
        <w:rPr>
          <w:bCs/>
        </w:rPr>
        <w:t>% са субсидии, 0</w:t>
      </w:r>
      <w:r>
        <w:rPr>
          <w:bCs/>
        </w:rPr>
        <w:t>,</w:t>
      </w:r>
      <w:r w:rsidRPr="00B44E8C">
        <w:rPr>
          <w:bCs/>
        </w:rPr>
        <w:t>28</w:t>
      </w:r>
      <w:r>
        <w:rPr>
          <w:bCs/>
        </w:rPr>
        <w:t xml:space="preserve"> </w:t>
      </w:r>
      <w:r w:rsidRPr="00B44E8C">
        <w:rPr>
          <w:bCs/>
        </w:rPr>
        <w:t>% предоставени текущи и капиталови трансфери за чужбина и 0</w:t>
      </w:r>
      <w:r>
        <w:rPr>
          <w:bCs/>
        </w:rPr>
        <w:t>,</w:t>
      </w:r>
      <w:r w:rsidRPr="00B44E8C">
        <w:rPr>
          <w:bCs/>
        </w:rPr>
        <w:t>0001</w:t>
      </w:r>
      <w:r>
        <w:rPr>
          <w:bCs/>
        </w:rPr>
        <w:t xml:space="preserve"> </w:t>
      </w:r>
      <w:r w:rsidRPr="00B44E8C">
        <w:rPr>
          <w:bCs/>
        </w:rPr>
        <w:t>% - издръжка.</w:t>
      </w:r>
    </w:p>
    <w:p w:rsidR="00B039F0" w:rsidRPr="00F95C5C" w:rsidRDefault="00B039F0" w:rsidP="009E5646">
      <w:pPr>
        <w:ind w:firstLine="567"/>
        <w:jc w:val="both"/>
        <w:rPr>
          <w:bCs/>
        </w:rPr>
      </w:pPr>
      <w:r w:rsidRPr="00F95C5C">
        <w:rPr>
          <w:bCs/>
        </w:rPr>
        <w:t>Трансферите (нето), временните безлихвени заеми (нето) и временна възмездна финансова помощ за разглеждания период са на стойност 287</w:t>
      </w:r>
      <w:r>
        <w:rPr>
          <w:bCs/>
        </w:rPr>
        <w:t>,</w:t>
      </w:r>
      <w:r w:rsidRPr="00F95C5C">
        <w:rPr>
          <w:bCs/>
        </w:rPr>
        <w:t>5 млн. лв. (включват предоставените трансфери към бенефициенти по Оперативните програми (ОП) на ЕС - програмен период 2014 – 2020 г. и програмен период 2021 – 2027 г., ПТСВГ за периода 2014 – 2020 г., Националния план за възстановяване и устойчивост (НПВУ), ФМ на ЕИП 2014–2021 г. и НФМ 2014–2021 г.,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rsidR="00B039F0" w:rsidRPr="00113194" w:rsidRDefault="00B039F0" w:rsidP="009E5646">
      <w:pPr>
        <w:ind w:firstLine="567"/>
        <w:jc w:val="both"/>
        <w:rPr>
          <w:bCs/>
        </w:rPr>
      </w:pPr>
      <w:r w:rsidRPr="00113194">
        <w:rPr>
          <w:bCs/>
        </w:rPr>
        <w:t>Във връзка с изпълнение на програмите и проектите по програмен период 2014 – 2020 г., 2021 – 2027 г., ФМ на ЕИП и НФМ и НПВУ по сметките на НФ са получени трансфери от централния бюджет на стойност 235</w:t>
      </w:r>
      <w:r>
        <w:rPr>
          <w:bCs/>
        </w:rPr>
        <w:t>,</w:t>
      </w:r>
      <w:r w:rsidRPr="00113194">
        <w:rPr>
          <w:bCs/>
        </w:rPr>
        <w:t>3 млн. лева.</w:t>
      </w:r>
    </w:p>
    <w:p w:rsidR="00B039F0" w:rsidRPr="00113194" w:rsidRDefault="00B039F0" w:rsidP="009E5646">
      <w:pPr>
        <w:ind w:firstLine="567"/>
        <w:jc w:val="both"/>
        <w:rPr>
          <w:bCs/>
        </w:rPr>
      </w:pPr>
      <w:r w:rsidRPr="00113194">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0</w:t>
      </w:r>
      <w:r>
        <w:rPr>
          <w:bCs/>
        </w:rPr>
        <w:t>,</w:t>
      </w:r>
      <w:r w:rsidRPr="00113194">
        <w:rPr>
          <w:bCs/>
        </w:rPr>
        <w:t>02 млн.</w:t>
      </w:r>
      <w:r>
        <w:rPr>
          <w:bCs/>
        </w:rPr>
        <w:t> </w:t>
      </w:r>
      <w:r w:rsidRPr="00113194">
        <w:rPr>
          <w:bCs/>
        </w:rPr>
        <w:t>лева.</w:t>
      </w:r>
    </w:p>
    <w:p w:rsidR="00B039F0" w:rsidRPr="00413FBE" w:rsidRDefault="00B039F0" w:rsidP="00D47A56">
      <w:pPr>
        <w:spacing w:before="120"/>
        <w:ind w:firstLine="567"/>
        <w:jc w:val="both"/>
        <w:rPr>
          <w:b/>
          <w:bCs/>
        </w:rPr>
      </w:pPr>
      <w:r w:rsidRPr="00413FBE">
        <w:rPr>
          <w:b/>
          <w:bCs/>
        </w:rPr>
        <w:t>Структурни и Кохезионен фондове (СКФ) 2007 – 2013 г.</w:t>
      </w:r>
    </w:p>
    <w:p w:rsidR="00B039F0" w:rsidRPr="00413FBE" w:rsidRDefault="00B039F0" w:rsidP="00D47A56">
      <w:pPr>
        <w:ind w:firstLine="567"/>
        <w:jc w:val="both"/>
      </w:pPr>
      <w:r w:rsidRPr="00413FBE">
        <w:rPr>
          <w:bCs/>
        </w:rPr>
        <w:t xml:space="preserve">През отчетния период са отчетени (нето) възстановени суми от бенефициенти на стойност на </w:t>
      </w:r>
      <w:r>
        <w:rPr>
          <w:bCs/>
        </w:rPr>
        <w:t>0,04 млн. лв. и възстановено</w:t>
      </w:r>
      <w:r w:rsidRPr="004838CB">
        <w:t xml:space="preserve"> </w:t>
      </w:r>
      <w:r w:rsidRPr="004838CB">
        <w:rPr>
          <w:bCs/>
        </w:rPr>
        <w:t>авансово финан</w:t>
      </w:r>
      <w:r>
        <w:rPr>
          <w:bCs/>
        </w:rPr>
        <w:t xml:space="preserve">сиране по реда на ДДС6/2011 г. </w:t>
      </w:r>
      <w:r w:rsidRPr="004838CB">
        <w:rPr>
          <w:bCs/>
        </w:rPr>
        <w:t xml:space="preserve">в размер на </w:t>
      </w:r>
      <w:r>
        <w:rPr>
          <w:bCs/>
        </w:rPr>
        <w:t>0,7</w:t>
      </w:r>
      <w:r w:rsidRPr="004838CB">
        <w:rPr>
          <w:bCs/>
        </w:rPr>
        <w:t xml:space="preserve"> млн. лева.</w:t>
      </w:r>
    </w:p>
    <w:p w:rsidR="00B039F0" w:rsidRPr="00BA0461" w:rsidRDefault="00B039F0" w:rsidP="00D47A56">
      <w:pPr>
        <w:spacing w:before="120"/>
        <w:ind w:firstLine="567"/>
        <w:jc w:val="both"/>
        <w:rPr>
          <w:b/>
          <w:bCs/>
        </w:rPr>
      </w:pPr>
      <w:r w:rsidRPr="000B151D">
        <w:rPr>
          <w:bCs/>
          <w:color w:val="0070C0"/>
        </w:rPr>
        <w:t xml:space="preserve"> </w:t>
      </w:r>
      <w:r w:rsidRPr="00BA0461">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rsidR="00B039F0" w:rsidRPr="00326C5B" w:rsidRDefault="00B039F0" w:rsidP="00D6715C">
      <w:pPr>
        <w:ind w:firstLine="567"/>
        <w:jc w:val="both"/>
        <w:rPr>
          <w:bCs/>
        </w:rPr>
      </w:pPr>
      <w:r w:rsidRPr="00BA0461">
        <w:rPr>
          <w:bCs/>
        </w:rPr>
        <w:t xml:space="preserve">Общо получените средства (нето) от ЕК за периода </w:t>
      </w:r>
      <w:r w:rsidRPr="00326C5B">
        <w:rPr>
          <w:bCs/>
        </w:rPr>
        <w:t>са в размер на 333</w:t>
      </w:r>
      <w:r>
        <w:rPr>
          <w:bCs/>
        </w:rPr>
        <w:t>,</w:t>
      </w:r>
      <w:r w:rsidRPr="00326C5B">
        <w:rPr>
          <w:bCs/>
        </w:rPr>
        <w:t>9 млн. лв. (няма получени приходи по REACT-EU) и са разпределени както следва:</w:t>
      </w:r>
    </w:p>
    <w:p w:rsidR="00B039F0" w:rsidRPr="00932EA5" w:rsidRDefault="00B039F0" w:rsidP="00D6715C">
      <w:pPr>
        <w:numPr>
          <w:ilvl w:val="0"/>
          <w:numId w:val="11"/>
        </w:numPr>
        <w:tabs>
          <w:tab w:val="clear" w:pos="1101"/>
          <w:tab w:val="num" w:pos="786"/>
        </w:tabs>
        <w:ind w:left="786" w:hanging="219"/>
        <w:jc w:val="both"/>
        <w:rPr>
          <w:bCs/>
        </w:rPr>
      </w:pPr>
      <w:r w:rsidRPr="00932EA5">
        <w:rPr>
          <w:bCs/>
        </w:rPr>
        <w:t>ОП „Транспорт и транспортна инфраструктура” – 142</w:t>
      </w:r>
      <w:r>
        <w:rPr>
          <w:bCs/>
        </w:rPr>
        <w:t>,5</w:t>
      </w:r>
      <w:r w:rsidRPr="00932EA5">
        <w:rPr>
          <w:bCs/>
        </w:rPr>
        <w:t xml:space="preserve"> млн. лв.;</w:t>
      </w:r>
    </w:p>
    <w:p w:rsidR="00B039F0" w:rsidRPr="005902C1" w:rsidRDefault="00B039F0" w:rsidP="00D6715C">
      <w:pPr>
        <w:numPr>
          <w:ilvl w:val="0"/>
          <w:numId w:val="11"/>
        </w:numPr>
        <w:tabs>
          <w:tab w:val="clear" w:pos="1101"/>
          <w:tab w:val="num" w:pos="786"/>
        </w:tabs>
        <w:ind w:left="786" w:hanging="219"/>
        <w:jc w:val="both"/>
        <w:rPr>
          <w:bCs/>
        </w:rPr>
      </w:pPr>
      <w:r w:rsidRPr="005902C1">
        <w:rPr>
          <w:bCs/>
        </w:rPr>
        <w:t>ОП „Развитие на човешките ресурси 2014 - 2020 г.” – 37</w:t>
      </w:r>
      <w:r>
        <w:rPr>
          <w:bCs/>
        </w:rPr>
        <w:t>,</w:t>
      </w:r>
      <w:r w:rsidRPr="005902C1">
        <w:rPr>
          <w:bCs/>
        </w:rPr>
        <w:t>8 млн. лв.;</w:t>
      </w:r>
    </w:p>
    <w:p w:rsidR="00B039F0" w:rsidRPr="00125416" w:rsidRDefault="00B039F0" w:rsidP="00D6715C">
      <w:pPr>
        <w:numPr>
          <w:ilvl w:val="0"/>
          <w:numId w:val="11"/>
        </w:numPr>
        <w:tabs>
          <w:tab w:val="clear" w:pos="1101"/>
          <w:tab w:val="num" w:pos="786"/>
        </w:tabs>
        <w:ind w:left="786" w:hanging="219"/>
        <w:jc w:val="both"/>
        <w:rPr>
          <w:bCs/>
        </w:rPr>
      </w:pPr>
      <w:r w:rsidRPr="00125416">
        <w:rPr>
          <w:bCs/>
        </w:rPr>
        <w:t>Инициативата за младежка заетост – 9</w:t>
      </w:r>
      <w:r>
        <w:rPr>
          <w:bCs/>
        </w:rPr>
        <w:t>,</w:t>
      </w:r>
      <w:r w:rsidRPr="00125416">
        <w:rPr>
          <w:bCs/>
        </w:rPr>
        <w:t>2 млн. лв.;</w:t>
      </w:r>
    </w:p>
    <w:p w:rsidR="00B039F0" w:rsidRPr="00592966" w:rsidRDefault="00B039F0" w:rsidP="00D6715C">
      <w:pPr>
        <w:numPr>
          <w:ilvl w:val="0"/>
          <w:numId w:val="11"/>
        </w:numPr>
        <w:tabs>
          <w:tab w:val="clear" w:pos="1101"/>
          <w:tab w:val="num" w:pos="786"/>
        </w:tabs>
        <w:ind w:left="786" w:hanging="219"/>
        <w:jc w:val="both"/>
        <w:rPr>
          <w:bCs/>
        </w:rPr>
      </w:pPr>
      <w:r w:rsidRPr="00592966">
        <w:rPr>
          <w:bCs/>
        </w:rPr>
        <w:t>ОП „Добро управление” – 15</w:t>
      </w:r>
      <w:r>
        <w:rPr>
          <w:bCs/>
        </w:rPr>
        <w:t>,</w:t>
      </w:r>
      <w:r w:rsidRPr="00592966">
        <w:rPr>
          <w:bCs/>
        </w:rPr>
        <w:t>7 млн. лв.;</w:t>
      </w:r>
    </w:p>
    <w:p w:rsidR="00B039F0" w:rsidRPr="00D22CDA" w:rsidRDefault="00B039F0" w:rsidP="00D6715C">
      <w:pPr>
        <w:numPr>
          <w:ilvl w:val="0"/>
          <w:numId w:val="11"/>
        </w:numPr>
        <w:tabs>
          <w:tab w:val="clear" w:pos="1101"/>
          <w:tab w:val="num" w:pos="786"/>
        </w:tabs>
        <w:ind w:left="786" w:hanging="219"/>
        <w:jc w:val="both"/>
        <w:rPr>
          <w:bCs/>
        </w:rPr>
      </w:pPr>
      <w:r w:rsidRPr="00D22CDA">
        <w:rPr>
          <w:bCs/>
        </w:rPr>
        <w:t>ОП „Региони в растеж“ – 121</w:t>
      </w:r>
      <w:r>
        <w:rPr>
          <w:bCs/>
        </w:rPr>
        <w:t>,</w:t>
      </w:r>
      <w:r w:rsidRPr="00D22CDA">
        <w:rPr>
          <w:bCs/>
        </w:rPr>
        <w:t>9 млн. лв. и</w:t>
      </w:r>
    </w:p>
    <w:p w:rsidR="00B039F0" w:rsidRPr="00D22CDA" w:rsidRDefault="00B039F0" w:rsidP="00D6715C">
      <w:pPr>
        <w:numPr>
          <w:ilvl w:val="0"/>
          <w:numId w:val="11"/>
        </w:numPr>
        <w:tabs>
          <w:tab w:val="clear" w:pos="1101"/>
          <w:tab w:val="num" w:pos="786"/>
        </w:tabs>
        <w:ind w:left="786" w:hanging="219"/>
        <w:jc w:val="both"/>
        <w:rPr>
          <w:bCs/>
        </w:rPr>
      </w:pPr>
      <w:r w:rsidRPr="00D22CDA">
        <w:rPr>
          <w:bCs/>
        </w:rPr>
        <w:t>ОП „Наука и образование за интелигентен растеж” – 6</w:t>
      </w:r>
      <w:r>
        <w:rPr>
          <w:bCs/>
        </w:rPr>
        <w:t>,</w:t>
      </w:r>
      <w:r w:rsidRPr="00D22CDA">
        <w:rPr>
          <w:bCs/>
        </w:rPr>
        <w:t>8 млн. лв.</w:t>
      </w:r>
    </w:p>
    <w:p w:rsidR="00B039F0" w:rsidRPr="008F1E36" w:rsidRDefault="00B039F0" w:rsidP="00D6715C">
      <w:pPr>
        <w:spacing w:before="120"/>
        <w:ind w:firstLine="567"/>
        <w:jc w:val="both"/>
        <w:rPr>
          <w:bCs/>
        </w:rPr>
      </w:pPr>
      <w:r w:rsidRPr="008F1E36">
        <w:rPr>
          <w:bCs/>
        </w:rPr>
        <w:t xml:space="preserve">Направените разходи (нето) по Оперативни програми и трансферите (нето) към бюджетни организации и операции с активи към края на </w:t>
      </w:r>
      <w:r>
        <w:rPr>
          <w:bCs/>
        </w:rPr>
        <w:t xml:space="preserve">първото тримесечие на 2024 г. </w:t>
      </w:r>
      <w:r w:rsidRPr="008F1E36">
        <w:rPr>
          <w:bCs/>
        </w:rPr>
        <w:t>са на стойност 277</w:t>
      </w:r>
      <w:r>
        <w:rPr>
          <w:bCs/>
        </w:rPr>
        <w:t>,</w:t>
      </w:r>
      <w:r w:rsidRPr="008F1E36">
        <w:rPr>
          <w:bCs/>
        </w:rPr>
        <w:t>2 млн. лв. (в тях влизат и извършените разходи по REACT-EU в размер на 6</w:t>
      </w:r>
      <w:r>
        <w:rPr>
          <w:bCs/>
        </w:rPr>
        <w:t>,</w:t>
      </w:r>
      <w:r w:rsidRPr="008F1E36">
        <w:rPr>
          <w:bCs/>
        </w:rPr>
        <w:t>7 млн. лева), като разпределението по Оперативни програми е следното:</w:t>
      </w:r>
    </w:p>
    <w:p w:rsidR="00B039F0" w:rsidRPr="00E4513E" w:rsidRDefault="00B039F0" w:rsidP="00D6715C">
      <w:pPr>
        <w:numPr>
          <w:ilvl w:val="0"/>
          <w:numId w:val="11"/>
        </w:numPr>
        <w:tabs>
          <w:tab w:val="clear" w:pos="1101"/>
          <w:tab w:val="num" w:pos="786"/>
        </w:tabs>
        <w:ind w:left="786" w:hanging="219"/>
        <w:jc w:val="both"/>
        <w:rPr>
          <w:bCs/>
        </w:rPr>
      </w:pPr>
      <w:r w:rsidRPr="00E4513E">
        <w:rPr>
          <w:bCs/>
        </w:rPr>
        <w:t>ОП „Развитие на човешките ресурси 2014 - 2020 г.” – 26</w:t>
      </w:r>
      <w:r>
        <w:rPr>
          <w:bCs/>
        </w:rPr>
        <w:t>,</w:t>
      </w:r>
      <w:r w:rsidRPr="00E4513E">
        <w:rPr>
          <w:bCs/>
        </w:rPr>
        <w:t>3 млн. лв.</w:t>
      </w:r>
      <w:r w:rsidRPr="00E4513E">
        <w:t xml:space="preserve"> </w:t>
      </w:r>
      <w:r w:rsidRPr="00E4513E">
        <w:rPr>
          <w:bCs/>
        </w:rPr>
        <w:t>(вкл. за REACT-EU в размер на 5</w:t>
      </w:r>
      <w:r>
        <w:rPr>
          <w:bCs/>
        </w:rPr>
        <w:t>,</w:t>
      </w:r>
      <w:r w:rsidRPr="00E4513E">
        <w:rPr>
          <w:bCs/>
        </w:rPr>
        <w:t>0 млн. лева);</w:t>
      </w:r>
    </w:p>
    <w:p w:rsidR="00B039F0" w:rsidRPr="00645410" w:rsidRDefault="00B039F0" w:rsidP="00D6715C">
      <w:pPr>
        <w:numPr>
          <w:ilvl w:val="0"/>
          <w:numId w:val="11"/>
        </w:numPr>
        <w:tabs>
          <w:tab w:val="clear" w:pos="1101"/>
          <w:tab w:val="num" w:pos="786"/>
        </w:tabs>
        <w:ind w:left="786" w:hanging="219"/>
        <w:jc w:val="both"/>
        <w:rPr>
          <w:bCs/>
        </w:rPr>
      </w:pPr>
      <w:r w:rsidRPr="00645410">
        <w:rPr>
          <w:bCs/>
        </w:rPr>
        <w:t>Инициативата за младежка заетост –</w:t>
      </w:r>
      <w:r w:rsidRPr="003F1A09">
        <w:rPr>
          <w:bCs/>
          <w:lang w:val="ru-RU"/>
        </w:rPr>
        <w:t xml:space="preserve"> </w:t>
      </w:r>
      <w:r w:rsidRPr="00645410">
        <w:rPr>
          <w:bCs/>
        </w:rPr>
        <w:t>1</w:t>
      </w:r>
      <w:r>
        <w:rPr>
          <w:bCs/>
        </w:rPr>
        <w:t>,</w:t>
      </w:r>
      <w:r w:rsidRPr="00645410">
        <w:rPr>
          <w:bCs/>
        </w:rPr>
        <w:t>2 млн. лв.;</w:t>
      </w:r>
    </w:p>
    <w:p w:rsidR="00B039F0" w:rsidRPr="00651172" w:rsidRDefault="00B039F0" w:rsidP="00D6715C">
      <w:pPr>
        <w:numPr>
          <w:ilvl w:val="0"/>
          <w:numId w:val="11"/>
        </w:numPr>
        <w:tabs>
          <w:tab w:val="clear" w:pos="1101"/>
          <w:tab w:val="num" w:pos="786"/>
        </w:tabs>
        <w:ind w:left="786" w:hanging="219"/>
        <w:jc w:val="both"/>
        <w:rPr>
          <w:bCs/>
        </w:rPr>
      </w:pPr>
      <w:r w:rsidRPr="00651172">
        <w:rPr>
          <w:bCs/>
        </w:rPr>
        <w:t>ОП „Иновации и конкурентоспособност” – 4</w:t>
      </w:r>
      <w:r>
        <w:rPr>
          <w:bCs/>
        </w:rPr>
        <w:t>,</w:t>
      </w:r>
      <w:r w:rsidRPr="00651172">
        <w:rPr>
          <w:bCs/>
        </w:rPr>
        <w:t xml:space="preserve">0 млн. лв. (вкл. </w:t>
      </w:r>
      <w:r>
        <w:rPr>
          <w:bCs/>
        </w:rPr>
        <w:t>за</w:t>
      </w:r>
      <w:r w:rsidRPr="00651172">
        <w:rPr>
          <w:bCs/>
        </w:rPr>
        <w:t xml:space="preserve"> REACT-EU в размер на </w:t>
      </w:r>
      <w:r>
        <w:rPr>
          <w:bCs/>
        </w:rPr>
        <w:t>2,2</w:t>
      </w:r>
      <w:r w:rsidRPr="00651172">
        <w:rPr>
          <w:bCs/>
        </w:rPr>
        <w:t xml:space="preserve"> млн. лева);</w:t>
      </w:r>
    </w:p>
    <w:p w:rsidR="00B039F0" w:rsidRPr="00651172" w:rsidRDefault="00B039F0" w:rsidP="00D6715C">
      <w:pPr>
        <w:numPr>
          <w:ilvl w:val="0"/>
          <w:numId w:val="11"/>
        </w:numPr>
        <w:tabs>
          <w:tab w:val="clear" w:pos="1101"/>
          <w:tab w:val="num" w:pos="786"/>
        </w:tabs>
        <w:ind w:left="786" w:hanging="219"/>
        <w:jc w:val="both"/>
        <w:rPr>
          <w:bCs/>
        </w:rPr>
      </w:pPr>
      <w:r w:rsidRPr="00651172">
        <w:rPr>
          <w:bCs/>
        </w:rPr>
        <w:t>ОП „Добро управление” – 18</w:t>
      </w:r>
      <w:r>
        <w:rPr>
          <w:bCs/>
        </w:rPr>
        <w:t>,</w:t>
      </w:r>
      <w:r w:rsidRPr="00651172">
        <w:rPr>
          <w:bCs/>
        </w:rPr>
        <w:t>9 млн. лв.;</w:t>
      </w:r>
    </w:p>
    <w:p w:rsidR="00B039F0" w:rsidRPr="00C715F3" w:rsidRDefault="00B039F0" w:rsidP="00D6715C">
      <w:pPr>
        <w:numPr>
          <w:ilvl w:val="0"/>
          <w:numId w:val="11"/>
        </w:numPr>
        <w:tabs>
          <w:tab w:val="clear" w:pos="1101"/>
          <w:tab w:val="num" w:pos="786"/>
        </w:tabs>
        <w:ind w:left="786" w:hanging="219"/>
        <w:jc w:val="both"/>
        <w:rPr>
          <w:bCs/>
        </w:rPr>
      </w:pPr>
      <w:r w:rsidRPr="00C715F3">
        <w:rPr>
          <w:bCs/>
        </w:rPr>
        <w:t>ОП „Региони в растеж“ – 30</w:t>
      </w:r>
      <w:r>
        <w:rPr>
          <w:bCs/>
        </w:rPr>
        <w:t>,</w:t>
      </w:r>
      <w:r w:rsidRPr="00C715F3">
        <w:rPr>
          <w:bCs/>
        </w:rPr>
        <w:t>0 млн. лв.</w:t>
      </w:r>
      <w:r w:rsidRPr="003F1A09">
        <w:rPr>
          <w:bCs/>
          <w:lang w:val="ru-RU"/>
        </w:rPr>
        <w:t xml:space="preserve"> </w:t>
      </w:r>
      <w:r w:rsidRPr="00C715F3">
        <w:rPr>
          <w:bCs/>
        </w:rPr>
        <w:t>(</w:t>
      </w:r>
      <w:r w:rsidRPr="00782DD1">
        <w:rPr>
          <w:bCs/>
        </w:rPr>
        <w:t>вкл. възстановени средства от бенефиц</w:t>
      </w:r>
      <w:r>
        <w:rPr>
          <w:bCs/>
        </w:rPr>
        <w:t>иенти по REACT-EU в размер на 0,</w:t>
      </w:r>
      <w:r w:rsidRPr="00782DD1">
        <w:rPr>
          <w:bCs/>
        </w:rPr>
        <w:t>5 млн. лева</w:t>
      </w:r>
      <w:r w:rsidRPr="00C715F3">
        <w:rPr>
          <w:bCs/>
        </w:rPr>
        <w:t>);</w:t>
      </w:r>
    </w:p>
    <w:p w:rsidR="00B039F0" w:rsidRPr="004C409D" w:rsidRDefault="00B039F0" w:rsidP="00D6715C">
      <w:pPr>
        <w:numPr>
          <w:ilvl w:val="0"/>
          <w:numId w:val="11"/>
        </w:numPr>
        <w:tabs>
          <w:tab w:val="clear" w:pos="1101"/>
          <w:tab w:val="num" w:pos="786"/>
        </w:tabs>
        <w:ind w:left="786" w:hanging="219"/>
        <w:jc w:val="both"/>
        <w:rPr>
          <w:bCs/>
        </w:rPr>
      </w:pPr>
      <w:r w:rsidRPr="004C409D">
        <w:rPr>
          <w:bCs/>
        </w:rPr>
        <w:t>ОП „Транспорт и транспортна инфраструктура” – 115</w:t>
      </w:r>
      <w:r>
        <w:rPr>
          <w:bCs/>
        </w:rPr>
        <w:t>,</w:t>
      </w:r>
      <w:r w:rsidRPr="004C409D">
        <w:rPr>
          <w:bCs/>
        </w:rPr>
        <w:t>0 млн. лв.;</w:t>
      </w:r>
    </w:p>
    <w:p w:rsidR="00B039F0" w:rsidRPr="00E4513E" w:rsidRDefault="00B039F0" w:rsidP="00D6715C">
      <w:pPr>
        <w:numPr>
          <w:ilvl w:val="0"/>
          <w:numId w:val="11"/>
        </w:numPr>
        <w:tabs>
          <w:tab w:val="clear" w:pos="1101"/>
          <w:tab w:val="num" w:pos="786"/>
        </w:tabs>
        <w:ind w:left="786" w:hanging="219"/>
        <w:jc w:val="both"/>
        <w:rPr>
          <w:bCs/>
        </w:rPr>
      </w:pPr>
      <w:r w:rsidRPr="00E4513E">
        <w:rPr>
          <w:bCs/>
        </w:rPr>
        <w:t>ОП „Наука и образование за интелигентен растеж” – 17,1 млн. лв. (вкл. за REACT-EU в размер на 0,007 млн. лева) и</w:t>
      </w:r>
    </w:p>
    <w:p w:rsidR="00B039F0" w:rsidRPr="00C715F3" w:rsidRDefault="00B039F0" w:rsidP="00D6715C">
      <w:pPr>
        <w:numPr>
          <w:ilvl w:val="0"/>
          <w:numId w:val="11"/>
        </w:numPr>
        <w:tabs>
          <w:tab w:val="clear" w:pos="1101"/>
          <w:tab w:val="num" w:pos="786"/>
        </w:tabs>
        <w:ind w:left="786" w:hanging="219"/>
        <w:jc w:val="both"/>
        <w:rPr>
          <w:bCs/>
        </w:rPr>
      </w:pPr>
      <w:r w:rsidRPr="00E4513E">
        <w:rPr>
          <w:bCs/>
        </w:rPr>
        <w:t>ОП „Околна среда 2014 – 2020 г.“ – 64</w:t>
      </w:r>
      <w:r>
        <w:rPr>
          <w:bCs/>
        </w:rPr>
        <w:t>,</w:t>
      </w:r>
      <w:r w:rsidRPr="00C715F3">
        <w:rPr>
          <w:bCs/>
        </w:rPr>
        <w:t>7 млн. лв.</w:t>
      </w:r>
    </w:p>
    <w:p w:rsidR="00B039F0" w:rsidRPr="0097557C" w:rsidRDefault="00B039F0" w:rsidP="00D6715C">
      <w:pPr>
        <w:spacing w:before="120"/>
        <w:ind w:firstLine="567"/>
        <w:jc w:val="both"/>
        <w:rPr>
          <w:bCs/>
        </w:rPr>
      </w:pPr>
      <w:r w:rsidRPr="00D85A7D">
        <w:t>Възстановеното авансово финансиране по реда на ДДС6/2011 г. е в размер на 29</w:t>
      </w:r>
      <w:r>
        <w:t>,</w:t>
      </w:r>
      <w:r w:rsidRPr="00D85A7D">
        <w:t xml:space="preserve">9 млн. </w:t>
      </w:r>
      <w:r>
        <w:t>л</w:t>
      </w:r>
      <w:r w:rsidRPr="00D85A7D">
        <w:t>в</w:t>
      </w:r>
      <w:r>
        <w:t>., в т.ч. възстановена възмездна финансова помощ по ОПТТИ и ОПОС.</w:t>
      </w:r>
    </w:p>
    <w:p w:rsidR="00B039F0" w:rsidRPr="00CC0CA6" w:rsidRDefault="00B039F0" w:rsidP="00D6715C">
      <w:pPr>
        <w:ind w:firstLine="567"/>
        <w:jc w:val="both"/>
        <w:rPr>
          <w:bCs/>
        </w:rPr>
      </w:pPr>
      <w:r w:rsidRPr="00CC0CA6">
        <w:rPr>
          <w:bCs/>
        </w:rPr>
        <w:t>Изплатените средства от оперативните програми за мерките за минимизиране на отрицателните последици от епидемичното разпространение на COVD-19 през отчетния период са в размер на 1</w:t>
      </w:r>
      <w:r>
        <w:rPr>
          <w:bCs/>
        </w:rPr>
        <w:t>,</w:t>
      </w:r>
      <w:r w:rsidRPr="00CC0CA6">
        <w:rPr>
          <w:bCs/>
        </w:rPr>
        <w:t>7 млн. лева.</w:t>
      </w:r>
    </w:p>
    <w:p w:rsidR="00B039F0" w:rsidRPr="00EF20FD" w:rsidRDefault="00B039F0" w:rsidP="00D47A56">
      <w:pPr>
        <w:spacing w:before="120"/>
        <w:ind w:firstLine="567"/>
        <w:jc w:val="both"/>
        <w:rPr>
          <w:b/>
          <w:bCs/>
        </w:rPr>
      </w:pPr>
      <w:r w:rsidRPr="00EF20FD">
        <w:rPr>
          <w:b/>
          <w:bCs/>
        </w:rPr>
        <w:t>Европейския социален фонд+, Европейския фонд за регионално развитие (включително Фонда за справедлив преход) и Кохезионния фонд за програмен период 2021-2027 г.</w:t>
      </w:r>
    </w:p>
    <w:p w:rsidR="00B039F0" w:rsidRPr="00EF20FD" w:rsidRDefault="00B039F0" w:rsidP="00D6715C">
      <w:pPr>
        <w:ind w:firstLine="567"/>
        <w:jc w:val="both"/>
        <w:rPr>
          <w:bCs/>
        </w:rPr>
      </w:pPr>
      <w:r w:rsidRPr="00EF20FD">
        <w:rPr>
          <w:bCs/>
        </w:rPr>
        <w:t>Получените средства (предварително годишно финансиране, както и възстановени разходи) от ЕК за периода са в размер на 721</w:t>
      </w:r>
      <w:r>
        <w:rPr>
          <w:bCs/>
        </w:rPr>
        <w:t>,</w:t>
      </w:r>
      <w:r w:rsidRPr="00EF20FD">
        <w:rPr>
          <w:bCs/>
        </w:rPr>
        <w:t>9 млн. лв. и са разпределени както следва:</w:t>
      </w:r>
    </w:p>
    <w:p w:rsidR="00B039F0" w:rsidRPr="00B24A7C" w:rsidRDefault="00B039F0" w:rsidP="00D6715C">
      <w:pPr>
        <w:numPr>
          <w:ilvl w:val="0"/>
          <w:numId w:val="11"/>
        </w:numPr>
        <w:tabs>
          <w:tab w:val="clear" w:pos="1101"/>
          <w:tab w:val="num" w:pos="786"/>
        </w:tabs>
        <w:ind w:left="786" w:hanging="219"/>
        <w:jc w:val="both"/>
        <w:rPr>
          <w:bCs/>
        </w:rPr>
      </w:pPr>
      <w:r w:rsidRPr="00B24A7C">
        <w:rPr>
          <w:bCs/>
        </w:rPr>
        <w:t>Програма „Развитие на човешките ресурси” 2021-2027 г. – 4</w:t>
      </w:r>
      <w:r>
        <w:rPr>
          <w:bCs/>
        </w:rPr>
        <w:t>,</w:t>
      </w:r>
      <w:r w:rsidRPr="00B24A7C">
        <w:rPr>
          <w:bCs/>
        </w:rPr>
        <w:t xml:space="preserve">0 млн. лв.;  </w:t>
      </w:r>
    </w:p>
    <w:p w:rsidR="00B039F0" w:rsidRPr="00B24A7C" w:rsidRDefault="00B039F0" w:rsidP="00D6715C">
      <w:pPr>
        <w:numPr>
          <w:ilvl w:val="0"/>
          <w:numId w:val="11"/>
        </w:numPr>
        <w:tabs>
          <w:tab w:val="clear" w:pos="1101"/>
          <w:tab w:val="num" w:pos="786"/>
        </w:tabs>
        <w:ind w:left="786" w:hanging="219"/>
        <w:jc w:val="both"/>
        <w:rPr>
          <w:bCs/>
        </w:rPr>
      </w:pPr>
      <w:r w:rsidRPr="00B24A7C">
        <w:rPr>
          <w:bCs/>
        </w:rPr>
        <w:t>Програма „Храни и основно материално подпомагане” 2021-2027 г. – 14</w:t>
      </w:r>
      <w:r>
        <w:rPr>
          <w:bCs/>
        </w:rPr>
        <w:t>,</w:t>
      </w:r>
      <w:r w:rsidRPr="00B24A7C">
        <w:rPr>
          <w:bCs/>
        </w:rPr>
        <w:t>0 млн. лв.;</w:t>
      </w:r>
    </w:p>
    <w:p w:rsidR="00B039F0" w:rsidRPr="0021523C" w:rsidRDefault="00B039F0" w:rsidP="00D6715C">
      <w:pPr>
        <w:numPr>
          <w:ilvl w:val="0"/>
          <w:numId w:val="11"/>
        </w:numPr>
        <w:tabs>
          <w:tab w:val="clear" w:pos="1101"/>
          <w:tab w:val="num" w:pos="786"/>
        </w:tabs>
        <w:ind w:left="786" w:hanging="219"/>
        <w:jc w:val="both"/>
        <w:rPr>
          <w:bCs/>
        </w:rPr>
      </w:pPr>
      <w:r w:rsidRPr="0021523C">
        <w:rPr>
          <w:bCs/>
        </w:rPr>
        <w:t>Програма „Конкурентоспособност и иновации в предприятията“ 2021</w:t>
      </w:r>
      <w:r>
        <w:rPr>
          <w:bCs/>
        </w:rPr>
        <w:t>-</w:t>
      </w:r>
      <w:r w:rsidRPr="0021523C">
        <w:rPr>
          <w:bCs/>
        </w:rPr>
        <w:t>2027 г. – 0</w:t>
      </w:r>
      <w:r>
        <w:rPr>
          <w:bCs/>
        </w:rPr>
        <w:t>,</w:t>
      </w:r>
      <w:r w:rsidRPr="0021523C">
        <w:rPr>
          <w:bCs/>
        </w:rPr>
        <w:t>9</w:t>
      </w:r>
      <w:r>
        <w:rPr>
          <w:bCs/>
        </w:rPr>
        <w:t xml:space="preserve"> млн. лв. и </w:t>
      </w:r>
    </w:p>
    <w:p w:rsidR="00B039F0" w:rsidRPr="00245FE8" w:rsidRDefault="00B039F0" w:rsidP="00D6715C">
      <w:pPr>
        <w:numPr>
          <w:ilvl w:val="0"/>
          <w:numId w:val="11"/>
        </w:numPr>
        <w:tabs>
          <w:tab w:val="clear" w:pos="1101"/>
          <w:tab w:val="num" w:pos="786"/>
        </w:tabs>
        <w:ind w:left="786" w:hanging="219"/>
        <w:jc w:val="both"/>
        <w:rPr>
          <w:bCs/>
        </w:rPr>
      </w:pPr>
      <w:r w:rsidRPr="00245FE8">
        <w:rPr>
          <w:bCs/>
        </w:rPr>
        <w:t>Програма „Развитие на регионите“ 2021</w:t>
      </w:r>
      <w:r>
        <w:rPr>
          <w:bCs/>
        </w:rPr>
        <w:t>-</w:t>
      </w:r>
      <w:r w:rsidRPr="00245FE8">
        <w:rPr>
          <w:bCs/>
        </w:rPr>
        <w:t xml:space="preserve">2027 г. </w:t>
      </w:r>
      <w:r>
        <w:rPr>
          <w:bCs/>
        </w:rPr>
        <w:t>(</w:t>
      </w:r>
      <w:r w:rsidRPr="00245FE8">
        <w:rPr>
          <w:bCs/>
        </w:rPr>
        <w:t>по Фонда за справедлив преход</w:t>
      </w:r>
      <w:r>
        <w:rPr>
          <w:bCs/>
        </w:rPr>
        <w:t>)</w:t>
      </w:r>
      <w:r w:rsidRPr="00245FE8">
        <w:rPr>
          <w:bCs/>
        </w:rPr>
        <w:t xml:space="preserve"> – 703</w:t>
      </w:r>
      <w:r>
        <w:rPr>
          <w:bCs/>
        </w:rPr>
        <w:t>,</w:t>
      </w:r>
      <w:r w:rsidRPr="00245FE8">
        <w:rPr>
          <w:bCs/>
        </w:rPr>
        <w:t>0</w:t>
      </w:r>
      <w:r w:rsidR="00DB1D21">
        <w:rPr>
          <w:bCs/>
        </w:rPr>
        <w:t> </w:t>
      </w:r>
      <w:r>
        <w:rPr>
          <w:bCs/>
        </w:rPr>
        <w:t>млн. лв</w:t>
      </w:r>
      <w:r w:rsidRPr="00245FE8">
        <w:rPr>
          <w:bCs/>
        </w:rPr>
        <w:t>.</w:t>
      </w:r>
    </w:p>
    <w:p w:rsidR="00B039F0" w:rsidRPr="00377921" w:rsidRDefault="00B039F0" w:rsidP="00D6715C">
      <w:pPr>
        <w:ind w:firstLine="567"/>
        <w:jc w:val="both"/>
        <w:rPr>
          <w:bCs/>
        </w:rPr>
      </w:pPr>
      <w:r w:rsidRPr="00377921">
        <w:rPr>
          <w:bCs/>
        </w:rPr>
        <w:t>Направените разходи за периода са в размер на 154</w:t>
      </w:r>
      <w:r>
        <w:rPr>
          <w:bCs/>
        </w:rPr>
        <w:t>,</w:t>
      </w:r>
      <w:r w:rsidRPr="00377921">
        <w:rPr>
          <w:bCs/>
        </w:rPr>
        <w:t>1 млн. лв. и са разпределени както следва:</w:t>
      </w:r>
    </w:p>
    <w:p w:rsidR="00B039F0" w:rsidRPr="00ED3727" w:rsidRDefault="00B039F0" w:rsidP="00D6715C">
      <w:pPr>
        <w:numPr>
          <w:ilvl w:val="0"/>
          <w:numId w:val="11"/>
        </w:numPr>
        <w:tabs>
          <w:tab w:val="clear" w:pos="1101"/>
          <w:tab w:val="num" w:pos="786"/>
        </w:tabs>
        <w:ind w:left="786" w:hanging="219"/>
        <w:jc w:val="both"/>
        <w:rPr>
          <w:bCs/>
        </w:rPr>
      </w:pPr>
      <w:r w:rsidRPr="00ED3727">
        <w:rPr>
          <w:bCs/>
        </w:rPr>
        <w:t>Програма „Развитие на човешките ресурси” 2021-2027 г. – 36</w:t>
      </w:r>
      <w:r>
        <w:rPr>
          <w:bCs/>
        </w:rPr>
        <w:t>,</w:t>
      </w:r>
      <w:r w:rsidRPr="00ED3727">
        <w:rPr>
          <w:bCs/>
        </w:rPr>
        <w:t xml:space="preserve">6 млн. лв.;  </w:t>
      </w:r>
    </w:p>
    <w:p w:rsidR="00B039F0" w:rsidRPr="00ED3727" w:rsidRDefault="00B039F0" w:rsidP="00D6715C">
      <w:pPr>
        <w:numPr>
          <w:ilvl w:val="0"/>
          <w:numId w:val="11"/>
        </w:numPr>
        <w:tabs>
          <w:tab w:val="clear" w:pos="1101"/>
          <w:tab w:val="num" w:pos="786"/>
        </w:tabs>
        <w:ind w:left="786" w:hanging="219"/>
        <w:jc w:val="both"/>
        <w:rPr>
          <w:bCs/>
        </w:rPr>
      </w:pPr>
      <w:r w:rsidRPr="00ED3727">
        <w:rPr>
          <w:bCs/>
        </w:rPr>
        <w:t>Програма „Храни и основно материално подпомагане” 2021-2027 г. – 23</w:t>
      </w:r>
      <w:r>
        <w:rPr>
          <w:bCs/>
        </w:rPr>
        <w:t>,</w:t>
      </w:r>
      <w:r w:rsidRPr="00ED3727">
        <w:rPr>
          <w:bCs/>
        </w:rPr>
        <w:t>7 млн. лв.;</w:t>
      </w:r>
    </w:p>
    <w:p w:rsidR="00B039F0" w:rsidRDefault="00B039F0" w:rsidP="00D6715C">
      <w:pPr>
        <w:numPr>
          <w:ilvl w:val="0"/>
          <w:numId w:val="11"/>
        </w:numPr>
        <w:tabs>
          <w:tab w:val="clear" w:pos="1101"/>
          <w:tab w:val="num" w:pos="786"/>
        </w:tabs>
        <w:ind w:left="786" w:hanging="219"/>
        <w:jc w:val="both"/>
        <w:rPr>
          <w:bCs/>
        </w:rPr>
      </w:pPr>
      <w:r w:rsidRPr="00ED3727">
        <w:rPr>
          <w:bCs/>
        </w:rPr>
        <w:t>Програма „Образование” 2021-2027 г. – 9</w:t>
      </w:r>
      <w:r>
        <w:rPr>
          <w:bCs/>
        </w:rPr>
        <w:t>,</w:t>
      </w:r>
      <w:r w:rsidRPr="00ED3727">
        <w:rPr>
          <w:bCs/>
        </w:rPr>
        <w:t>0 млн. лв.;</w:t>
      </w:r>
    </w:p>
    <w:p w:rsidR="00B039F0" w:rsidRDefault="00B039F0" w:rsidP="00D6715C">
      <w:pPr>
        <w:numPr>
          <w:ilvl w:val="0"/>
          <w:numId w:val="11"/>
        </w:numPr>
        <w:tabs>
          <w:tab w:val="clear" w:pos="1101"/>
          <w:tab w:val="num" w:pos="786"/>
        </w:tabs>
        <w:ind w:left="786" w:hanging="219"/>
        <w:jc w:val="both"/>
        <w:rPr>
          <w:bCs/>
        </w:rPr>
      </w:pPr>
      <w:r>
        <w:rPr>
          <w:bCs/>
        </w:rPr>
        <w:t xml:space="preserve">Програма „Околна среда“ </w:t>
      </w:r>
      <w:r w:rsidRPr="007501D9">
        <w:rPr>
          <w:bCs/>
        </w:rPr>
        <w:t xml:space="preserve">2021-2027 г. – </w:t>
      </w:r>
      <w:r>
        <w:rPr>
          <w:bCs/>
        </w:rPr>
        <w:t>67,3</w:t>
      </w:r>
      <w:r w:rsidRPr="007501D9">
        <w:rPr>
          <w:bCs/>
        </w:rPr>
        <w:t xml:space="preserve"> млн. лв.;</w:t>
      </w:r>
    </w:p>
    <w:p w:rsidR="00B039F0" w:rsidRPr="00ED3727" w:rsidRDefault="00B039F0" w:rsidP="00D6715C">
      <w:pPr>
        <w:numPr>
          <w:ilvl w:val="0"/>
          <w:numId w:val="11"/>
        </w:numPr>
        <w:tabs>
          <w:tab w:val="clear" w:pos="1101"/>
          <w:tab w:val="num" w:pos="786"/>
        </w:tabs>
        <w:ind w:left="786" w:hanging="219"/>
        <w:jc w:val="both"/>
        <w:rPr>
          <w:bCs/>
        </w:rPr>
      </w:pPr>
      <w:r>
        <w:rPr>
          <w:bCs/>
        </w:rPr>
        <w:t xml:space="preserve">Програма „Техническа помощ“ </w:t>
      </w:r>
      <w:r w:rsidRPr="007501D9">
        <w:rPr>
          <w:bCs/>
        </w:rPr>
        <w:t xml:space="preserve">– </w:t>
      </w:r>
      <w:r>
        <w:rPr>
          <w:bCs/>
        </w:rPr>
        <w:t>0,8</w:t>
      </w:r>
      <w:r w:rsidRPr="007501D9">
        <w:rPr>
          <w:bCs/>
        </w:rPr>
        <w:t xml:space="preserve"> млн. лв.;</w:t>
      </w:r>
    </w:p>
    <w:p w:rsidR="00B039F0" w:rsidRPr="00624832" w:rsidRDefault="00B039F0" w:rsidP="00D6715C">
      <w:pPr>
        <w:numPr>
          <w:ilvl w:val="0"/>
          <w:numId w:val="11"/>
        </w:numPr>
        <w:tabs>
          <w:tab w:val="clear" w:pos="1101"/>
          <w:tab w:val="num" w:pos="786"/>
        </w:tabs>
        <w:ind w:left="786" w:hanging="219"/>
        <w:jc w:val="both"/>
        <w:rPr>
          <w:bCs/>
        </w:rPr>
      </w:pPr>
      <w:r w:rsidRPr="00624832">
        <w:rPr>
          <w:bCs/>
        </w:rPr>
        <w:t>Програма „Конкурентоспособност и иновации в предприятията“ 2021</w:t>
      </w:r>
      <w:r>
        <w:rPr>
          <w:bCs/>
        </w:rPr>
        <w:t>-</w:t>
      </w:r>
      <w:r w:rsidRPr="00624832">
        <w:rPr>
          <w:bCs/>
        </w:rPr>
        <w:t>2027 г. – 5</w:t>
      </w:r>
      <w:r>
        <w:rPr>
          <w:bCs/>
        </w:rPr>
        <w:t>,</w:t>
      </w:r>
      <w:r w:rsidRPr="00624832">
        <w:rPr>
          <w:bCs/>
        </w:rPr>
        <w:t>6</w:t>
      </w:r>
      <w:r w:rsidR="00DB1D21">
        <w:rPr>
          <w:bCs/>
        </w:rPr>
        <w:t> </w:t>
      </w:r>
      <w:r w:rsidRPr="00624832">
        <w:rPr>
          <w:bCs/>
        </w:rPr>
        <w:t>млн.</w:t>
      </w:r>
      <w:r>
        <w:rPr>
          <w:bCs/>
        </w:rPr>
        <w:t> </w:t>
      </w:r>
      <w:r w:rsidRPr="00624832">
        <w:rPr>
          <w:bCs/>
        </w:rPr>
        <w:t>лв.;</w:t>
      </w:r>
    </w:p>
    <w:p w:rsidR="00B039F0" w:rsidRPr="00624832" w:rsidRDefault="00B039F0" w:rsidP="00D6715C">
      <w:pPr>
        <w:numPr>
          <w:ilvl w:val="0"/>
          <w:numId w:val="11"/>
        </w:numPr>
        <w:tabs>
          <w:tab w:val="clear" w:pos="1101"/>
          <w:tab w:val="num" w:pos="786"/>
        </w:tabs>
        <w:ind w:left="786" w:hanging="219"/>
        <w:jc w:val="both"/>
        <w:rPr>
          <w:bCs/>
        </w:rPr>
      </w:pPr>
      <w:r w:rsidRPr="00624832">
        <w:rPr>
          <w:bCs/>
        </w:rPr>
        <w:t>Програма „Развитие на регионите“ 2021</w:t>
      </w:r>
      <w:r>
        <w:rPr>
          <w:bCs/>
        </w:rPr>
        <w:t>-</w:t>
      </w:r>
      <w:r w:rsidRPr="00624832">
        <w:rPr>
          <w:bCs/>
        </w:rPr>
        <w:t>2027 г. – 1</w:t>
      </w:r>
      <w:r>
        <w:rPr>
          <w:bCs/>
        </w:rPr>
        <w:t>,7</w:t>
      </w:r>
      <w:r w:rsidRPr="00624832">
        <w:rPr>
          <w:bCs/>
        </w:rPr>
        <w:t xml:space="preserve"> млн. лв. и</w:t>
      </w:r>
    </w:p>
    <w:p w:rsidR="00B039F0" w:rsidRPr="00370B98" w:rsidRDefault="00B039F0" w:rsidP="00D6715C">
      <w:pPr>
        <w:numPr>
          <w:ilvl w:val="0"/>
          <w:numId w:val="11"/>
        </w:numPr>
        <w:tabs>
          <w:tab w:val="clear" w:pos="1101"/>
          <w:tab w:val="num" w:pos="786"/>
        </w:tabs>
        <w:ind w:left="786" w:hanging="219"/>
        <w:jc w:val="both"/>
        <w:rPr>
          <w:bCs/>
        </w:rPr>
      </w:pPr>
      <w:r w:rsidRPr="00370B98">
        <w:rPr>
          <w:bCs/>
        </w:rPr>
        <w:t>Програма „Научни изследвания, иновации и дигитализация за интелигентна трансформация“ 2021-2027 г. – 9,4 млн. лв.</w:t>
      </w:r>
    </w:p>
    <w:p w:rsidR="00B039F0" w:rsidRPr="00EF20FD" w:rsidRDefault="00B039F0" w:rsidP="00D47A56">
      <w:pPr>
        <w:spacing w:before="120"/>
        <w:ind w:firstLine="567"/>
        <w:jc w:val="both"/>
        <w:rPr>
          <w:b/>
          <w:bCs/>
        </w:rPr>
      </w:pPr>
      <w:r w:rsidRPr="00EF20FD">
        <w:rPr>
          <w:b/>
          <w:bCs/>
        </w:rPr>
        <w:t>Национален план за възстановяване и устойчивост (НПВУ)</w:t>
      </w:r>
    </w:p>
    <w:p w:rsidR="00B039F0" w:rsidRPr="00EF20FD" w:rsidRDefault="00B039F0" w:rsidP="00D47A56">
      <w:pPr>
        <w:spacing w:before="120"/>
        <w:ind w:firstLine="567"/>
        <w:jc w:val="both"/>
        <w:rPr>
          <w:bCs/>
        </w:rPr>
      </w:pPr>
      <w:r w:rsidRPr="00EF20FD">
        <w:rPr>
          <w:bCs/>
        </w:rPr>
        <w:t>През отчетния период чрез НПВУ бяха извършени разходи и трансфери (нето)</w:t>
      </w:r>
      <w:r w:rsidRPr="003F1A09">
        <w:rPr>
          <w:bCs/>
          <w:lang w:val="ru-RU"/>
        </w:rPr>
        <w:t xml:space="preserve"> </w:t>
      </w:r>
      <w:r w:rsidRPr="00EF20FD">
        <w:rPr>
          <w:bCs/>
        </w:rPr>
        <w:t>в размер на 83</w:t>
      </w:r>
      <w:r>
        <w:rPr>
          <w:bCs/>
        </w:rPr>
        <w:t>,</w:t>
      </w:r>
      <w:r w:rsidRPr="00EF20FD">
        <w:rPr>
          <w:bCs/>
        </w:rPr>
        <w:t>6 млн. лева.</w:t>
      </w:r>
    </w:p>
    <w:p w:rsidR="00B039F0" w:rsidRPr="00992585" w:rsidRDefault="00B039F0" w:rsidP="00D47A56">
      <w:pPr>
        <w:spacing w:before="120"/>
        <w:ind w:firstLine="567"/>
        <w:jc w:val="both"/>
        <w:rPr>
          <w:b/>
          <w:bCs/>
        </w:rPr>
      </w:pPr>
      <w:r w:rsidRPr="000B151D">
        <w:rPr>
          <w:bCs/>
          <w:color w:val="0070C0"/>
        </w:rPr>
        <w:tab/>
      </w:r>
      <w:r w:rsidRPr="00992585">
        <w:rPr>
          <w:b/>
          <w:bCs/>
        </w:rPr>
        <w:t>Двустранни програми за трансгранично сътрудничество по външните граници на Европейския съюз 2007 – 2013 г., 2014 – 2020 г. и 2021 – 2027 г.</w:t>
      </w:r>
    </w:p>
    <w:p w:rsidR="00B039F0" w:rsidRPr="00992585" w:rsidRDefault="00B039F0" w:rsidP="00D47A56">
      <w:pPr>
        <w:ind w:firstLine="567"/>
        <w:jc w:val="both"/>
        <w:rPr>
          <w:bCs/>
        </w:rPr>
      </w:pPr>
      <w:r w:rsidRPr="00992585">
        <w:rPr>
          <w:bCs/>
        </w:rPr>
        <w:t>Получените средства към 31.</w:t>
      </w:r>
      <w:r w:rsidRPr="003F1A09">
        <w:rPr>
          <w:bCs/>
          <w:lang w:val="ru-RU"/>
        </w:rPr>
        <w:t>03</w:t>
      </w:r>
      <w:r w:rsidRPr="00992585">
        <w:rPr>
          <w:bCs/>
        </w:rPr>
        <w:t>.202</w:t>
      </w:r>
      <w:r w:rsidRPr="003F1A09">
        <w:rPr>
          <w:bCs/>
          <w:lang w:val="ru-RU"/>
        </w:rPr>
        <w:t>4</w:t>
      </w:r>
      <w:r w:rsidRPr="00992585">
        <w:rPr>
          <w:bCs/>
        </w:rPr>
        <w:t xml:space="preserve"> г. са на стойност </w:t>
      </w:r>
      <w:r w:rsidRPr="003F1A09">
        <w:rPr>
          <w:bCs/>
          <w:lang w:val="ru-RU"/>
        </w:rPr>
        <w:t>0</w:t>
      </w:r>
      <w:r>
        <w:rPr>
          <w:bCs/>
          <w:lang w:val="ru-RU"/>
        </w:rPr>
        <w:t>,</w:t>
      </w:r>
      <w:r w:rsidRPr="00992585">
        <w:rPr>
          <w:bCs/>
        </w:rPr>
        <w:t>0</w:t>
      </w:r>
      <w:r w:rsidRPr="003F1A09">
        <w:rPr>
          <w:bCs/>
          <w:lang w:val="ru-RU"/>
        </w:rPr>
        <w:t>8</w:t>
      </w:r>
      <w:r w:rsidRPr="00992585">
        <w:rPr>
          <w:bCs/>
        </w:rPr>
        <w:t xml:space="preserve"> млн. лв., представляващи постъпили средства за съфинансиране от страните-партньори, както разпределени към администратори в чужбина за сметка на средствата, получени от страната-партньор.</w:t>
      </w:r>
    </w:p>
    <w:p w:rsidR="00B039F0" w:rsidRPr="00992585" w:rsidRDefault="00B039F0" w:rsidP="00D47A56">
      <w:pPr>
        <w:ind w:firstLine="567"/>
        <w:jc w:val="both"/>
        <w:rPr>
          <w:b/>
          <w:bCs/>
        </w:rPr>
      </w:pPr>
      <w:r w:rsidRPr="00992585">
        <w:rPr>
          <w:bCs/>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1</w:t>
      </w:r>
      <w:r>
        <w:rPr>
          <w:bCs/>
        </w:rPr>
        <w:t>,</w:t>
      </w:r>
      <w:r w:rsidRPr="003F1A09">
        <w:rPr>
          <w:bCs/>
          <w:lang w:val="ru-RU"/>
        </w:rPr>
        <w:t>0</w:t>
      </w:r>
      <w:r w:rsidRPr="00992585">
        <w:rPr>
          <w:bCs/>
        </w:rPr>
        <w:t xml:space="preserve"> млн. лв., включително за плащания към бенефициенти в страната, извършени за сметка на полученото финансиране от страната-партньор по тези програми. </w:t>
      </w:r>
    </w:p>
    <w:p w:rsidR="00B039F0" w:rsidRPr="0024333F" w:rsidRDefault="00B039F0" w:rsidP="008F222A">
      <w:pPr>
        <w:spacing w:before="120"/>
        <w:ind w:firstLine="567"/>
        <w:rPr>
          <w:b/>
          <w:bCs/>
        </w:rPr>
      </w:pPr>
      <w:r w:rsidRPr="0024333F">
        <w:rPr>
          <w:b/>
          <w:bCs/>
        </w:rPr>
        <w:t>Финансов механизъм на Европейското икономическо пространство и Норвежки финансов механизъм за периода 2009-2014 г. и 2014-2021 г.</w:t>
      </w:r>
    </w:p>
    <w:p w:rsidR="00B039F0" w:rsidRDefault="00B039F0" w:rsidP="00D47A56">
      <w:pPr>
        <w:spacing w:before="120"/>
        <w:ind w:firstLine="567"/>
        <w:jc w:val="both"/>
        <w:rPr>
          <w:b/>
          <w:bCs/>
        </w:rPr>
      </w:pPr>
      <w:r w:rsidRPr="0024333F">
        <w:rPr>
          <w:bCs/>
        </w:rPr>
        <w:t xml:space="preserve">Сумата на разходите и трансферите (нето) за периода са на обща стойност </w:t>
      </w:r>
      <w:r w:rsidRPr="003F1A09">
        <w:rPr>
          <w:bCs/>
          <w:lang w:val="ru-RU"/>
        </w:rPr>
        <w:t>1</w:t>
      </w:r>
      <w:r w:rsidRPr="0024333F">
        <w:rPr>
          <w:bCs/>
        </w:rPr>
        <w:t>6</w:t>
      </w:r>
      <w:r>
        <w:rPr>
          <w:bCs/>
        </w:rPr>
        <w:t>,</w:t>
      </w:r>
      <w:r w:rsidRPr="003F1A09">
        <w:rPr>
          <w:bCs/>
          <w:lang w:val="ru-RU"/>
        </w:rPr>
        <w:t>2</w:t>
      </w:r>
      <w:r w:rsidRPr="0024333F">
        <w:rPr>
          <w:bCs/>
        </w:rPr>
        <w:t xml:space="preserve"> млн. лева.</w:t>
      </w:r>
      <w:r w:rsidRPr="0024333F">
        <w:rPr>
          <w:b/>
          <w:bCs/>
        </w:rPr>
        <w:t xml:space="preserve"> </w:t>
      </w:r>
    </w:p>
    <w:p w:rsidR="00B039F0" w:rsidRDefault="00B039F0" w:rsidP="00D47A56">
      <w:pPr>
        <w:spacing w:before="120"/>
        <w:ind w:firstLine="567"/>
        <w:jc w:val="both"/>
        <w:rPr>
          <w:b/>
          <w:bCs/>
        </w:rPr>
      </w:pPr>
      <w:r w:rsidRPr="002858DF">
        <w:rPr>
          <w:b/>
          <w:bCs/>
        </w:rPr>
        <w:t xml:space="preserve">Резерва за приспособяване във връзка с последиците от </w:t>
      </w:r>
      <w:proofErr w:type="spellStart"/>
      <w:r w:rsidRPr="002858DF">
        <w:rPr>
          <w:b/>
          <w:bCs/>
        </w:rPr>
        <w:t>Брексит</w:t>
      </w:r>
      <w:proofErr w:type="spellEnd"/>
    </w:p>
    <w:p w:rsidR="00B039F0" w:rsidRPr="002858DF" w:rsidRDefault="00B039F0" w:rsidP="00D47A56">
      <w:pPr>
        <w:spacing w:before="120"/>
        <w:ind w:firstLine="567"/>
        <w:jc w:val="both"/>
        <w:rPr>
          <w:bCs/>
        </w:rPr>
      </w:pPr>
      <w:r w:rsidRPr="002858DF">
        <w:rPr>
          <w:bCs/>
        </w:rPr>
        <w:t xml:space="preserve">Сумата на разходите и трансферите (нето) за периода са на обща стойност </w:t>
      </w:r>
      <w:r w:rsidRPr="003F1A09">
        <w:rPr>
          <w:bCs/>
          <w:lang w:val="ru-RU"/>
        </w:rPr>
        <w:t>0</w:t>
      </w:r>
      <w:r>
        <w:rPr>
          <w:bCs/>
          <w:lang w:val="ru-RU"/>
        </w:rPr>
        <w:t>,</w:t>
      </w:r>
      <w:r w:rsidRPr="003F1A09">
        <w:rPr>
          <w:bCs/>
          <w:lang w:val="ru-RU"/>
        </w:rPr>
        <w:t>7</w:t>
      </w:r>
      <w:r w:rsidRPr="002858DF">
        <w:rPr>
          <w:bCs/>
        </w:rPr>
        <w:t xml:space="preserve"> млн. лева.</w:t>
      </w:r>
    </w:p>
    <w:p w:rsidR="00B039F0" w:rsidRPr="00397159" w:rsidRDefault="00B039F0" w:rsidP="00D47A56">
      <w:pPr>
        <w:spacing w:before="120"/>
        <w:ind w:firstLine="567"/>
        <w:jc w:val="both"/>
        <w:rPr>
          <w:b/>
          <w:bCs/>
        </w:rPr>
      </w:pPr>
      <w:r w:rsidRPr="00397159">
        <w:rPr>
          <w:b/>
          <w:bCs/>
        </w:rPr>
        <w:t xml:space="preserve">Програма ФАР </w:t>
      </w:r>
    </w:p>
    <w:p w:rsidR="00B039F0" w:rsidRPr="00397159" w:rsidRDefault="00B039F0" w:rsidP="00D47A56">
      <w:pPr>
        <w:ind w:firstLine="567"/>
        <w:jc w:val="both"/>
        <w:rPr>
          <w:bCs/>
        </w:rPr>
      </w:pPr>
      <w:r w:rsidRPr="00397159">
        <w:rPr>
          <w:bCs/>
        </w:rPr>
        <w:t>През отчетния период са възстановени суми от бенефициенти на стойност 0</w:t>
      </w:r>
      <w:r>
        <w:rPr>
          <w:bCs/>
        </w:rPr>
        <w:t>,</w:t>
      </w:r>
      <w:r w:rsidRPr="003F1A09">
        <w:rPr>
          <w:bCs/>
          <w:lang w:val="ru-RU"/>
        </w:rPr>
        <w:t>0</w:t>
      </w:r>
      <w:r w:rsidRPr="00397159">
        <w:rPr>
          <w:bCs/>
        </w:rPr>
        <w:t>0</w:t>
      </w:r>
      <w:r>
        <w:rPr>
          <w:bCs/>
        </w:rPr>
        <w:t>4</w:t>
      </w:r>
      <w:r w:rsidRPr="00397159">
        <w:rPr>
          <w:bCs/>
        </w:rPr>
        <w:t xml:space="preserve"> млн. лева. </w:t>
      </w:r>
    </w:p>
    <w:p w:rsidR="00B039F0" w:rsidRPr="00397159" w:rsidRDefault="00B039F0" w:rsidP="00D47A56">
      <w:pPr>
        <w:spacing w:before="120"/>
        <w:ind w:firstLine="567"/>
        <w:jc w:val="both"/>
        <w:rPr>
          <w:b/>
          <w:bCs/>
        </w:rPr>
      </w:pPr>
      <w:r w:rsidRPr="00397159">
        <w:rPr>
          <w:b/>
          <w:bCs/>
        </w:rPr>
        <w:t xml:space="preserve">Програма САПАРД </w:t>
      </w:r>
    </w:p>
    <w:p w:rsidR="00B039F0" w:rsidRPr="003F1A09" w:rsidRDefault="00B039F0" w:rsidP="00D47A56">
      <w:pPr>
        <w:pStyle w:val="Header"/>
        <w:tabs>
          <w:tab w:val="clear" w:pos="4153"/>
          <w:tab w:val="clear" w:pos="8306"/>
        </w:tabs>
        <w:ind w:right="277" w:firstLine="567"/>
        <w:jc w:val="both"/>
        <w:rPr>
          <w:b/>
          <w:lang w:val="ru-RU"/>
        </w:rPr>
      </w:pPr>
      <w:r w:rsidRPr="003F1A09">
        <w:rPr>
          <w:bCs/>
          <w:lang w:val="ru-RU"/>
        </w:rPr>
        <w:t xml:space="preserve">  </w:t>
      </w:r>
      <w:r w:rsidRPr="00397159">
        <w:rPr>
          <w:bCs/>
        </w:rPr>
        <w:t>През периода са извършени възстановявания от бенефициенти по дългове на стойност 0</w:t>
      </w:r>
      <w:r>
        <w:rPr>
          <w:bCs/>
          <w:lang w:val="ru-RU"/>
        </w:rPr>
        <w:t>,</w:t>
      </w:r>
      <w:r w:rsidRPr="003F1A09">
        <w:rPr>
          <w:bCs/>
          <w:lang w:val="ru-RU"/>
        </w:rPr>
        <w:t>00</w:t>
      </w:r>
      <w:r>
        <w:rPr>
          <w:bCs/>
        </w:rPr>
        <w:t>03</w:t>
      </w:r>
      <w:r w:rsidRPr="00397159">
        <w:rPr>
          <w:bCs/>
        </w:rPr>
        <w:t xml:space="preserve"> млн. лв.</w:t>
      </w:r>
    </w:p>
    <w:p w:rsidR="00936CD8" w:rsidRPr="00CA4EF0" w:rsidRDefault="00936CD8" w:rsidP="00936CD8">
      <w:pPr>
        <w:pStyle w:val="Heading1"/>
        <w:numPr>
          <w:ilvl w:val="0"/>
          <w:numId w:val="9"/>
        </w:numPr>
        <w:spacing w:before="360"/>
        <w:ind w:left="533" w:right="-108" w:hanging="391"/>
        <w:jc w:val="both"/>
        <w:rPr>
          <w:sz w:val="24"/>
        </w:rPr>
      </w:pPr>
      <w:r w:rsidRPr="00CA4EF0">
        <w:rPr>
          <w:sz w:val="24"/>
        </w:rPr>
        <w:t>Бюджети на социално и здравно-осигурителните фондове и бюджети по чл. 13, ал. 2 и ал. 3 на Закона за публичните финанси</w:t>
      </w:r>
    </w:p>
    <w:p w:rsidR="00936CD8" w:rsidRDefault="00936CD8" w:rsidP="00751212">
      <w:pPr>
        <w:pStyle w:val="Heading1"/>
        <w:numPr>
          <w:ilvl w:val="1"/>
          <w:numId w:val="9"/>
        </w:numPr>
        <w:spacing w:before="240"/>
        <w:ind w:left="788" w:right="-108" w:hanging="431"/>
        <w:jc w:val="both"/>
        <w:rPr>
          <w:sz w:val="24"/>
        </w:rPr>
      </w:pPr>
      <w:r w:rsidRPr="00CA4EF0">
        <w:rPr>
          <w:sz w:val="24"/>
        </w:rPr>
        <w:t>Социално и здравно-осигурителни фондове</w:t>
      </w:r>
    </w:p>
    <w:p w:rsidR="00B721A5" w:rsidRDefault="00B721A5" w:rsidP="00B721A5"/>
    <w:p w:rsidR="00B721A5" w:rsidRPr="00B721A5" w:rsidRDefault="00B721A5" w:rsidP="00B721A5"/>
    <w:p w:rsidR="00CA4EF0" w:rsidRPr="00162245" w:rsidRDefault="00CA4EF0" w:rsidP="00CA4EF0">
      <w:pPr>
        <w:numPr>
          <w:ilvl w:val="1"/>
          <w:numId w:val="6"/>
        </w:numPr>
        <w:spacing w:before="120" w:line="276" w:lineRule="auto"/>
        <w:ind w:left="992" w:hanging="357"/>
        <w:jc w:val="both"/>
        <w:rPr>
          <w:b/>
          <w:bCs/>
        </w:rPr>
      </w:pPr>
      <w:r w:rsidRPr="00162245">
        <w:rPr>
          <w:b/>
        </w:rPr>
        <w:t>Държавно обществено осигуряване</w:t>
      </w:r>
    </w:p>
    <w:p w:rsidR="00CA4EF0" w:rsidRPr="004B7A23" w:rsidRDefault="00CA4EF0" w:rsidP="00CA4EF0">
      <w:pPr>
        <w:ind w:firstLine="567"/>
        <w:jc w:val="both"/>
        <w:rPr>
          <w:rFonts w:eastAsiaTheme="minorHAnsi"/>
          <w:color w:val="0070C0"/>
        </w:rPr>
      </w:pPr>
      <w:r w:rsidRPr="00162245">
        <w:t xml:space="preserve">Общата сума на </w:t>
      </w:r>
      <w:r w:rsidRPr="00162245">
        <w:rPr>
          <w:b/>
        </w:rPr>
        <w:t>приходите, помощите и даренията</w:t>
      </w:r>
      <w:r w:rsidRPr="00162245">
        <w:t xml:space="preserve"> по бюджета на Държавното обществено осигуряване (ДОО) към 31.03.2024 г. възлиза на 3 026,4 млн. лв. Съпоставени с първото тримесечие на 2023 г., приходите по бюджета на ДОО нарастват с</w:t>
      </w:r>
      <w:r w:rsidRPr="00162245">
        <w:rPr>
          <w:lang w:val="ru-RU"/>
        </w:rPr>
        <w:t xml:space="preserve"> 395,2</w:t>
      </w:r>
      <w:r w:rsidRPr="00162245">
        <w:t xml:space="preserve"> млн. лв. (15,0</w:t>
      </w:r>
      <w:r w:rsidR="00EF150A">
        <w:t> </w:t>
      </w:r>
      <w:r w:rsidRPr="00162245">
        <w:t>%). Постъпилите средства представляват 23,5 % спрямо разчетените в Закона за бюджета на Държавното обществено осигуряване за 2024 г. (ЗБДОО за  2024 г.). Най-голям е делът на приходите от осигурителни вноски (98,</w:t>
      </w:r>
      <w:r w:rsidRPr="00162245">
        <w:rPr>
          <w:lang w:val="ru-RU"/>
        </w:rPr>
        <w:t>4</w:t>
      </w:r>
      <w:r w:rsidRPr="00162245">
        <w:t xml:space="preserve"> % от общите приходи), които за отчетния период те са в размер на 2 978,3 млн. лв. Приходите от осигурителни вноски към 31.03.2024 г. са 23,4 % от разчетите към ЗБДОО за 2024 г.</w:t>
      </w:r>
    </w:p>
    <w:p w:rsidR="00CA4EF0" w:rsidRPr="00162245" w:rsidRDefault="00CA4EF0" w:rsidP="00CA4EF0">
      <w:pPr>
        <w:ind w:firstLine="567"/>
        <w:jc w:val="both"/>
        <w:rPr>
          <w:bCs/>
        </w:rPr>
      </w:pPr>
      <w:r w:rsidRPr="00162245">
        <w:rPr>
          <w:bCs/>
        </w:rPr>
        <w:t>Отчетените неданъчни приходи към края на март 2024 г. по бюджета на ДОО възлизат на 48,1 млн. лв., в т.ч. 44,4 млн. лв. постъпили средства по чл. 4б, чл. 4в и чл. 69б от Кодекса за социално осигуряване (КСО)</w:t>
      </w:r>
      <w:r w:rsidRPr="00162245">
        <w:t>.</w:t>
      </w:r>
      <w:r w:rsidRPr="00162245">
        <w:rPr>
          <w:bCs/>
        </w:rPr>
        <w:t xml:space="preserve"> </w:t>
      </w:r>
    </w:p>
    <w:p w:rsidR="00CA4EF0" w:rsidRPr="00D33BB5" w:rsidRDefault="00CA4EF0" w:rsidP="00CA4EF0">
      <w:pPr>
        <w:ind w:firstLine="567"/>
        <w:jc w:val="both"/>
        <w:rPr>
          <w:bCs/>
        </w:rPr>
      </w:pPr>
      <w:r w:rsidRPr="00D33BB5">
        <w:rPr>
          <w:bCs/>
        </w:rPr>
        <w:t>Получените трансфери от централния бюджет (вкл. за поети осигурителни вноски) за периода са 2 734,0 млн. лв.</w:t>
      </w:r>
    </w:p>
    <w:p w:rsidR="00CA4EF0" w:rsidRPr="00D33BB5" w:rsidRDefault="00CA4EF0" w:rsidP="00CA4EF0">
      <w:pPr>
        <w:tabs>
          <w:tab w:val="num" w:pos="1499"/>
          <w:tab w:val="num" w:pos="2148"/>
        </w:tabs>
        <w:ind w:firstLine="567"/>
        <w:jc w:val="both"/>
        <w:rPr>
          <w:bCs/>
        </w:rPr>
      </w:pPr>
      <w:r w:rsidRPr="00D33BB5">
        <w:rPr>
          <w:bCs/>
        </w:rPr>
        <w:t xml:space="preserve">Размерът на извършените </w:t>
      </w:r>
      <w:r w:rsidRPr="00D33BB5">
        <w:rPr>
          <w:b/>
          <w:bCs/>
        </w:rPr>
        <w:t xml:space="preserve">разходи </w:t>
      </w:r>
      <w:r w:rsidRPr="00D33BB5">
        <w:rPr>
          <w:bCs/>
        </w:rPr>
        <w:t xml:space="preserve">за първите три месеца на 2024 г. по бюджета на ДОО е 5 713,1 млн. лв. Спрямо същия период на миналата година общо разходите по бюджета на ДОО са с 696,6 млн. лв. (13,9 %) повече. Изразходваните средства представляват 23,5 % от разчетените със ЗБДОО 2024 г. разходи. От структурна гледна точка най-голям относителен дял в общите разходи заемат разходите за пенсии, обезщетения и помощи, изплащани на основание КСО – общо 5 669,8 млн. лв. или 99,2 % от общия размер на разходите за отчетния период. </w:t>
      </w:r>
    </w:p>
    <w:p w:rsidR="00CA4EF0" w:rsidRPr="005C2CE4" w:rsidRDefault="00CA4EF0" w:rsidP="00CA4EF0">
      <w:pPr>
        <w:tabs>
          <w:tab w:val="num" w:pos="1499"/>
          <w:tab w:val="num" w:pos="2148"/>
        </w:tabs>
        <w:ind w:firstLine="567"/>
        <w:jc w:val="both"/>
        <w:rPr>
          <w:bCs/>
        </w:rPr>
      </w:pPr>
      <w:r w:rsidRPr="00667CFD">
        <w:rPr>
          <w:bCs/>
        </w:rPr>
        <w:t xml:space="preserve">Отчетените разходи за </w:t>
      </w:r>
      <w:r w:rsidRPr="00667CFD">
        <w:rPr>
          <w:b/>
          <w:bCs/>
        </w:rPr>
        <w:t>пенсии</w:t>
      </w:r>
      <w:r w:rsidRPr="00667CFD">
        <w:rPr>
          <w:bCs/>
        </w:rPr>
        <w:t xml:space="preserve"> по бюджета на ДОО към 31.03.2024 г. възлизат на 5 064,7 млн. лв., което е с 586,6 млн. лв. повече спрямо първите трит месеца на 2023 г. и представляват 23,4 % от разчета за годината. Основната причина за това е изплащането през първото тримесечие на 2024 г. на осъвременените пенсии с 12 % от 1 юли 2023 г., </w:t>
      </w:r>
      <w:r w:rsidRPr="005C2CE4">
        <w:rPr>
          <w:bCs/>
        </w:rPr>
        <w:t>вкл. увеличението на минималната пенсия.</w:t>
      </w:r>
    </w:p>
    <w:p w:rsidR="00CA4EF0" w:rsidRPr="004B7A23" w:rsidRDefault="00CA4EF0" w:rsidP="00CA4EF0">
      <w:pPr>
        <w:tabs>
          <w:tab w:val="num" w:pos="1499"/>
          <w:tab w:val="num" w:pos="2148"/>
        </w:tabs>
        <w:ind w:firstLine="567"/>
        <w:jc w:val="both"/>
        <w:rPr>
          <w:color w:val="0070C0"/>
        </w:rPr>
      </w:pPr>
      <w:r w:rsidRPr="005C2CE4">
        <w:t xml:space="preserve">Отчетените разходи за </w:t>
      </w:r>
      <w:r w:rsidRPr="005C2CE4">
        <w:rPr>
          <w:b/>
        </w:rPr>
        <w:t>краткосрочни обезщетения и помощи по КСО</w:t>
      </w:r>
      <w:r w:rsidRPr="005C2CE4">
        <w:t xml:space="preserve"> са в размер </w:t>
      </w:r>
      <w:r w:rsidRPr="00945BBB">
        <w:t>на 605,0 млн. лева. Спрямо същия период на миналата година изплатените обезщетения по КСО са със 107,4 млн. лв. (21,6 %) повече. Спрямо разчета в ЗБДОО за 2024 г. изпълнението е 23,8 %.</w:t>
      </w:r>
    </w:p>
    <w:p w:rsidR="00CA4EF0" w:rsidRPr="00A17624" w:rsidRDefault="00CA4EF0" w:rsidP="00CA4EF0">
      <w:pPr>
        <w:numPr>
          <w:ilvl w:val="1"/>
          <w:numId w:val="6"/>
        </w:numPr>
        <w:tabs>
          <w:tab w:val="num" w:pos="709"/>
          <w:tab w:val="left" w:pos="851"/>
          <w:tab w:val="left" w:pos="1134"/>
        </w:tabs>
        <w:spacing w:before="240" w:line="276" w:lineRule="auto"/>
        <w:ind w:left="709" w:hanging="357"/>
        <w:jc w:val="both"/>
        <w:rPr>
          <w:b/>
          <w:bCs/>
        </w:rPr>
      </w:pPr>
      <w:r w:rsidRPr="00A17624">
        <w:rPr>
          <w:b/>
          <w:bCs/>
        </w:rPr>
        <w:t>Национална здравноосигурителна каса</w:t>
      </w:r>
    </w:p>
    <w:p w:rsidR="00CA4EF0" w:rsidRPr="004B7A23" w:rsidRDefault="00CA4EF0" w:rsidP="00CA4EF0">
      <w:pPr>
        <w:ind w:firstLine="567"/>
        <w:jc w:val="both"/>
        <w:rPr>
          <w:color w:val="0070C0"/>
        </w:rPr>
      </w:pPr>
      <w:r w:rsidRPr="00A17624">
        <w:t xml:space="preserve">Общият размер на събраните </w:t>
      </w:r>
      <w:r w:rsidRPr="00A17624">
        <w:rPr>
          <w:b/>
        </w:rPr>
        <w:t>приходи, помощи и дарения</w:t>
      </w:r>
      <w:r w:rsidRPr="00A17624">
        <w:t xml:space="preserve"> по бюджета на НЗОК за първото тримесечие на 2024 г. възлиза на 1 168,8 млн. лв., което е със 155,9 млн. лв.  (15,4 %) повече в сравнение със същия период на предходната година. Постъпилите средства представляват 23,8 % от предвидените в Закона за бюджета на Националната здравноосигурителна каса за 2024 г. (ЗБНЗОК за 2024 г.) приходи. Постъпленията от здравноосигурителни вноски са в размер на 1</w:t>
      </w:r>
      <w:r w:rsidR="00DF0DF8">
        <w:t> </w:t>
      </w:r>
      <w:r w:rsidRPr="00A17624">
        <w:t xml:space="preserve">162,5 млн. лв., което е 23,8 % от предвидените в ЗБНЗОК за 2024 г. и със 157,3 млн. лв. повече от първите три месеца на 2023 г. Събраните неданъчни приходи към 31.03.2024 г. са 6,3 млн. лв., като основната част от тях са приходи от глоби, санкции и наказателни лихви. </w:t>
      </w:r>
    </w:p>
    <w:p w:rsidR="00CA4EF0" w:rsidRPr="004B7A23" w:rsidRDefault="00CA4EF0" w:rsidP="00CA4EF0">
      <w:pPr>
        <w:ind w:firstLine="567"/>
        <w:jc w:val="both"/>
        <w:rPr>
          <w:color w:val="0070C0"/>
          <w:lang w:val="ru-RU"/>
        </w:rPr>
      </w:pPr>
      <w:r w:rsidRPr="001973EF">
        <w:t>Полученият трансфер от МЗ за</w:t>
      </w:r>
      <w:r w:rsidRPr="001973EF">
        <w:rPr>
          <w:szCs w:val="20"/>
        </w:rPr>
        <w:t xml:space="preserve"> финансиране на разходите </w:t>
      </w:r>
      <w:r w:rsidRPr="001973EF">
        <w:t xml:space="preserve">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кожно-венерически и психиатрични заболявания; </w:t>
      </w:r>
      <w:r w:rsidRPr="001973EF">
        <w:rPr>
          <w:szCs w:val="20"/>
        </w:rPr>
        <w:t xml:space="preserve">дейности по </w:t>
      </w:r>
      <w:r w:rsidRPr="00C8125F">
        <w:rPr>
          <w:color w:val="000000" w:themeColor="text1"/>
          <w:szCs w:val="20"/>
        </w:rPr>
        <w:t>чл. 82, ал. 1, т. 2 от ЗЗ, за сумите по чл. 37, ал. 6 от Закона за здравното осигуряване (ЗЗО) и за медицински изделия, помощни средства, приспособления и съоръжения за хората с увреждания извън обхвата на задължителното здравно осигуряване</w:t>
      </w:r>
      <w:r w:rsidRPr="00C8125F">
        <w:rPr>
          <w:color w:val="000000" w:themeColor="text1"/>
        </w:rPr>
        <w:t xml:space="preserve"> </w:t>
      </w:r>
      <w:r w:rsidRPr="00C8125F">
        <w:rPr>
          <w:color w:val="000000" w:themeColor="text1"/>
          <w:szCs w:val="20"/>
        </w:rPr>
        <w:t>за отчетния период e в размер на 54,3</w:t>
      </w:r>
      <w:r w:rsidRPr="00C8125F">
        <w:rPr>
          <w:color w:val="000000" w:themeColor="text1"/>
        </w:rPr>
        <w:t xml:space="preserve"> млн. лева.</w:t>
      </w:r>
    </w:p>
    <w:p w:rsidR="00CA4EF0" w:rsidRPr="00E20993" w:rsidRDefault="00CA4EF0" w:rsidP="00CA4EF0">
      <w:pPr>
        <w:ind w:firstLine="567"/>
        <w:jc w:val="both"/>
      </w:pPr>
      <w:r w:rsidRPr="00E20993">
        <w:t xml:space="preserve">Получените трансфери от централния бюджет (вкл. за поети осигурителни вноски) за периода са 769,2 млн. лв. </w:t>
      </w:r>
    </w:p>
    <w:p w:rsidR="00CA4EF0" w:rsidRPr="00E20993" w:rsidRDefault="00CA4EF0" w:rsidP="00CA4EF0">
      <w:pPr>
        <w:ind w:firstLine="567"/>
        <w:jc w:val="both"/>
      </w:pPr>
      <w:r w:rsidRPr="00E20993">
        <w:t xml:space="preserve">Отчетените </w:t>
      </w:r>
      <w:r w:rsidRPr="00E20993">
        <w:rPr>
          <w:b/>
        </w:rPr>
        <w:t>разходи</w:t>
      </w:r>
      <w:r w:rsidRPr="00E20993">
        <w:t xml:space="preserve"> към 31.03.2024 г. са в размер на 1 788,4 млн. лв. и нарастват с 290,6</w:t>
      </w:r>
      <w:r w:rsidRPr="00E20993">
        <w:rPr>
          <w:lang w:val="en-US"/>
        </w:rPr>
        <w:t> </w:t>
      </w:r>
      <w:r w:rsidRPr="00E20993">
        <w:t>млн. лв. (19,4 %) спрямо същия период на миналата година. Спрямо годишните разчети извършените разходи представляват 21,9 %.</w:t>
      </w:r>
    </w:p>
    <w:p w:rsidR="00CA4EF0" w:rsidRPr="004B7A23" w:rsidRDefault="00CA4EF0" w:rsidP="00CA4EF0">
      <w:pPr>
        <w:ind w:firstLine="567"/>
        <w:jc w:val="both"/>
        <w:rPr>
          <w:color w:val="0070C0"/>
        </w:rPr>
      </w:pPr>
      <w:r w:rsidRPr="00E20993">
        <w:t xml:space="preserve">Най-голям относителен дял в общите разходи (96,5 %) заемат </w:t>
      </w:r>
      <w:r w:rsidRPr="00D01512">
        <w:t>здравноосигурителните плащания, които възлизат на 1 726,2 млн. лева. В отделните направления на здравноосигурителни плащания изпълнението на бюджета за първото тримесечие на 2024 г. е следното:</w:t>
      </w:r>
    </w:p>
    <w:p w:rsidR="00CA4EF0" w:rsidRPr="004B7A23" w:rsidRDefault="00CA4EF0" w:rsidP="00CA4EF0">
      <w:pPr>
        <w:numPr>
          <w:ilvl w:val="0"/>
          <w:numId w:val="15"/>
        </w:numPr>
        <w:tabs>
          <w:tab w:val="num" w:pos="0"/>
          <w:tab w:val="left" w:pos="720"/>
          <w:tab w:val="left" w:pos="1134"/>
        </w:tabs>
        <w:spacing w:before="120" w:line="276" w:lineRule="auto"/>
        <w:ind w:hanging="6169"/>
        <w:jc w:val="both"/>
        <w:rPr>
          <w:bCs/>
          <w:color w:val="0070C0"/>
        </w:rPr>
      </w:pPr>
      <w:r w:rsidRPr="000646E3">
        <w:rPr>
          <w:b/>
          <w:i/>
        </w:rPr>
        <w:t xml:space="preserve">първична </w:t>
      </w:r>
      <w:proofErr w:type="spellStart"/>
      <w:r w:rsidRPr="000646E3">
        <w:rPr>
          <w:b/>
          <w:i/>
        </w:rPr>
        <w:t>извънболнична</w:t>
      </w:r>
      <w:proofErr w:type="spellEnd"/>
      <w:r w:rsidRPr="000646E3">
        <w:rPr>
          <w:b/>
          <w:i/>
        </w:rPr>
        <w:t xml:space="preserve"> медицинска помощ</w:t>
      </w:r>
      <w:r w:rsidRPr="000646E3">
        <w:rPr>
          <w:i/>
        </w:rPr>
        <w:t xml:space="preserve"> –</w:t>
      </w:r>
      <w:r w:rsidRPr="000646E3">
        <w:t xml:space="preserve"> </w:t>
      </w:r>
      <w:r w:rsidRPr="00587800">
        <w:rPr>
          <w:lang w:val="ru-RU"/>
        </w:rPr>
        <w:t>122</w:t>
      </w:r>
      <w:r w:rsidRPr="000646E3">
        <w:t>,</w:t>
      </w:r>
      <w:r w:rsidRPr="00587800">
        <w:rPr>
          <w:lang w:val="ru-RU"/>
        </w:rPr>
        <w:t>5</w:t>
      </w:r>
      <w:r w:rsidRPr="000646E3">
        <w:t xml:space="preserve"> млн. лева;</w:t>
      </w:r>
      <w:r w:rsidRPr="000646E3">
        <w:rPr>
          <w:bCs/>
        </w:rPr>
        <w:t xml:space="preserve"> </w:t>
      </w:r>
    </w:p>
    <w:p w:rsidR="00CA4EF0" w:rsidRPr="000646E3" w:rsidRDefault="00CA4EF0" w:rsidP="00CA4EF0">
      <w:pPr>
        <w:numPr>
          <w:ilvl w:val="0"/>
          <w:numId w:val="15"/>
        </w:numPr>
        <w:tabs>
          <w:tab w:val="num" w:pos="0"/>
          <w:tab w:val="left" w:pos="720"/>
          <w:tab w:val="left" w:pos="1134"/>
        </w:tabs>
        <w:spacing w:line="276" w:lineRule="auto"/>
        <w:ind w:hanging="6169"/>
        <w:jc w:val="both"/>
        <w:rPr>
          <w:i/>
        </w:rPr>
      </w:pPr>
      <w:r w:rsidRPr="000646E3">
        <w:rPr>
          <w:b/>
          <w:i/>
        </w:rPr>
        <w:t xml:space="preserve">специализирана </w:t>
      </w:r>
      <w:proofErr w:type="spellStart"/>
      <w:r w:rsidRPr="000646E3">
        <w:rPr>
          <w:b/>
          <w:i/>
        </w:rPr>
        <w:t>извънболнична</w:t>
      </w:r>
      <w:proofErr w:type="spellEnd"/>
      <w:r w:rsidRPr="000646E3">
        <w:rPr>
          <w:b/>
          <w:i/>
        </w:rPr>
        <w:t xml:space="preserve"> медицинска помощ </w:t>
      </w:r>
      <w:r w:rsidRPr="000646E3">
        <w:t xml:space="preserve"> – </w:t>
      </w:r>
      <w:r w:rsidRPr="00587800">
        <w:rPr>
          <w:lang w:val="ru-RU"/>
        </w:rPr>
        <w:t>132</w:t>
      </w:r>
      <w:r w:rsidRPr="000646E3">
        <w:t>,</w:t>
      </w:r>
      <w:r w:rsidRPr="00587800">
        <w:rPr>
          <w:lang w:val="ru-RU"/>
        </w:rPr>
        <w:t>5</w:t>
      </w:r>
      <w:r w:rsidRPr="000646E3">
        <w:t> млн. лева;</w:t>
      </w:r>
    </w:p>
    <w:p w:rsidR="00CA4EF0" w:rsidRPr="000646E3" w:rsidRDefault="00CA4EF0" w:rsidP="00CA4EF0">
      <w:pPr>
        <w:numPr>
          <w:ilvl w:val="0"/>
          <w:numId w:val="15"/>
        </w:numPr>
        <w:tabs>
          <w:tab w:val="num" w:pos="0"/>
          <w:tab w:val="left" w:pos="720"/>
          <w:tab w:val="left" w:pos="1134"/>
        </w:tabs>
        <w:spacing w:line="276" w:lineRule="auto"/>
        <w:ind w:hanging="6169"/>
        <w:jc w:val="both"/>
        <w:rPr>
          <w:b/>
        </w:rPr>
      </w:pPr>
      <w:r w:rsidRPr="000646E3">
        <w:rPr>
          <w:b/>
          <w:i/>
        </w:rPr>
        <w:t xml:space="preserve">дентална помощ </w:t>
      </w:r>
      <w:r w:rsidRPr="000646E3">
        <w:rPr>
          <w:b/>
        </w:rPr>
        <w:t xml:space="preserve">– </w:t>
      </w:r>
      <w:r w:rsidRPr="000646E3">
        <w:t>1</w:t>
      </w:r>
      <w:r w:rsidRPr="000646E3">
        <w:rPr>
          <w:lang w:val="en-US"/>
        </w:rPr>
        <w:t>05</w:t>
      </w:r>
      <w:r w:rsidRPr="000646E3">
        <w:t>,</w:t>
      </w:r>
      <w:r w:rsidRPr="000646E3">
        <w:rPr>
          <w:lang w:val="en-US"/>
        </w:rPr>
        <w:t>5</w:t>
      </w:r>
      <w:r w:rsidRPr="000646E3">
        <w:t xml:space="preserve"> млн. лева;</w:t>
      </w:r>
    </w:p>
    <w:p w:rsidR="00CA4EF0" w:rsidRPr="000646E3" w:rsidRDefault="00CA4EF0" w:rsidP="00CA4EF0">
      <w:pPr>
        <w:numPr>
          <w:ilvl w:val="0"/>
          <w:numId w:val="15"/>
        </w:numPr>
        <w:tabs>
          <w:tab w:val="num" w:pos="0"/>
          <w:tab w:val="left" w:pos="720"/>
          <w:tab w:val="left" w:pos="1134"/>
        </w:tabs>
        <w:spacing w:line="276" w:lineRule="auto"/>
        <w:ind w:hanging="6169"/>
        <w:jc w:val="both"/>
        <w:rPr>
          <w:b/>
          <w:i/>
        </w:rPr>
      </w:pPr>
      <w:r w:rsidRPr="000646E3">
        <w:rPr>
          <w:b/>
          <w:i/>
        </w:rPr>
        <w:t xml:space="preserve">медико-диагностична дейност </w:t>
      </w:r>
      <w:r w:rsidRPr="000646E3">
        <w:rPr>
          <w:b/>
        </w:rPr>
        <w:t xml:space="preserve">– </w:t>
      </w:r>
      <w:r w:rsidRPr="00587800">
        <w:rPr>
          <w:lang w:val="ru-RU"/>
        </w:rPr>
        <w:t>25</w:t>
      </w:r>
      <w:r w:rsidRPr="000646E3">
        <w:t>,</w:t>
      </w:r>
      <w:r w:rsidRPr="00587800">
        <w:rPr>
          <w:lang w:val="ru-RU"/>
        </w:rPr>
        <w:t>1</w:t>
      </w:r>
      <w:r w:rsidRPr="000646E3">
        <w:t xml:space="preserve"> млн. лева;</w:t>
      </w:r>
      <w:r w:rsidRPr="000646E3">
        <w:rPr>
          <w:b/>
          <w:i/>
        </w:rPr>
        <w:t xml:space="preserve"> </w:t>
      </w:r>
    </w:p>
    <w:p w:rsidR="00CA4EF0" w:rsidRPr="000646E3" w:rsidRDefault="00CA4EF0" w:rsidP="00CA4EF0">
      <w:pPr>
        <w:numPr>
          <w:ilvl w:val="0"/>
          <w:numId w:val="15"/>
        </w:numPr>
        <w:tabs>
          <w:tab w:val="num" w:pos="0"/>
          <w:tab w:val="left" w:pos="1134"/>
        </w:tabs>
        <w:spacing w:line="276" w:lineRule="auto"/>
        <w:ind w:left="1134" w:hanging="425"/>
        <w:jc w:val="both"/>
      </w:pPr>
      <w:r w:rsidRPr="000646E3">
        <w:rPr>
          <w:b/>
          <w:i/>
        </w:rPr>
        <w:t xml:space="preserve">лекарствени продукти, медицински изделия и диетични храни за домашно лечение на територията на страната  - </w:t>
      </w:r>
      <w:r w:rsidRPr="00587800">
        <w:rPr>
          <w:lang w:val="ru-RU"/>
        </w:rPr>
        <w:t>253</w:t>
      </w:r>
      <w:r w:rsidRPr="000646E3">
        <w:t>,</w:t>
      </w:r>
      <w:r w:rsidRPr="00587800">
        <w:rPr>
          <w:lang w:val="ru-RU"/>
        </w:rPr>
        <w:t>2</w:t>
      </w:r>
      <w:r w:rsidRPr="000646E3">
        <w:t xml:space="preserve"> млн. лв.</w:t>
      </w:r>
    </w:p>
    <w:p w:rsidR="00CA4EF0" w:rsidRPr="00904D6B" w:rsidRDefault="00CA4EF0" w:rsidP="00CA4EF0">
      <w:pPr>
        <w:numPr>
          <w:ilvl w:val="0"/>
          <w:numId w:val="15"/>
        </w:numPr>
        <w:tabs>
          <w:tab w:val="num" w:pos="0"/>
          <w:tab w:val="left" w:pos="1134"/>
          <w:tab w:val="num" w:pos="6096"/>
        </w:tabs>
        <w:spacing w:line="276" w:lineRule="auto"/>
        <w:ind w:left="1134" w:hanging="425"/>
        <w:jc w:val="both"/>
      </w:pPr>
      <w:r w:rsidRPr="00904D6B">
        <w:rPr>
          <w:b/>
          <w:i/>
        </w:rPr>
        <w:t xml:space="preserve"> лекарствени продукти за лечение на злокачествени заболявания в условията на болнична медицинска помощ </w:t>
      </w:r>
      <w:r w:rsidRPr="00904D6B">
        <w:t xml:space="preserve"> – </w:t>
      </w:r>
      <w:r w:rsidRPr="00587800">
        <w:rPr>
          <w:lang w:val="ru-RU"/>
        </w:rPr>
        <w:t>256</w:t>
      </w:r>
      <w:r w:rsidRPr="00904D6B">
        <w:t>,</w:t>
      </w:r>
      <w:r w:rsidRPr="00587800">
        <w:rPr>
          <w:lang w:val="ru-RU"/>
        </w:rPr>
        <w:t>7</w:t>
      </w:r>
      <w:r w:rsidRPr="00904D6B">
        <w:t xml:space="preserve"> млн. лева;</w:t>
      </w:r>
    </w:p>
    <w:p w:rsidR="00CA4EF0" w:rsidRPr="00904D6B" w:rsidRDefault="00CA4EF0" w:rsidP="00CA4EF0">
      <w:pPr>
        <w:numPr>
          <w:ilvl w:val="0"/>
          <w:numId w:val="15"/>
        </w:numPr>
        <w:tabs>
          <w:tab w:val="num" w:pos="0"/>
          <w:tab w:val="left" w:pos="720"/>
          <w:tab w:val="num" w:pos="1134"/>
        </w:tabs>
        <w:spacing w:line="276" w:lineRule="auto"/>
        <w:ind w:left="1134" w:hanging="425"/>
        <w:jc w:val="both"/>
      </w:pPr>
      <w:r w:rsidRPr="00904D6B">
        <w:rPr>
          <w:b/>
          <w:i/>
        </w:rPr>
        <w:t>медицински изделия, прилагани в болничната  помощ –</w:t>
      </w:r>
      <w:r w:rsidRPr="00904D6B">
        <w:t xml:space="preserve"> </w:t>
      </w:r>
      <w:r w:rsidRPr="00587800">
        <w:rPr>
          <w:lang w:val="ru-RU"/>
        </w:rPr>
        <w:t>25</w:t>
      </w:r>
      <w:r w:rsidRPr="00904D6B">
        <w:t>,</w:t>
      </w:r>
      <w:r w:rsidRPr="00587800">
        <w:rPr>
          <w:lang w:val="ru-RU"/>
        </w:rPr>
        <w:t>0</w:t>
      </w:r>
      <w:r w:rsidRPr="00904D6B">
        <w:t xml:space="preserve"> млн. лева;</w:t>
      </w:r>
    </w:p>
    <w:p w:rsidR="00CA4EF0" w:rsidRPr="004B7A23" w:rsidRDefault="00CA4EF0" w:rsidP="00CA4EF0">
      <w:pPr>
        <w:numPr>
          <w:ilvl w:val="0"/>
          <w:numId w:val="15"/>
        </w:numPr>
        <w:tabs>
          <w:tab w:val="num" w:pos="0"/>
          <w:tab w:val="left" w:pos="720"/>
          <w:tab w:val="left" w:pos="1134"/>
        </w:tabs>
        <w:spacing w:line="276" w:lineRule="auto"/>
        <w:ind w:hanging="6169"/>
        <w:jc w:val="both"/>
        <w:rPr>
          <w:color w:val="0070C0"/>
        </w:rPr>
      </w:pPr>
      <w:r w:rsidRPr="00904D6B">
        <w:rPr>
          <w:b/>
          <w:i/>
        </w:rPr>
        <w:t>болнична медицинска помощ –</w:t>
      </w:r>
      <w:r w:rsidRPr="00904D6B">
        <w:t xml:space="preserve"> </w:t>
      </w:r>
      <w:r w:rsidRPr="00587800">
        <w:rPr>
          <w:lang w:val="ru-RU"/>
        </w:rPr>
        <w:t>796</w:t>
      </w:r>
      <w:r w:rsidRPr="00904D6B">
        <w:t>,</w:t>
      </w:r>
      <w:r w:rsidRPr="00587800">
        <w:rPr>
          <w:lang w:val="ru-RU"/>
        </w:rPr>
        <w:t>0</w:t>
      </w:r>
      <w:r w:rsidRPr="00904D6B">
        <w:t xml:space="preserve"> млн. лева.</w:t>
      </w:r>
      <w:r w:rsidRPr="00904D6B">
        <w:tab/>
      </w:r>
      <w:r w:rsidRPr="004B7A23">
        <w:rPr>
          <w:color w:val="0070C0"/>
        </w:rPr>
        <w:t xml:space="preserve"> </w:t>
      </w:r>
    </w:p>
    <w:p w:rsidR="00CA4EF0" w:rsidRPr="00C14458" w:rsidRDefault="00CA4EF0" w:rsidP="00CA4EF0">
      <w:pPr>
        <w:numPr>
          <w:ilvl w:val="0"/>
          <w:numId w:val="15"/>
        </w:numPr>
        <w:tabs>
          <w:tab w:val="num" w:pos="0"/>
          <w:tab w:val="left" w:pos="720"/>
          <w:tab w:val="left" w:pos="1134"/>
        </w:tabs>
        <w:spacing w:line="276" w:lineRule="auto"/>
        <w:ind w:hanging="6169"/>
        <w:jc w:val="both"/>
      </w:pPr>
      <w:r w:rsidRPr="00C14458">
        <w:rPr>
          <w:b/>
          <w:i/>
        </w:rPr>
        <w:t xml:space="preserve">други здравноосигурителни плащания – </w:t>
      </w:r>
      <w:r w:rsidRPr="00587800">
        <w:rPr>
          <w:lang w:val="ru-RU"/>
        </w:rPr>
        <w:t>9</w:t>
      </w:r>
      <w:r w:rsidRPr="00C14458">
        <w:t>,</w:t>
      </w:r>
      <w:r w:rsidRPr="00587800">
        <w:rPr>
          <w:lang w:val="ru-RU"/>
        </w:rPr>
        <w:t>7</w:t>
      </w:r>
      <w:r w:rsidRPr="00C14458">
        <w:t xml:space="preserve"> млн. лева.</w:t>
      </w:r>
    </w:p>
    <w:p w:rsidR="00CA4EF0" w:rsidRPr="007438AC" w:rsidRDefault="00CA4EF0" w:rsidP="00CA4EF0">
      <w:pPr>
        <w:spacing w:before="120"/>
        <w:ind w:firstLine="567"/>
        <w:jc w:val="both"/>
      </w:pPr>
      <w:r w:rsidRPr="007438AC">
        <w:t xml:space="preserve">Като здравноосигурителни плащания следва да се третират и преведените </w:t>
      </w:r>
      <w:r w:rsidRPr="00587800">
        <w:rPr>
          <w:lang w:val="ru-RU"/>
        </w:rPr>
        <w:t>41</w:t>
      </w:r>
      <w:r w:rsidRPr="007438AC">
        <w:t xml:space="preserve">,4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здравноосигурителни плащания възлизат на </w:t>
      </w:r>
      <w:r w:rsidRPr="00587800">
        <w:rPr>
          <w:lang w:val="ru-RU"/>
        </w:rPr>
        <w:t>1</w:t>
      </w:r>
      <w:r w:rsidRPr="007438AC">
        <w:t> </w:t>
      </w:r>
      <w:r w:rsidRPr="00587800">
        <w:rPr>
          <w:lang w:val="ru-RU"/>
        </w:rPr>
        <w:t>767</w:t>
      </w:r>
      <w:r w:rsidRPr="007438AC">
        <w:t>,</w:t>
      </w:r>
      <w:r w:rsidRPr="00587800">
        <w:rPr>
          <w:lang w:val="ru-RU"/>
        </w:rPr>
        <w:t>6</w:t>
      </w:r>
      <w:r w:rsidRPr="007438AC">
        <w:t> млн. лв.</w:t>
      </w:r>
    </w:p>
    <w:p w:rsidR="00CA4EF0" w:rsidRPr="00BA607F" w:rsidRDefault="00CA4EF0" w:rsidP="00CA4EF0">
      <w:pPr>
        <w:ind w:firstLine="567"/>
        <w:jc w:val="both"/>
      </w:pPr>
      <w:r w:rsidRPr="00BA607F">
        <w:t xml:space="preserve">За периода са отчетени плащания в размер на </w:t>
      </w:r>
      <w:r w:rsidRPr="00587800">
        <w:rPr>
          <w:lang w:val="ru-RU"/>
        </w:rPr>
        <w:t>37</w:t>
      </w:r>
      <w:r w:rsidRPr="00BA607F">
        <w:t>,</w:t>
      </w:r>
      <w:r w:rsidRPr="00587800">
        <w:rPr>
          <w:lang w:val="ru-RU"/>
        </w:rPr>
        <w:t>2</w:t>
      </w:r>
      <w:r w:rsidR="001F0187">
        <w:t xml:space="preserve"> </w:t>
      </w:r>
      <w:r w:rsidRPr="00BA607F">
        <w:t xml:space="preserve">млн. лв. за дейности за </w:t>
      </w:r>
      <w:proofErr w:type="spellStart"/>
      <w:r w:rsidRPr="00BA607F">
        <w:t>здравнонеосигурени</w:t>
      </w:r>
      <w:proofErr w:type="spellEnd"/>
      <w:r w:rsidRPr="00BA607F">
        <w:t xml:space="preserve"> лица, лекарствени продукти, потребителска такса, медицински изделия за хората с увреждания и за лечение на лица до 18 годишна възраст по чл.82, ал.1а, 3 и 6 от Закона за здравето и на лица над 18 годишна възраст по чл.82, ал.1а и 6.</w:t>
      </w:r>
    </w:p>
    <w:p w:rsidR="00CA4EF0" w:rsidRPr="00337959" w:rsidRDefault="00CA4EF0" w:rsidP="00CA4EF0">
      <w:pPr>
        <w:ind w:firstLine="567"/>
        <w:jc w:val="both"/>
      </w:pPr>
      <w:r w:rsidRPr="00337959">
        <w:t>За първите три месеца на годината са отчетени 22,8 млн. лв. за административни разходи на институцията, които включват разходите за персонал, за текуща издръжка и лихвени плащания. Усвоените средства за административни разходи заемат 1,3 на сто в структурата на общите разходи за отчетния период. Отчетените капиталови разходи за периода възлизат на 2,3</w:t>
      </w:r>
      <w:r w:rsidRPr="00337959">
        <w:rPr>
          <w:lang w:val="en-US"/>
        </w:rPr>
        <w:t> </w:t>
      </w:r>
      <w:r w:rsidRPr="00337959">
        <w:t>млн. лева.</w:t>
      </w:r>
    </w:p>
    <w:p w:rsidR="00656380" w:rsidRPr="004B7A23" w:rsidRDefault="00656380" w:rsidP="002763DB">
      <w:pPr>
        <w:ind w:firstLine="567"/>
        <w:jc w:val="both"/>
        <w:rPr>
          <w:color w:val="0070C0"/>
        </w:rPr>
      </w:pPr>
    </w:p>
    <w:p w:rsidR="00B6120B" w:rsidRPr="00E0320F" w:rsidRDefault="00B6120B" w:rsidP="00ED2B9A">
      <w:pPr>
        <w:pStyle w:val="Heading1"/>
        <w:numPr>
          <w:ilvl w:val="1"/>
          <w:numId w:val="9"/>
        </w:numPr>
        <w:spacing w:before="120"/>
        <w:ind w:left="788" w:right="-108" w:hanging="431"/>
        <w:jc w:val="both"/>
        <w:rPr>
          <w:sz w:val="24"/>
        </w:rPr>
      </w:pPr>
      <w:r w:rsidRPr="00E0320F">
        <w:rPr>
          <w:sz w:val="24"/>
        </w:rPr>
        <w:t>Общински бюджети</w:t>
      </w:r>
    </w:p>
    <w:p w:rsidR="00750EB3" w:rsidRPr="006B21C9" w:rsidRDefault="00750EB3" w:rsidP="00FB3FEE">
      <w:pPr>
        <w:numPr>
          <w:ilvl w:val="0"/>
          <w:numId w:val="27"/>
        </w:numPr>
        <w:tabs>
          <w:tab w:val="left" w:pos="851"/>
        </w:tabs>
        <w:spacing w:before="240" w:line="276" w:lineRule="auto"/>
        <w:ind w:left="533" w:firstLine="34"/>
        <w:jc w:val="both"/>
        <w:rPr>
          <w:b/>
        </w:rPr>
      </w:pPr>
      <w:r w:rsidRPr="006B21C9">
        <w:rPr>
          <w:b/>
        </w:rPr>
        <w:t>Приходи</w:t>
      </w:r>
    </w:p>
    <w:p w:rsidR="006B21C9" w:rsidRPr="004B7A23" w:rsidRDefault="006B21C9" w:rsidP="006B21C9">
      <w:pPr>
        <w:ind w:firstLine="567"/>
        <w:jc w:val="both"/>
        <w:rPr>
          <w:i/>
          <w:color w:val="0070C0"/>
        </w:rPr>
      </w:pPr>
      <w:r w:rsidRPr="00065FCC">
        <w:rPr>
          <w:b/>
          <w:color w:val="000000" w:themeColor="text1"/>
        </w:rPr>
        <w:t>Приходите</w:t>
      </w:r>
      <w:r w:rsidRPr="00065FCC">
        <w:rPr>
          <w:color w:val="000000" w:themeColor="text1"/>
        </w:rPr>
        <w:t xml:space="preserve"> по бюджетите на общините към 31.03.2024 г. са в размер </w:t>
      </w:r>
      <w:r w:rsidRPr="00A359BE">
        <w:rPr>
          <w:color w:val="000000" w:themeColor="text1"/>
        </w:rPr>
        <w:t xml:space="preserve">на 937,7 млн. лв., </w:t>
      </w:r>
      <w:r>
        <w:rPr>
          <w:color w:val="000000" w:themeColor="text1"/>
        </w:rPr>
        <w:t>което представлява 24,4 % от разчетените към ЗДБРБ за 2024</w:t>
      </w:r>
      <w:r w:rsidRPr="00996D8D">
        <w:rPr>
          <w:color w:val="000000" w:themeColor="text1"/>
        </w:rPr>
        <w:t xml:space="preserve"> г. постъпления в размер на </w:t>
      </w:r>
      <w:r w:rsidRPr="00996D8D">
        <w:rPr>
          <w:bCs/>
          <w:color w:val="000000" w:themeColor="text1"/>
        </w:rPr>
        <w:t xml:space="preserve">3 </w:t>
      </w:r>
      <w:r w:rsidRPr="00587800">
        <w:rPr>
          <w:bCs/>
          <w:color w:val="000000" w:themeColor="text1"/>
          <w:lang w:val="ru-RU"/>
        </w:rPr>
        <w:t>841</w:t>
      </w:r>
      <w:r>
        <w:rPr>
          <w:bCs/>
          <w:color w:val="000000" w:themeColor="text1"/>
        </w:rPr>
        <w:t>,5</w:t>
      </w:r>
      <w:r>
        <w:rPr>
          <w:color w:val="000000" w:themeColor="text1"/>
        </w:rPr>
        <w:t xml:space="preserve"> млн. лв. и с 31,5</w:t>
      </w:r>
      <w:r w:rsidRPr="00996D8D">
        <w:rPr>
          <w:color w:val="000000" w:themeColor="text1"/>
        </w:rPr>
        <w:t xml:space="preserve"> млн. лв.</w:t>
      </w:r>
      <w:r w:rsidRPr="00587800">
        <w:rPr>
          <w:color w:val="000000" w:themeColor="text1"/>
          <w:lang w:val="ru-RU"/>
        </w:rPr>
        <w:t xml:space="preserve"> </w:t>
      </w:r>
      <w:r>
        <w:rPr>
          <w:color w:val="000000" w:themeColor="text1"/>
        </w:rPr>
        <w:t xml:space="preserve">или с 3,5 % </w:t>
      </w:r>
      <w:r w:rsidRPr="00996D8D">
        <w:rPr>
          <w:color w:val="000000" w:themeColor="text1"/>
        </w:rPr>
        <w:t xml:space="preserve"> повече спрямо събраните</w:t>
      </w:r>
      <w:r>
        <w:rPr>
          <w:color w:val="000000" w:themeColor="text1"/>
        </w:rPr>
        <w:t xml:space="preserve"> за същия период на</w:t>
      </w:r>
      <w:r w:rsidRPr="00996D8D">
        <w:rPr>
          <w:color w:val="000000" w:themeColor="text1"/>
        </w:rPr>
        <w:t xml:space="preserve"> </w:t>
      </w:r>
      <w:r>
        <w:rPr>
          <w:color w:val="000000" w:themeColor="text1"/>
        </w:rPr>
        <w:t>2023</w:t>
      </w:r>
      <w:r w:rsidRPr="00996D8D">
        <w:rPr>
          <w:color w:val="000000" w:themeColor="text1"/>
        </w:rPr>
        <w:t> г.</w:t>
      </w:r>
      <w:r w:rsidRPr="004B7A23">
        <w:rPr>
          <w:color w:val="0070C0"/>
        </w:rPr>
        <w:t xml:space="preserve"> </w:t>
      </w:r>
      <w:r w:rsidRPr="00996D8D">
        <w:rPr>
          <w:i/>
          <w:color w:val="000000" w:themeColor="text1"/>
        </w:rPr>
        <w:t xml:space="preserve">Данъчните </w:t>
      </w:r>
      <w:r w:rsidRPr="00F349A4">
        <w:rPr>
          <w:i/>
          <w:color w:val="000000" w:themeColor="text1"/>
        </w:rPr>
        <w:t>приходи</w:t>
      </w:r>
      <w:r w:rsidRPr="00F349A4">
        <w:rPr>
          <w:color w:val="000000" w:themeColor="text1"/>
        </w:rPr>
        <w:t xml:space="preserve"> по общинск</w:t>
      </w:r>
      <w:r>
        <w:rPr>
          <w:color w:val="000000" w:themeColor="text1"/>
        </w:rPr>
        <w:t>ите бюджети са в размер на 448,3</w:t>
      </w:r>
      <w:r w:rsidRPr="00F349A4">
        <w:rPr>
          <w:color w:val="000000" w:themeColor="text1"/>
        </w:rPr>
        <w:t xml:space="preserve"> млн. лв. или </w:t>
      </w:r>
      <w:r w:rsidRPr="00587800">
        <w:rPr>
          <w:color w:val="000000" w:themeColor="text1"/>
          <w:lang w:val="ru-RU"/>
        </w:rPr>
        <w:t>27,9</w:t>
      </w:r>
      <w:r w:rsidRPr="00F349A4">
        <w:rPr>
          <w:color w:val="000000" w:themeColor="text1"/>
        </w:rPr>
        <w:t> %  от год</w:t>
      </w:r>
      <w:r>
        <w:rPr>
          <w:color w:val="000000" w:themeColor="text1"/>
        </w:rPr>
        <w:t>ишните разчети към ЗДБРБ за 2024 г. и с 10,6 % (42,8</w:t>
      </w:r>
      <w:r w:rsidRPr="00F349A4">
        <w:rPr>
          <w:color w:val="000000" w:themeColor="text1"/>
        </w:rPr>
        <w:t xml:space="preserve"> млн. лв.) повече спрямо тези за предходната година</w:t>
      </w:r>
      <w:r w:rsidRPr="00996D8D">
        <w:rPr>
          <w:color w:val="365F91" w:themeColor="accent1" w:themeShade="BF"/>
        </w:rPr>
        <w:t>.</w:t>
      </w:r>
      <w:r>
        <w:rPr>
          <w:color w:val="365F91" w:themeColor="accent1" w:themeShade="BF"/>
        </w:rPr>
        <w:t xml:space="preserve"> </w:t>
      </w:r>
      <w:r w:rsidRPr="00260537">
        <w:rPr>
          <w:i/>
          <w:color w:val="000000" w:themeColor="text1"/>
        </w:rPr>
        <w:t>Неданъчните приходи и помощите</w:t>
      </w:r>
      <w:r w:rsidRPr="00AB5C33">
        <w:rPr>
          <w:color w:val="000000" w:themeColor="text1"/>
        </w:rPr>
        <w:t xml:space="preserve"> възлизат на </w:t>
      </w:r>
      <w:r w:rsidRPr="00587800">
        <w:rPr>
          <w:color w:val="000000" w:themeColor="text1"/>
          <w:lang w:val="ru-RU"/>
        </w:rPr>
        <w:t>489</w:t>
      </w:r>
      <w:r w:rsidRPr="00AB5C33">
        <w:rPr>
          <w:color w:val="000000" w:themeColor="text1"/>
        </w:rPr>
        <w:t>,4 млн. лв</w:t>
      </w:r>
      <w:r>
        <w:rPr>
          <w:color w:val="0070C0"/>
        </w:rPr>
        <w:t xml:space="preserve">. </w:t>
      </w:r>
      <w:r w:rsidRPr="00CB3C97">
        <w:rPr>
          <w:color w:val="000000" w:themeColor="text1"/>
        </w:rPr>
        <w:t>или 21,9 % от разчетите и 11,3 млн. лв. по-малко спрямо първото тримесечие на предходната година</w:t>
      </w:r>
      <w:r>
        <w:rPr>
          <w:color w:val="000000" w:themeColor="text1"/>
        </w:rPr>
        <w:t xml:space="preserve">. </w:t>
      </w:r>
      <w:r w:rsidRPr="00DF6971">
        <w:rPr>
          <w:color w:val="000000" w:themeColor="text1"/>
        </w:rPr>
        <w:t>От имуществени данъци в общинските бюджети към 31.03.2024 г. са постъпили 442,8 млн. лв. или</w:t>
      </w:r>
      <w:r w:rsidRPr="00587800">
        <w:rPr>
          <w:color w:val="000000" w:themeColor="text1"/>
          <w:lang w:val="ru-RU"/>
        </w:rPr>
        <w:t xml:space="preserve"> 28,1 % </w:t>
      </w:r>
      <w:r w:rsidRPr="00DF6971">
        <w:rPr>
          <w:color w:val="000000" w:themeColor="text1"/>
        </w:rPr>
        <w:t>от годишния разчет и с 42,0 млн. лв.</w:t>
      </w:r>
      <w:r w:rsidRPr="00587800">
        <w:rPr>
          <w:color w:val="000000" w:themeColor="text1"/>
          <w:lang w:val="ru-RU"/>
        </w:rPr>
        <w:t xml:space="preserve"> (10,5 %)</w:t>
      </w:r>
      <w:r w:rsidRPr="00DF6971">
        <w:rPr>
          <w:color w:val="000000" w:themeColor="text1"/>
        </w:rPr>
        <w:t xml:space="preserve"> повече спрямо същия период от миналата година. С най-значителен дял в приходите от имуществени данъци е данъкът върху превозните средства – 38,1</w:t>
      </w:r>
      <w:r w:rsidRPr="00587800">
        <w:rPr>
          <w:color w:val="000000" w:themeColor="text1"/>
          <w:lang w:val="ru-RU"/>
        </w:rPr>
        <w:t xml:space="preserve"> </w:t>
      </w:r>
      <w:r w:rsidRPr="00DF6971">
        <w:rPr>
          <w:color w:val="000000" w:themeColor="text1"/>
        </w:rPr>
        <w:t>%</w:t>
      </w:r>
      <w:r w:rsidRPr="00587800">
        <w:rPr>
          <w:color w:val="000000" w:themeColor="text1"/>
          <w:lang w:val="ru-RU"/>
        </w:rPr>
        <w:t xml:space="preserve">, </w:t>
      </w:r>
      <w:r w:rsidRPr="00DF6971">
        <w:rPr>
          <w:color w:val="000000" w:themeColor="text1"/>
        </w:rPr>
        <w:t>следват данъкът върху недвижимите имоти – 31,9</w:t>
      </w:r>
      <w:r w:rsidRPr="00DF6971">
        <w:rPr>
          <w:color w:val="000000" w:themeColor="text1"/>
          <w:lang w:val="en-US"/>
        </w:rPr>
        <w:t> </w:t>
      </w:r>
      <w:r w:rsidRPr="00DF6971">
        <w:rPr>
          <w:color w:val="000000" w:themeColor="text1"/>
        </w:rPr>
        <w:t xml:space="preserve">%, данъкът върху придобиването на имущество по дарения и </w:t>
      </w:r>
      <w:r w:rsidRPr="00B1094D">
        <w:rPr>
          <w:color w:val="000000" w:themeColor="text1"/>
        </w:rPr>
        <w:t>възмезден начин – 28,9</w:t>
      </w:r>
      <w:r w:rsidRPr="00587800">
        <w:rPr>
          <w:color w:val="000000" w:themeColor="text1"/>
          <w:lang w:val="ru-RU"/>
        </w:rPr>
        <w:t xml:space="preserve"> </w:t>
      </w:r>
      <w:r w:rsidRPr="00B1094D">
        <w:rPr>
          <w:color w:val="000000" w:themeColor="text1"/>
        </w:rPr>
        <w:t>% и туристическият данък – 1,0</w:t>
      </w:r>
      <w:r w:rsidRPr="00587800">
        <w:rPr>
          <w:color w:val="000000" w:themeColor="text1"/>
          <w:lang w:val="ru-RU"/>
        </w:rPr>
        <w:t xml:space="preserve"> </w:t>
      </w:r>
      <w:r w:rsidRPr="00B1094D">
        <w:rPr>
          <w:color w:val="000000" w:themeColor="text1"/>
        </w:rPr>
        <w:t>%. Към 31.03.2024 г. по бюджетите на общините са постъпили 5,5 млн. лв. от патентен данък и данък върху таксиметров превоз на пътници.</w:t>
      </w:r>
    </w:p>
    <w:p w:rsidR="006B21C9" w:rsidRPr="004B7A23" w:rsidRDefault="006B21C9" w:rsidP="006B21C9">
      <w:pPr>
        <w:tabs>
          <w:tab w:val="center" w:pos="4153"/>
          <w:tab w:val="right" w:pos="8306"/>
        </w:tabs>
        <w:ind w:firstLine="567"/>
        <w:jc w:val="both"/>
        <w:rPr>
          <w:color w:val="0070C0"/>
        </w:rPr>
      </w:pPr>
      <w:r w:rsidRPr="00B1094D">
        <w:rPr>
          <w:color w:val="000000" w:themeColor="text1"/>
        </w:rPr>
        <w:t>Общият размер на </w:t>
      </w:r>
      <w:r w:rsidRPr="00B1094D">
        <w:rPr>
          <w:i/>
          <w:color w:val="000000" w:themeColor="text1"/>
        </w:rPr>
        <w:t>неданъчните приходи</w:t>
      </w:r>
      <w:r w:rsidRPr="00B1094D">
        <w:rPr>
          <w:color w:val="000000" w:themeColor="text1"/>
        </w:rPr>
        <w:t xml:space="preserve"> по местните бюджети към 31 март 2024 г. е </w:t>
      </w:r>
      <w:r w:rsidRPr="00B1094D">
        <w:rPr>
          <w:color w:val="000000" w:themeColor="text1"/>
          <w:lang w:val="ru-RU"/>
        </w:rPr>
        <w:t>484,5 </w:t>
      </w:r>
      <w:r w:rsidRPr="00B1094D">
        <w:rPr>
          <w:color w:val="000000" w:themeColor="text1"/>
        </w:rPr>
        <w:t>млн. лв. Най-голям относителен дял в тях заемат приходите от общински такси (320,2 млн. лв.) или 66,1</w:t>
      </w:r>
      <w:r w:rsidRPr="00587800">
        <w:rPr>
          <w:color w:val="000000" w:themeColor="text1"/>
          <w:lang w:val="ru-RU"/>
        </w:rPr>
        <w:t xml:space="preserve"> </w:t>
      </w:r>
      <w:r w:rsidRPr="00B1094D">
        <w:rPr>
          <w:color w:val="000000" w:themeColor="text1"/>
        </w:rPr>
        <w:t>%, следват приходите и доходите от собственост (89,2 млн. лв.) – 18,4</w:t>
      </w:r>
      <w:r w:rsidRPr="00B1094D">
        <w:rPr>
          <w:color w:val="000000" w:themeColor="text1"/>
          <w:lang w:val="en-US"/>
        </w:rPr>
        <w:t> </w:t>
      </w:r>
      <w:r w:rsidRPr="00B1094D">
        <w:rPr>
          <w:color w:val="000000" w:themeColor="text1"/>
        </w:rPr>
        <w:t>%, приходите от концесии (29,8 млн. лв.) 6,2 %, постъпленията от продажба на нефинансови активи (28,5 млн. лв.) – 5,9</w:t>
      </w:r>
      <w:r w:rsidRPr="00587800">
        <w:rPr>
          <w:color w:val="000000" w:themeColor="text1"/>
          <w:lang w:val="ru-RU"/>
        </w:rPr>
        <w:t xml:space="preserve"> </w:t>
      </w:r>
      <w:r>
        <w:rPr>
          <w:color w:val="000000" w:themeColor="text1"/>
        </w:rPr>
        <w:t>%</w:t>
      </w:r>
      <w:r w:rsidRPr="00B1094D">
        <w:rPr>
          <w:color w:val="000000" w:themeColor="text1"/>
        </w:rPr>
        <w:t xml:space="preserve"> и постъпленията от глоби, санкции и наказателни лихви (22,2</w:t>
      </w:r>
      <w:r w:rsidRPr="00B1094D">
        <w:rPr>
          <w:color w:val="000000" w:themeColor="text1"/>
          <w:lang w:val="en-US"/>
        </w:rPr>
        <w:t> </w:t>
      </w:r>
      <w:r w:rsidRPr="00B1094D">
        <w:rPr>
          <w:color w:val="000000" w:themeColor="text1"/>
        </w:rPr>
        <w:t>млн. лв.) – 4,6</w:t>
      </w:r>
      <w:r w:rsidRPr="00587800">
        <w:rPr>
          <w:color w:val="000000" w:themeColor="text1"/>
          <w:lang w:val="ru-RU"/>
        </w:rPr>
        <w:t xml:space="preserve"> </w:t>
      </w:r>
      <w:r w:rsidRPr="00B1094D">
        <w:rPr>
          <w:color w:val="000000" w:themeColor="text1"/>
        </w:rPr>
        <w:t xml:space="preserve">%. </w:t>
      </w:r>
      <w:r w:rsidRPr="00260537">
        <w:rPr>
          <w:color w:val="000000" w:themeColor="text1"/>
        </w:rPr>
        <w:t>Съпоставени с първото тримесечие на 2023 г. постъпленията от неданъчни приходи са с 11,9 млн. лв.</w:t>
      </w:r>
      <w:r w:rsidRPr="00587800">
        <w:rPr>
          <w:color w:val="000000" w:themeColor="text1"/>
          <w:lang w:val="ru-RU"/>
        </w:rPr>
        <w:t xml:space="preserve"> </w:t>
      </w:r>
      <w:r w:rsidRPr="00260537">
        <w:rPr>
          <w:color w:val="000000" w:themeColor="text1"/>
        </w:rPr>
        <w:t>по-малко, като намалението се дължи на спад в постъпленията от продажба на нефинансови активи, които имат еднократен характер</w:t>
      </w:r>
      <w:r>
        <w:rPr>
          <w:color w:val="000000" w:themeColor="text1"/>
        </w:rPr>
        <w:t>.</w:t>
      </w:r>
    </w:p>
    <w:p w:rsidR="006B21C9" w:rsidRPr="004B7A23" w:rsidRDefault="006B21C9" w:rsidP="006B21C9">
      <w:pPr>
        <w:tabs>
          <w:tab w:val="center" w:pos="4153"/>
          <w:tab w:val="right" w:pos="8306"/>
        </w:tabs>
        <w:ind w:firstLine="567"/>
        <w:jc w:val="both"/>
        <w:rPr>
          <w:color w:val="0070C0"/>
          <w:lang w:eastAsia="bg-BG"/>
        </w:rPr>
      </w:pPr>
      <w:r w:rsidRPr="004B7A23">
        <w:rPr>
          <w:color w:val="0070C0"/>
        </w:rPr>
        <w:tab/>
      </w:r>
      <w:r w:rsidRPr="00FA0887">
        <w:rPr>
          <w:color w:val="000000" w:themeColor="text1"/>
        </w:rPr>
        <w:t>Към 31.03.2024 г. по общинските бюджети са постъпили 4,8 млн. лв. приходи от помощи и дарения, които са с 1,7 %  повече от размера им през същия период на миналата година.</w:t>
      </w:r>
      <w:r w:rsidRPr="00FA0887">
        <w:rPr>
          <w:color w:val="000000" w:themeColor="text1"/>
          <w:lang w:eastAsia="bg-BG"/>
        </w:rPr>
        <w:t xml:space="preserve"> </w:t>
      </w:r>
    </w:p>
    <w:p w:rsidR="006B21C9" w:rsidRPr="00FA0887" w:rsidRDefault="006B21C9" w:rsidP="006B21C9">
      <w:pPr>
        <w:numPr>
          <w:ilvl w:val="0"/>
          <w:numId w:val="27"/>
        </w:numPr>
        <w:tabs>
          <w:tab w:val="left" w:pos="851"/>
        </w:tabs>
        <w:spacing w:before="240" w:line="276" w:lineRule="auto"/>
        <w:ind w:left="533" w:firstLine="34"/>
        <w:jc w:val="both"/>
        <w:rPr>
          <w:b/>
          <w:color w:val="000000" w:themeColor="text1"/>
        </w:rPr>
      </w:pPr>
      <w:r w:rsidRPr="00FA0887">
        <w:rPr>
          <w:b/>
          <w:color w:val="000000" w:themeColor="text1"/>
        </w:rPr>
        <w:t>Разходи</w:t>
      </w:r>
    </w:p>
    <w:p w:rsidR="006B21C9" w:rsidRPr="00CC4826" w:rsidRDefault="008549B5" w:rsidP="006B21C9">
      <w:pPr>
        <w:ind w:firstLine="533"/>
        <w:jc w:val="both"/>
      </w:pPr>
      <w:r>
        <w:rPr>
          <w:color w:val="000000" w:themeColor="text1"/>
        </w:rPr>
        <w:t>Към 31.03.</w:t>
      </w:r>
      <w:r w:rsidR="006B21C9">
        <w:rPr>
          <w:color w:val="000000" w:themeColor="text1"/>
        </w:rPr>
        <w:t>2024</w:t>
      </w:r>
      <w:r w:rsidR="006B21C9" w:rsidRPr="00FA0887">
        <w:rPr>
          <w:color w:val="000000" w:themeColor="text1"/>
        </w:rPr>
        <w:t xml:space="preserve"> г. общините са отчели общо </w:t>
      </w:r>
      <w:r w:rsidR="006B21C9" w:rsidRPr="00A359BE">
        <w:rPr>
          <w:b/>
          <w:color w:val="000000" w:themeColor="text1"/>
        </w:rPr>
        <w:t>разходи</w:t>
      </w:r>
      <w:r w:rsidR="006B21C9" w:rsidRPr="00FA0887">
        <w:rPr>
          <w:color w:val="000000" w:themeColor="text1"/>
        </w:rPr>
        <w:t xml:space="preserve"> в размер на </w:t>
      </w:r>
      <w:r w:rsidR="00A562E6" w:rsidRPr="0034493D">
        <w:rPr>
          <w:color w:val="000000" w:themeColor="text1"/>
        </w:rPr>
        <w:t>2 753,6</w:t>
      </w:r>
      <w:r w:rsidR="006B21C9" w:rsidRPr="00FA0887">
        <w:rPr>
          <w:color w:val="000000" w:themeColor="text1"/>
        </w:rPr>
        <w:t xml:space="preserve"> млн. лв., включително за сметка на предоставени допълнителни трансфери главно от държа</w:t>
      </w:r>
      <w:r w:rsidR="006B21C9">
        <w:rPr>
          <w:color w:val="000000" w:themeColor="text1"/>
        </w:rPr>
        <w:t>вния бюджет, и представляват 27,5 % от</w:t>
      </w:r>
      <w:r w:rsidR="006B21C9" w:rsidRPr="00FA0887">
        <w:rPr>
          <w:color w:val="000000" w:themeColor="text1"/>
        </w:rPr>
        <w:t xml:space="preserve"> раз</w:t>
      </w:r>
      <w:r w:rsidR="006B21C9">
        <w:rPr>
          <w:color w:val="000000" w:themeColor="text1"/>
        </w:rPr>
        <w:t>четите по ЗДБРБ за 2024 г. и</w:t>
      </w:r>
      <w:r w:rsidR="006B21C9" w:rsidRPr="00587800">
        <w:rPr>
          <w:color w:val="000000" w:themeColor="text1"/>
          <w:lang w:val="ru-RU"/>
        </w:rPr>
        <w:t xml:space="preserve"> </w:t>
      </w:r>
      <w:r w:rsidR="006B21C9">
        <w:rPr>
          <w:color w:val="000000" w:themeColor="text1"/>
        </w:rPr>
        <w:t>с 20</w:t>
      </w:r>
      <w:r w:rsidR="006B21C9" w:rsidRPr="00587800">
        <w:rPr>
          <w:color w:val="000000" w:themeColor="text1"/>
          <w:lang w:val="ru-RU"/>
        </w:rPr>
        <w:t xml:space="preserve">,3 % (464,3 </w:t>
      </w:r>
      <w:r w:rsidR="006B21C9">
        <w:rPr>
          <w:color w:val="000000" w:themeColor="text1"/>
        </w:rPr>
        <w:t>млн. лв.</w:t>
      </w:r>
      <w:r w:rsidR="006B21C9" w:rsidRPr="00587800">
        <w:rPr>
          <w:color w:val="000000" w:themeColor="text1"/>
          <w:lang w:val="ru-RU"/>
        </w:rPr>
        <w:t>)</w:t>
      </w:r>
      <w:r w:rsidR="006B21C9">
        <w:rPr>
          <w:color w:val="000000" w:themeColor="text1"/>
        </w:rPr>
        <w:t xml:space="preserve"> повече от същия период на миналата година</w:t>
      </w:r>
      <w:r w:rsidR="006B21C9" w:rsidRPr="00587800">
        <w:rPr>
          <w:color w:val="000000" w:themeColor="text1"/>
          <w:lang w:val="ru-RU"/>
        </w:rPr>
        <w:t xml:space="preserve">. </w:t>
      </w:r>
      <w:r w:rsidR="006B21C9" w:rsidRPr="00A359BE">
        <w:rPr>
          <w:i/>
          <w:color w:val="000000" w:themeColor="text1"/>
        </w:rPr>
        <w:t>Нелихвените разходи</w:t>
      </w:r>
      <w:r w:rsidR="006B21C9" w:rsidRPr="00A359BE">
        <w:rPr>
          <w:color w:val="000000" w:themeColor="text1"/>
        </w:rPr>
        <w:t xml:space="preserve"> възлизат </w:t>
      </w:r>
      <w:r w:rsidR="006B21C9" w:rsidRPr="005C7453">
        <w:rPr>
          <w:color w:val="000000" w:themeColor="text1"/>
        </w:rPr>
        <w:t xml:space="preserve">на </w:t>
      </w:r>
      <w:r w:rsidR="006B21C9" w:rsidRPr="005C7453">
        <w:rPr>
          <w:color w:val="000000" w:themeColor="text1"/>
          <w:lang w:eastAsia="bg-BG"/>
        </w:rPr>
        <w:t>2 738,9</w:t>
      </w:r>
      <w:r w:rsidR="006B21C9" w:rsidRPr="00587800">
        <w:rPr>
          <w:color w:val="000000" w:themeColor="text1"/>
          <w:lang w:val="ru-RU" w:eastAsia="bg-BG"/>
        </w:rPr>
        <w:t xml:space="preserve"> </w:t>
      </w:r>
      <w:r w:rsidR="006B21C9" w:rsidRPr="005C7453">
        <w:rPr>
          <w:color w:val="000000" w:themeColor="text1"/>
        </w:rPr>
        <w:t>млн. лв.</w:t>
      </w:r>
      <w:r w:rsidR="006B21C9" w:rsidRPr="005C7453">
        <w:rPr>
          <w:color w:val="000000" w:themeColor="text1"/>
          <w:lang w:val="ru-RU"/>
        </w:rPr>
        <w:t xml:space="preserve"> С най-голям относителен дял са</w:t>
      </w:r>
      <w:r w:rsidR="006B21C9" w:rsidRPr="005C7453">
        <w:rPr>
          <w:color w:val="000000" w:themeColor="text1"/>
        </w:rPr>
        <w:t xml:space="preserve"> разходите за персонал (</w:t>
      </w:r>
      <w:r w:rsidR="006B21C9" w:rsidRPr="005C7453">
        <w:rPr>
          <w:bCs/>
          <w:color w:val="000000" w:themeColor="text1"/>
        </w:rPr>
        <w:t>заплати и възнаграждения, други възнаграждения и плащания за персонала и осигурителни вноски), които</w:t>
      </w:r>
      <w:r w:rsidR="006B21C9" w:rsidRPr="005C7453">
        <w:rPr>
          <w:color w:val="000000" w:themeColor="text1"/>
        </w:rPr>
        <w:t xml:space="preserve"> са в размер на </w:t>
      </w:r>
      <w:r w:rsidR="006B21C9" w:rsidRPr="005C7453">
        <w:rPr>
          <w:color w:val="000000" w:themeColor="text1"/>
          <w:lang w:val="ru-RU"/>
        </w:rPr>
        <w:t>1</w:t>
      </w:r>
      <w:r w:rsidR="006B21C9" w:rsidRPr="005C7453">
        <w:rPr>
          <w:color w:val="000000" w:themeColor="text1"/>
        </w:rPr>
        <w:t> </w:t>
      </w:r>
      <w:r w:rsidR="006B21C9" w:rsidRPr="005C7453">
        <w:rPr>
          <w:color w:val="000000" w:themeColor="text1"/>
          <w:lang w:val="ru-RU"/>
        </w:rPr>
        <w:t>640</w:t>
      </w:r>
      <w:r w:rsidR="006B21C9" w:rsidRPr="005C7453">
        <w:rPr>
          <w:color w:val="000000" w:themeColor="text1"/>
        </w:rPr>
        <w:t xml:space="preserve">,7 млн. лв. – 59,6 %, следвани от  разходите за издръжка </w:t>
      </w:r>
      <w:r w:rsidR="006B21C9" w:rsidRPr="005C7453">
        <w:rPr>
          <w:bCs/>
          <w:color w:val="000000" w:themeColor="text1"/>
        </w:rPr>
        <w:t>(вкл. разходи за членски внос и участие в нетърговски организации и дейности, платени данъци, такси и административни санкции), които</w:t>
      </w:r>
      <w:r w:rsidR="006B21C9" w:rsidRPr="005C7453">
        <w:rPr>
          <w:color w:val="000000" w:themeColor="text1"/>
        </w:rPr>
        <w:t xml:space="preserve"> са в размер на</w:t>
      </w:r>
      <w:r w:rsidR="006B21C9" w:rsidRPr="005C7453">
        <w:rPr>
          <w:color w:val="000000" w:themeColor="text1"/>
          <w:lang w:val="ru-RU"/>
        </w:rPr>
        <w:t xml:space="preserve"> 630</w:t>
      </w:r>
      <w:r w:rsidR="006B21C9" w:rsidRPr="005C7453">
        <w:rPr>
          <w:color w:val="000000" w:themeColor="text1"/>
        </w:rPr>
        <w:t>,6</w:t>
      </w:r>
      <w:r w:rsidR="006B21C9">
        <w:rPr>
          <w:color w:val="000000" w:themeColor="text1"/>
        </w:rPr>
        <w:t xml:space="preserve"> млн. лв. – 23,0</w:t>
      </w:r>
      <w:r w:rsidR="006B21C9" w:rsidRPr="005C7453">
        <w:rPr>
          <w:color w:val="000000" w:themeColor="text1"/>
          <w:lang w:val="en-US"/>
        </w:rPr>
        <w:t> </w:t>
      </w:r>
      <w:r w:rsidR="006B21C9" w:rsidRPr="005C7453">
        <w:t xml:space="preserve">%. Разходите за субсидии възлизат на 129,6 млн. лв. </w:t>
      </w:r>
      <w:r w:rsidR="006B21C9" w:rsidRPr="005C7453">
        <w:rPr>
          <w:lang w:eastAsia="bg-BG"/>
        </w:rPr>
        <w:t>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субсидии по реда на Закона за физкултурата и спорта за подпомагане дейността на спортните клубове в общините</w:t>
      </w:r>
      <w:r w:rsidR="006B21C9" w:rsidRPr="005C7453">
        <w:rPr>
          <w:lang w:val="ru-RU" w:eastAsia="bg-BG"/>
        </w:rPr>
        <w:t xml:space="preserve"> (</w:t>
      </w:r>
      <w:r w:rsidR="006B21C9" w:rsidRPr="005C7453">
        <w:rPr>
          <w:lang w:eastAsia="bg-BG"/>
        </w:rPr>
        <w:t>отчитат се в местните дейности</w:t>
      </w:r>
      <w:r w:rsidR="006B21C9" w:rsidRPr="005C7453">
        <w:rPr>
          <w:lang w:val="ru-RU" w:eastAsia="bg-BG"/>
        </w:rPr>
        <w:t>)</w:t>
      </w:r>
      <w:r w:rsidR="006B21C9" w:rsidRPr="005C7453">
        <w:rPr>
          <w:lang w:eastAsia="bg-BG"/>
        </w:rPr>
        <w:t>.</w:t>
      </w:r>
      <w:r w:rsidR="006B21C9" w:rsidRPr="005C7453">
        <w:t xml:space="preserve"> </w:t>
      </w:r>
      <w:r w:rsidR="006B21C9" w:rsidRPr="005C7453">
        <w:rPr>
          <w:bCs/>
        </w:rPr>
        <w:t>Социалните разходи (</w:t>
      </w:r>
      <w:r w:rsidR="006B21C9" w:rsidRPr="005C7453">
        <w:t xml:space="preserve">текущи трансфери, обезщетения и помощи за домакинствата, </w:t>
      </w:r>
      <w:r w:rsidR="006B21C9" w:rsidRPr="005C7453">
        <w:rPr>
          <w:bCs/>
        </w:rPr>
        <w:t>вкл. разходите за стипендии)</w:t>
      </w:r>
      <w:r w:rsidR="006B21C9" w:rsidRPr="005C7453">
        <w:t xml:space="preserve"> са в размер на </w:t>
      </w:r>
      <w:r w:rsidR="006B21C9" w:rsidRPr="00587800">
        <w:rPr>
          <w:lang w:val="ru-RU"/>
        </w:rPr>
        <w:t>79</w:t>
      </w:r>
      <w:r w:rsidR="006B21C9" w:rsidRPr="005C7453">
        <w:t>,7 </w:t>
      </w:r>
      <w:r w:rsidR="006B21C9" w:rsidRPr="00CC4826">
        <w:t>млн. лева.</w:t>
      </w:r>
    </w:p>
    <w:p w:rsidR="006B21C9" w:rsidRPr="004B7A23" w:rsidRDefault="006B21C9" w:rsidP="006B21C9">
      <w:pPr>
        <w:widowControl w:val="0"/>
        <w:tabs>
          <w:tab w:val="center" w:pos="4153"/>
          <w:tab w:val="right" w:pos="8306"/>
        </w:tabs>
        <w:ind w:firstLine="567"/>
        <w:jc w:val="both"/>
        <w:rPr>
          <w:color w:val="0070C0"/>
        </w:rPr>
      </w:pPr>
      <w:r w:rsidRPr="00CC4826">
        <w:t>Капиталовите разходи са в размер на 256,9 млн. лв., което е с 48,5 млн. лв. (или с 23,2</w:t>
      </w:r>
      <w:r w:rsidRPr="00CC4826">
        <w:rPr>
          <w:lang w:val="en-US"/>
        </w:rPr>
        <w:t> </w:t>
      </w:r>
      <w:r w:rsidRPr="00CC4826">
        <w:t>%) повече от същия период на миналата година. От общия обем на направените капиталови разходи най-съществен дял. 53,9</w:t>
      </w:r>
      <w:r w:rsidRPr="00587800">
        <w:rPr>
          <w:lang w:val="ru-RU"/>
        </w:rPr>
        <w:t xml:space="preserve"> </w:t>
      </w:r>
      <w:r w:rsidRPr="00CC4826">
        <w:t>% заемат разходите за основен ремонт (138,4 млн. лв.) и за придобиване на ДМА (43,4</w:t>
      </w:r>
      <w:r w:rsidRPr="00587800">
        <w:rPr>
          <w:lang w:val="ru-RU"/>
        </w:rPr>
        <w:t xml:space="preserve"> </w:t>
      </w:r>
      <w:r w:rsidRPr="00CC4826">
        <w:t>% дял, 111,5 млн. лева).</w:t>
      </w:r>
    </w:p>
    <w:p w:rsidR="006B21C9" w:rsidRPr="002232CC" w:rsidRDefault="006B21C9" w:rsidP="006B21C9">
      <w:pPr>
        <w:widowControl w:val="0"/>
        <w:tabs>
          <w:tab w:val="center" w:pos="4153"/>
          <w:tab w:val="right" w:pos="8306"/>
        </w:tabs>
        <w:ind w:firstLine="567"/>
        <w:jc w:val="both"/>
        <w:rPr>
          <w:color w:val="0070C0"/>
        </w:rPr>
      </w:pPr>
      <w:r w:rsidRPr="00CC4826">
        <w:rPr>
          <w:i/>
        </w:rPr>
        <w:t xml:space="preserve">Разходите за лихви към </w:t>
      </w:r>
      <w:r w:rsidR="00203D9B">
        <w:t>31.03.</w:t>
      </w:r>
      <w:r w:rsidRPr="00CC4826">
        <w:t>2024 г. възлизат на 14,7 млн. лв. Към същия период на 2023</w:t>
      </w:r>
      <w:r w:rsidRPr="00CC4826">
        <w:rPr>
          <w:lang w:val="en-US"/>
        </w:rPr>
        <w:t> </w:t>
      </w:r>
      <w:r w:rsidRPr="00CC4826">
        <w:t xml:space="preserve">г. те са били 8,7 млн. лв. или с 6,0 млн. лв. по-малко. Лихвените плащания за първото тримесечие на тази година по заеми от чужбина са </w:t>
      </w:r>
      <w:r w:rsidRPr="002232CC">
        <w:t xml:space="preserve">в размер на 3,9 млн. лв. (с 0,7 млн. лв. повече в сравнение със същия период на миналата година). По облигационни заеми платените лихви са 0,5 млн. лв., а по други вътрешни заеми към местни лица (банкови кредити, заеми към „ФЛАГ“ ЕАД и към др. местни лица) са 7,9 млн. лв., като при тях е най-голямото увеличение спрямо 2023 г. </w:t>
      </w:r>
      <w:r w:rsidRPr="00587800">
        <w:rPr>
          <w:lang w:val="ru-RU"/>
        </w:rPr>
        <w:t>(</w:t>
      </w:r>
      <w:r w:rsidRPr="002232CC">
        <w:t>към 31.03. 2023 г. те са били 4,2 млн. лв.</w:t>
      </w:r>
      <w:r w:rsidRPr="00587800">
        <w:rPr>
          <w:lang w:val="ru-RU"/>
        </w:rPr>
        <w:t>).</w:t>
      </w:r>
      <w:r w:rsidRPr="002232CC">
        <w:t xml:space="preserve"> Отчетените др. лихвени плащания са в размер на 2,4 млн. лв. </w:t>
      </w:r>
      <w:r w:rsidRPr="00587800">
        <w:rPr>
          <w:lang w:val="ru-RU"/>
        </w:rPr>
        <w:t xml:space="preserve">– </w:t>
      </w:r>
      <w:r w:rsidRPr="002232CC">
        <w:t>с 1,4 млн. лв. повече спрямо същия период на миналата година.</w:t>
      </w:r>
    </w:p>
    <w:p w:rsidR="006B21C9" w:rsidRPr="004B7A23" w:rsidRDefault="006B21C9" w:rsidP="006B21C9">
      <w:pPr>
        <w:tabs>
          <w:tab w:val="center" w:pos="4153"/>
          <w:tab w:val="right" w:pos="8306"/>
        </w:tabs>
        <w:ind w:firstLine="567"/>
        <w:jc w:val="both"/>
        <w:rPr>
          <w:rFonts w:eastAsia="Calibri"/>
          <w:color w:val="0070C0"/>
          <w:sz w:val="8"/>
        </w:rPr>
      </w:pPr>
      <w:r w:rsidRPr="004B7A23">
        <w:rPr>
          <w:color w:val="0070C0"/>
          <w:lang w:eastAsia="bg-BG"/>
        </w:rPr>
        <w:tab/>
      </w:r>
    </w:p>
    <w:p w:rsidR="006B21C9" w:rsidRPr="00F61EE3" w:rsidRDefault="006B21C9" w:rsidP="006B21C9">
      <w:pPr>
        <w:numPr>
          <w:ilvl w:val="0"/>
          <w:numId w:val="27"/>
        </w:numPr>
        <w:tabs>
          <w:tab w:val="left" w:pos="851"/>
        </w:tabs>
        <w:spacing w:before="240" w:line="276" w:lineRule="auto"/>
        <w:ind w:left="533" w:firstLine="34"/>
        <w:jc w:val="both"/>
        <w:rPr>
          <w:b/>
        </w:rPr>
      </w:pPr>
      <w:r w:rsidRPr="00F61EE3">
        <w:rPr>
          <w:b/>
        </w:rPr>
        <w:t>Финансиране</w:t>
      </w:r>
    </w:p>
    <w:p w:rsidR="006B21C9" w:rsidRPr="00F61EE3" w:rsidRDefault="006B21C9" w:rsidP="006B21C9">
      <w:pPr>
        <w:ind w:firstLine="567"/>
        <w:jc w:val="both"/>
      </w:pPr>
      <w:r w:rsidRPr="00F61EE3">
        <w:t xml:space="preserve">От началото на годината до 31.03.2024 г. по общинските бюджети не са получавани заемни средства от договори с чуждестранни кредитори. </w:t>
      </w:r>
    </w:p>
    <w:p w:rsidR="006B21C9" w:rsidRPr="00F61EE3" w:rsidRDefault="006B21C9" w:rsidP="006B21C9">
      <w:pPr>
        <w:ind w:firstLine="567"/>
        <w:jc w:val="both"/>
      </w:pPr>
      <w:r w:rsidRPr="00F61EE3">
        <w:t xml:space="preserve">Изплатените главници от общинските бюджети по външните заеми за същия период са в размер на 7,9 млн. лв. (от Столична община са 7,8 млн. лв. а от община Ловеч са 0,1 млн. лв.). </w:t>
      </w:r>
    </w:p>
    <w:p w:rsidR="006B21C9" w:rsidRPr="00F61EE3" w:rsidRDefault="006B21C9" w:rsidP="006B21C9">
      <w:pPr>
        <w:ind w:firstLine="567"/>
        <w:jc w:val="both"/>
      </w:pPr>
      <w:r w:rsidRPr="00F61EE3">
        <w:t>За отчетния период получените заемни средства от банки в страната са в размер на 17,2 млн. лв., а от други местни лица са 7,6 млн. лв. („ФЛАГ“ ЕАД) или общо получените заемни средства са 24,8 млн. лв. Изплатените главници по банкови заеми от страната са 28,9 млн. лв., а по заеми от др. лица са 38,3 млн. лв. (в т.ч. 36,2 млн. лв. към „ФЛАГ“ ЕАД) или общо платените главници са в размер на 67,2 млн. лв. Погашенията за периода по заемите от страната е по-голям от</w:t>
      </w:r>
      <w:r w:rsidR="00557038">
        <w:t> </w:t>
      </w:r>
      <w:r w:rsidRPr="00F61EE3">
        <w:t>получените средства, поради което нетният размер на операциите по тези заеми е</w:t>
      </w:r>
      <w:r w:rsidR="00557038">
        <w:t xml:space="preserve"> </w:t>
      </w:r>
      <w:r w:rsidRPr="00F61EE3">
        <w:t>отрицателен</w:t>
      </w:r>
      <w:r w:rsidR="00557038">
        <w:t> </w:t>
      </w:r>
      <w:r w:rsidRPr="00F61EE3">
        <w:t xml:space="preserve">(-42,4) млн. лв. За същия период на 2023 г. получените заемни средства от банки в страната и др. местни лица са били повече от погашенията т.е. имало е положителен нетен размер по тези заеми (6,3 млн. лв.). </w:t>
      </w:r>
    </w:p>
    <w:p w:rsidR="006B21C9" w:rsidRPr="00F61EE3" w:rsidRDefault="006B21C9" w:rsidP="006B21C9">
      <w:pPr>
        <w:ind w:firstLine="567"/>
        <w:jc w:val="both"/>
      </w:pPr>
      <w:r w:rsidRPr="00F61EE3">
        <w:t xml:space="preserve">Погашенията по емитирани през предходни периоди общински ценни книжа са в размер на 1,8 млн. лв. и са отчетени от 4 общини. За отчетния период няма емитиран нов дълг. </w:t>
      </w:r>
    </w:p>
    <w:p w:rsidR="006B21C9" w:rsidRPr="00F61EE3" w:rsidRDefault="006B21C9" w:rsidP="006B21C9">
      <w:pPr>
        <w:ind w:firstLine="567"/>
        <w:jc w:val="both"/>
      </w:pPr>
      <w:r w:rsidRPr="00F61EE3">
        <w:t xml:space="preserve">Другото финансиране /нето/ по общинските бюджети към 31.03.2024 г. е 88,1 млн. лв., като съществена част от него представляват отчетените операции по Закона за управление на отпадъците. Нетният размер за периода на задълженията и погашенията по финансов лизинг и търговски кредити, като форми на дълг, е в размер на (-0,2) млн. лв. </w:t>
      </w:r>
    </w:p>
    <w:p w:rsidR="006B21C9" w:rsidRPr="00F61EE3" w:rsidRDefault="006B21C9" w:rsidP="006B21C9">
      <w:pPr>
        <w:ind w:firstLine="567"/>
        <w:jc w:val="both"/>
      </w:pPr>
      <w:r w:rsidRPr="00F61EE3">
        <w:t>Нетният размер на събраните средства и извършени плащания от общините за сметка на други бюджети, сметки и фондове е в размер на (-17,5) млн. лв.</w:t>
      </w:r>
    </w:p>
    <w:p w:rsidR="006B21C9" w:rsidRPr="00F61EE3" w:rsidRDefault="006B21C9" w:rsidP="006B21C9">
      <w:pPr>
        <w:ind w:firstLine="567"/>
        <w:jc w:val="both"/>
      </w:pPr>
      <w:r w:rsidRPr="00F61EE3">
        <w:t xml:space="preserve">Към 31.03.2024 г. отчетеният от общините нетен размер на операциите по придобиване на дялове, акции и съучастия е в размер на (-0,8) млн. лв. </w:t>
      </w:r>
    </w:p>
    <w:p w:rsidR="006B21C9" w:rsidRPr="00F61EE3" w:rsidRDefault="006B21C9" w:rsidP="006B21C9">
      <w:pPr>
        <w:ind w:firstLine="567"/>
        <w:jc w:val="both"/>
      </w:pPr>
      <w:r w:rsidRPr="00F61EE3">
        <w:t>Средства по общинските бюджети средства от приватизация на дялове, акции и участия за периода не са отчетени.</w:t>
      </w:r>
    </w:p>
    <w:p w:rsidR="006B21C9" w:rsidRPr="00F61EE3" w:rsidRDefault="006B21C9" w:rsidP="006B21C9">
      <w:pPr>
        <w:ind w:firstLine="567"/>
        <w:jc w:val="both"/>
      </w:pPr>
      <w:r w:rsidRPr="00F61EE3">
        <w:t>Отчетеният нетен размер по общинските бюджети на възмездната финансова помощ е (-0,6) млн. лв. (в т.ч. 2,1 млн. лв. предоставени средства, а 1,5 млн. лв. са възстановени).</w:t>
      </w:r>
    </w:p>
    <w:p w:rsidR="006B21C9" w:rsidRPr="00F61EE3" w:rsidRDefault="006B21C9" w:rsidP="006B21C9">
      <w:pPr>
        <w:ind w:firstLine="567"/>
        <w:jc w:val="both"/>
      </w:pPr>
      <w:r w:rsidRPr="00F61EE3">
        <w:t xml:space="preserve">Общините отчитат 2 131,5 млн. лв. бюджетен преходен остатък, а наличността към края на първото тримесечие на 2024 г. (по банкови сметки и каса) нараства и е в размер на 3 040,3 млн. лв. (с 234,8 млн. лв. повече от същия период на миналата година). Отчетеният остатък в делегираните от държавата дейности е 1 387,4 млн. лв. (45,6%), а 1 652,9 млн. лв. (54,4%) е в местни дейности. </w:t>
      </w:r>
    </w:p>
    <w:p w:rsidR="006B21C9" w:rsidRPr="00F61EE3" w:rsidRDefault="006B21C9" w:rsidP="006B21C9">
      <w:pPr>
        <w:ind w:firstLine="567"/>
        <w:jc w:val="both"/>
      </w:pPr>
      <w:r w:rsidRPr="00F61EE3">
        <w:t xml:space="preserve">Голяма част от наличността в местните дейности (928,3 млн. лв. или 56 %) е от все още неизразходвани от общините средства, получени от тях през предходни години (т.е. преходен остатък), като от тях (403,1 млн. лв.) са субсидии от минали години. Друга голяма част от наличността в местните дейности представлява неизразходвани средства, получени от общините през тази година под формата на приходи (529,4 млн. лв. или 32 % от наличността в местни дейности).  </w:t>
      </w:r>
    </w:p>
    <w:p w:rsidR="006B21C9" w:rsidRPr="00F61EE3" w:rsidRDefault="006B21C9" w:rsidP="006B21C9">
      <w:pPr>
        <w:ind w:firstLine="567"/>
        <w:jc w:val="both"/>
      </w:pPr>
      <w:r w:rsidRPr="00F61EE3">
        <w:t>В държавните дейности наличността е формирана най-вече от получени от общините през тази година субсидии (984,6 млн. лв. или 71%), както и от неизразходвани субсидии от минали години (290,5 млн. лв.).</w:t>
      </w:r>
    </w:p>
    <w:p w:rsidR="002C4D33" w:rsidRPr="004B7A23" w:rsidRDefault="002C4D33" w:rsidP="00FD362E">
      <w:pPr>
        <w:pStyle w:val="BodyText"/>
        <w:spacing w:after="120"/>
        <w:ind w:firstLine="567"/>
        <w:rPr>
          <w:color w:val="0070C0"/>
          <w:sz w:val="18"/>
          <w:szCs w:val="12"/>
        </w:rPr>
      </w:pPr>
    </w:p>
    <w:p w:rsidR="00913197" w:rsidRPr="00D306E6" w:rsidRDefault="00913197" w:rsidP="00ED2B9A">
      <w:pPr>
        <w:pStyle w:val="Heading1"/>
        <w:numPr>
          <w:ilvl w:val="1"/>
          <w:numId w:val="9"/>
        </w:numPr>
        <w:spacing w:before="120"/>
        <w:ind w:left="788" w:right="-108" w:hanging="431"/>
        <w:jc w:val="both"/>
        <w:rPr>
          <w:sz w:val="24"/>
        </w:rPr>
      </w:pPr>
      <w:bookmarkStart w:id="36" w:name="_Toc109906108"/>
      <w:r w:rsidRPr="00D306E6">
        <w:rPr>
          <w:sz w:val="24"/>
        </w:rPr>
        <w:t>Бюджети на Българската национална телевизия, Българското национално радио и Българската телеграфна агенция</w:t>
      </w:r>
      <w:bookmarkEnd w:id="36"/>
      <w:r w:rsidRPr="00D306E6">
        <w:rPr>
          <w:sz w:val="24"/>
        </w:rPr>
        <w:t xml:space="preserve"> </w:t>
      </w:r>
    </w:p>
    <w:p w:rsidR="00D52C6F" w:rsidRPr="004B7A23" w:rsidRDefault="00D52C6F" w:rsidP="00D52C6F">
      <w:pPr>
        <w:spacing w:before="240"/>
        <w:ind w:firstLine="567"/>
        <w:jc w:val="both"/>
        <w:rPr>
          <w:color w:val="0070C0"/>
        </w:rPr>
      </w:pPr>
      <w:r w:rsidRPr="00737320">
        <w:rPr>
          <w:b/>
        </w:rPr>
        <w:t xml:space="preserve">Приходите на Българската национална телевизия (БНТ) </w:t>
      </w:r>
      <w:r w:rsidRPr="00737320">
        <w:t>към 3</w:t>
      </w:r>
      <w:r w:rsidRPr="00587800">
        <w:rPr>
          <w:lang w:val="ru-RU"/>
        </w:rPr>
        <w:t>1</w:t>
      </w:r>
      <w:r w:rsidRPr="00737320">
        <w:t>.0</w:t>
      </w:r>
      <w:r w:rsidRPr="00587800">
        <w:rPr>
          <w:lang w:val="ru-RU"/>
        </w:rPr>
        <w:t>3</w:t>
      </w:r>
      <w:r w:rsidRPr="00737320">
        <w:t>.202</w:t>
      </w:r>
      <w:r w:rsidRPr="00587800">
        <w:rPr>
          <w:lang w:val="ru-RU"/>
        </w:rPr>
        <w:t>4</w:t>
      </w:r>
      <w:r w:rsidRPr="00737320">
        <w:t xml:space="preserve"> г. са в размер на </w:t>
      </w:r>
      <w:r w:rsidRPr="00587800">
        <w:rPr>
          <w:lang w:val="ru-RU"/>
        </w:rPr>
        <w:t>1</w:t>
      </w:r>
      <w:r w:rsidRPr="00737320">
        <w:t>,7 млн. лв</w:t>
      </w:r>
      <w:r w:rsidRPr="0060210F">
        <w:t>., което представлява</w:t>
      </w:r>
      <w:r>
        <w:t xml:space="preserve"> 17,0 % от </w:t>
      </w:r>
      <w:r w:rsidRPr="00C8125F">
        <w:t>заложените приходи в разчетите към ЗДБРБ за 2024</w:t>
      </w:r>
      <w:r w:rsidR="009A5168">
        <w:t> </w:t>
      </w:r>
      <w:r w:rsidRPr="00C8125F">
        <w:t xml:space="preserve">г. </w:t>
      </w:r>
      <w:r w:rsidRPr="00737320">
        <w:t xml:space="preserve"> </w:t>
      </w:r>
      <w:r>
        <w:t>В сравнение с първото тримесечие на 2023 г. приходите са с 3,3 млн. лв. по-малко.</w:t>
      </w:r>
      <w:r w:rsidRPr="004B7A23">
        <w:rPr>
          <w:color w:val="0070C0"/>
        </w:rPr>
        <w:t xml:space="preserve"> </w:t>
      </w:r>
      <w:r w:rsidRPr="00C8125F">
        <w:t>Отчетените приходи са постъпления от продажба на услуги, стоки и продукция (реклама, технически услуги, продажба на програми, приходи от почивно дело, приходи от участия в предизборни форми), наеми на имущество и други неданъчни приходи.</w:t>
      </w:r>
    </w:p>
    <w:p w:rsidR="00D52C6F" w:rsidRPr="004B7A23" w:rsidRDefault="00D52C6F" w:rsidP="00D52C6F">
      <w:pPr>
        <w:ind w:firstLine="561"/>
        <w:jc w:val="both"/>
        <w:rPr>
          <w:color w:val="0070C0"/>
        </w:rPr>
      </w:pPr>
      <w:r w:rsidRPr="009354A7">
        <w:t xml:space="preserve">Отчетените </w:t>
      </w:r>
      <w:r w:rsidRPr="009354A7">
        <w:rPr>
          <w:b/>
        </w:rPr>
        <w:t>разходи</w:t>
      </w:r>
      <w:r w:rsidRPr="009354A7">
        <w:t xml:space="preserve"> </w:t>
      </w:r>
      <w:r w:rsidRPr="009354A7">
        <w:rPr>
          <w:b/>
        </w:rPr>
        <w:t>на БНТ</w:t>
      </w:r>
      <w:r w:rsidRPr="009354A7">
        <w:t xml:space="preserve"> към 31.03.2024 г. са в размер на 2</w:t>
      </w:r>
      <w:r>
        <w:t>1</w:t>
      </w:r>
      <w:r w:rsidRPr="009354A7">
        <w:t>,</w:t>
      </w:r>
      <w:r>
        <w:t>5</w:t>
      </w:r>
      <w:r w:rsidRPr="009354A7">
        <w:t xml:space="preserve"> млн. лв. и надвишават отчетените за същия период на предходната година с </w:t>
      </w:r>
      <w:r>
        <w:t>0</w:t>
      </w:r>
      <w:r w:rsidRPr="009354A7">
        <w:t>,</w:t>
      </w:r>
      <w:r>
        <w:t>8</w:t>
      </w:r>
      <w:r w:rsidRPr="009354A7">
        <w:t xml:space="preserve"> млн. лв. Спрямо разчетите към закона изпълнението на разходите е 2</w:t>
      </w:r>
      <w:r>
        <w:t>1</w:t>
      </w:r>
      <w:r w:rsidRPr="009354A7">
        <w:t>,</w:t>
      </w:r>
      <w:r>
        <w:t>9</w:t>
      </w:r>
      <w:r w:rsidRPr="009354A7">
        <w:t xml:space="preserve"> %. </w:t>
      </w:r>
      <w:r w:rsidRPr="00C8125F">
        <w:t>Българската национална телевизия съставя, изпълнява, приключва и отчита бюджет, съгласно чл. 70, ал. 1 от Закона за радиото и телевизията (ЗРТ). За периода са отчетени 20,3 млн. лв. текущи разходи и 1,2 млн. лв. капиталови разходи. Общият размер на отчетените текущи разходи включва: 11,0 млн. лв. разходи за персонал и 9,3 млн. лв. разходи за издръжка (вкл. разходи за членски внос, платени данъци, такси и административни санкции). Отчетените разходи за персонал представляват 51,3% от отчетените за периода разходи.</w:t>
      </w:r>
      <w:r>
        <w:t xml:space="preserve"> </w:t>
      </w:r>
      <w:r w:rsidRPr="00C8125F">
        <w:t>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w:t>
      </w:r>
      <w:r>
        <w:t xml:space="preserve"> </w:t>
      </w:r>
      <w:r w:rsidRPr="00C8125F">
        <w:t>В разпределението  на разходите по бюджета на обществената медия е включен преходния остатък за 2022 г. (съгл. чл. 70, ал. 6 от ЗРТ) в размер на 1,0 млн. лв.</w:t>
      </w:r>
      <w:r>
        <w:t xml:space="preserve"> </w:t>
      </w:r>
    </w:p>
    <w:p w:rsidR="00D52C6F" w:rsidRPr="004B7A23" w:rsidRDefault="00D52C6F" w:rsidP="00D52C6F">
      <w:pPr>
        <w:pStyle w:val="Title"/>
        <w:ind w:firstLine="567"/>
        <w:jc w:val="both"/>
        <w:rPr>
          <w:b w:val="0"/>
          <w:color w:val="0070C0"/>
        </w:rPr>
      </w:pPr>
      <w:r w:rsidRPr="0045793F">
        <w:rPr>
          <w:b w:val="0"/>
        </w:rPr>
        <w:t>Бюджетни взаимоотношения на БНТ с централния бюджет</w:t>
      </w:r>
      <w:r w:rsidRPr="00C8125F">
        <w:rPr>
          <w:b w:val="0"/>
        </w:rPr>
        <w:t xml:space="preserve"> </w:t>
      </w:r>
      <w:r>
        <w:rPr>
          <w:b w:val="0"/>
        </w:rPr>
        <w:t>са</w:t>
      </w:r>
      <w:r w:rsidRPr="00C8125F">
        <w:rPr>
          <w:b w:val="0"/>
        </w:rPr>
        <w:t xml:space="preserve"> 87,0 млн. лв. съгласно чл. 50, т. 2 от ЗДБРБ за 2024 г. За отчетния период е усвоена сума в размер на 21,8 млн. лв. или 25,0% от размера на определените със закона бюджетни взаимоотношения на БНТ с централния бюджет</w:t>
      </w:r>
      <w:r>
        <w:rPr>
          <w:b w:val="0"/>
        </w:rPr>
        <w:t>.</w:t>
      </w:r>
      <w:r w:rsidRPr="00587800">
        <w:rPr>
          <w:color w:val="0070C0"/>
          <w:lang w:val="ru-RU"/>
        </w:rPr>
        <w:t xml:space="preserve"> </w:t>
      </w:r>
    </w:p>
    <w:p w:rsidR="00D52C6F" w:rsidRPr="00C8125F" w:rsidRDefault="00D52C6F" w:rsidP="00D52C6F">
      <w:pPr>
        <w:pStyle w:val="Title"/>
        <w:spacing w:before="120"/>
        <w:ind w:firstLine="709"/>
        <w:jc w:val="both"/>
        <w:rPr>
          <w:b w:val="0"/>
        </w:rPr>
      </w:pPr>
      <w:r w:rsidRPr="00362AB1">
        <w:t xml:space="preserve">Приходите по бюджета на Българското национално радио (БНР) </w:t>
      </w:r>
      <w:r w:rsidRPr="00362AB1">
        <w:rPr>
          <w:b w:val="0"/>
        </w:rPr>
        <w:t xml:space="preserve">към 31.03.2024 г. са в размер на 0,4 млн. лв. и са с 0,2 млн. лв. по-малко спрямо отчетените приходи за първите три месеца на предходната година. Спрямо годишния разчет изпълнението е 23,3 %. </w:t>
      </w:r>
      <w:r w:rsidRPr="00C8125F">
        <w:rPr>
          <w:b w:val="0"/>
        </w:rPr>
        <w:t>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наеми на имущество и други неданъчни приходи.</w:t>
      </w:r>
    </w:p>
    <w:p w:rsidR="00D52C6F" w:rsidRPr="004B7A23" w:rsidRDefault="00D52C6F" w:rsidP="00D52C6F">
      <w:pPr>
        <w:ind w:firstLine="567"/>
        <w:jc w:val="both"/>
        <w:rPr>
          <w:color w:val="0070C0"/>
          <w:szCs w:val="20"/>
        </w:rPr>
      </w:pPr>
      <w:r w:rsidRPr="007E0515">
        <w:rPr>
          <w:szCs w:val="20"/>
        </w:rPr>
        <w:t xml:space="preserve">Изпълнението на </w:t>
      </w:r>
      <w:r w:rsidRPr="007E0515">
        <w:rPr>
          <w:b/>
          <w:szCs w:val="20"/>
        </w:rPr>
        <w:t>разходите</w:t>
      </w:r>
      <w:r w:rsidRPr="007E0515">
        <w:rPr>
          <w:szCs w:val="20"/>
        </w:rPr>
        <w:t xml:space="preserve"> </w:t>
      </w:r>
      <w:r w:rsidRPr="007E0515">
        <w:rPr>
          <w:b/>
          <w:szCs w:val="20"/>
        </w:rPr>
        <w:t>по бюджета на</w:t>
      </w:r>
      <w:r w:rsidRPr="007E0515">
        <w:rPr>
          <w:szCs w:val="20"/>
        </w:rPr>
        <w:t xml:space="preserve"> </w:t>
      </w:r>
      <w:r w:rsidRPr="007E0515">
        <w:rPr>
          <w:b/>
          <w:szCs w:val="20"/>
        </w:rPr>
        <w:t xml:space="preserve">БНР </w:t>
      </w:r>
      <w:r w:rsidRPr="007E0515">
        <w:rPr>
          <w:szCs w:val="20"/>
        </w:rPr>
        <w:t xml:space="preserve">възлиза на 15,7 млн. лв., като надвишава отчетените за същия период на предходната година разходи с 1,8 млн. лв. Спрямо разчетите към ЗДБРБ за 2024 г. изпълнението е 23,7 %. </w:t>
      </w:r>
      <w:r w:rsidRPr="00C8125F">
        <w:t>Българското национално радио съставя, изпълнява, приключва и отчита бюджет, съгласно чл. 70, ал. 1 от Закона за радиото и телевизията (ЗРТ). За периода са отчетени 14,6 млн. лв. текущи разходи и 1,1 млн. лв. капиталови разходи. Общият размер на отчетените текущи разходи включва: 9,5 млн. лв. разходи за персонал и 5,1 млн. лв. разходи за издръжка (вкл. разходи за членски внос, платени данъци, такси и административни санкции). Отчетените разходи за персонал представляват 60,9% от отчетените за периода разходи.</w:t>
      </w:r>
      <w:r>
        <w:t xml:space="preserve"> С</w:t>
      </w:r>
      <w:r w:rsidRPr="00C8125F">
        <w:t>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r>
        <w:t xml:space="preserve"> </w:t>
      </w:r>
      <w:r w:rsidRPr="00C8125F">
        <w:t>В разпределението  на разходите по бюджета на БНР е включен преходния остатък за 2023 г. (съгл. чл. 70, ал. 6 от ЗРТ) в размер на 3,9 млн. лв.</w:t>
      </w:r>
      <w:r>
        <w:t xml:space="preserve"> </w:t>
      </w:r>
    </w:p>
    <w:p w:rsidR="00D52C6F" w:rsidRPr="004B7A23" w:rsidRDefault="00D52C6F" w:rsidP="00D52C6F">
      <w:pPr>
        <w:ind w:firstLine="567"/>
        <w:jc w:val="both"/>
        <w:rPr>
          <w:color w:val="0070C0"/>
          <w:szCs w:val="20"/>
        </w:rPr>
      </w:pPr>
      <w:r w:rsidRPr="00C8125F">
        <w:t xml:space="preserve">Бюджетни взаимоотношения на БНР с централния бюджет </w:t>
      </w:r>
      <w:r>
        <w:t>са</w:t>
      </w:r>
      <w:r w:rsidRPr="00C8125F">
        <w:t xml:space="preserve"> 63,0 млн. лв. съгласно чл. 50, т. 1 от ЗДБРБ за 2024 г. За отчетния период е усвоена сума в размер на 15,8 млн. лв. или 25,1% от размера на определените със закона бюджетни взаимоотношения на БНР с централния бюджет.</w:t>
      </w:r>
      <w:r>
        <w:t xml:space="preserve"> </w:t>
      </w:r>
    </w:p>
    <w:p w:rsidR="00D52C6F" w:rsidRPr="004B7A23" w:rsidRDefault="00D52C6F" w:rsidP="00D52C6F">
      <w:pPr>
        <w:spacing w:before="120"/>
        <w:ind w:firstLine="567"/>
        <w:jc w:val="both"/>
        <w:rPr>
          <w:b/>
          <w:color w:val="0070C0"/>
          <w:szCs w:val="20"/>
        </w:rPr>
      </w:pPr>
      <w:r w:rsidRPr="00E42CEB">
        <w:rPr>
          <w:b/>
          <w:szCs w:val="20"/>
        </w:rPr>
        <w:t xml:space="preserve">Приходите на </w:t>
      </w:r>
      <w:r w:rsidRPr="00E42CEB">
        <w:rPr>
          <w:b/>
        </w:rPr>
        <w:t>Българската телеграфна агенция (БТА)</w:t>
      </w:r>
      <w:r w:rsidRPr="00E42CEB">
        <w:t xml:space="preserve"> </w:t>
      </w:r>
      <w:r w:rsidRPr="00E42CEB">
        <w:rPr>
          <w:szCs w:val="20"/>
        </w:rPr>
        <w:t>към 31.03.2024 г. са в размер на 0,1 млн. лв</w:t>
      </w:r>
      <w:r w:rsidRPr="00E42CEB">
        <w:t>.</w:t>
      </w:r>
      <w:r>
        <w:t>,</w:t>
      </w:r>
      <w:r w:rsidRPr="00E42CEB">
        <w:t xml:space="preserve"> </w:t>
      </w:r>
      <w:r w:rsidRPr="00C8125F">
        <w:t xml:space="preserve">което представлява </w:t>
      </w:r>
      <w:r>
        <w:t>23,7</w:t>
      </w:r>
      <w:r w:rsidRPr="00C8125F">
        <w:t xml:space="preserve"> % от заложените приходи в разчетите към ЗДБРБ за 2024 г. (0,6 млн. лв.) и са с </w:t>
      </w:r>
      <w:r>
        <w:t>59,9</w:t>
      </w:r>
      <w:r w:rsidRPr="00C8125F">
        <w:t xml:space="preserve"> хил. лв. по-малко спрямо отчетените приходи за същия период на предходната година</w:t>
      </w:r>
      <w:r>
        <w:t>. Средствата</w:t>
      </w:r>
      <w:r w:rsidRPr="00E42CEB">
        <w:t xml:space="preserve"> са основно от продажба на услуги, стоки и продукция (реклама, технически услуги, продажба на продукция), наеми на имущество и др</w:t>
      </w:r>
      <w:r w:rsidRPr="00C8125F">
        <w:t>.</w:t>
      </w:r>
      <w:r>
        <w:t xml:space="preserve"> </w:t>
      </w:r>
    </w:p>
    <w:p w:rsidR="00D52C6F" w:rsidRPr="00C8125F" w:rsidRDefault="00D52C6F" w:rsidP="00D52C6F">
      <w:pPr>
        <w:pStyle w:val="Title"/>
        <w:ind w:firstLine="709"/>
        <w:jc w:val="both"/>
        <w:rPr>
          <w:b w:val="0"/>
        </w:rPr>
      </w:pPr>
      <w:r w:rsidRPr="00C8125F">
        <w:rPr>
          <w:b w:val="0"/>
        </w:rPr>
        <w:t xml:space="preserve">Отчетените разходи по бюджета на БТА са в размер на 3,75 млн. лв., което представлява </w:t>
      </w:r>
      <w:r>
        <w:rPr>
          <w:b w:val="0"/>
        </w:rPr>
        <w:t>30</w:t>
      </w:r>
      <w:r w:rsidRPr="00C8125F">
        <w:rPr>
          <w:b w:val="0"/>
        </w:rPr>
        <w:t>,</w:t>
      </w:r>
      <w:r>
        <w:rPr>
          <w:b w:val="0"/>
        </w:rPr>
        <w:t xml:space="preserve">1 </w:t>
      </w:r>
      <w:r w:rsidRPr="00C8125F">
        <w:rPr>
          <w:b w:val="0"/>
        </w:rPr>
        <w:t xml:space="preserve">% от предвидените разходи в разчетите към ЗДБРБ за 2024 г. </w:t>
      </w:r>
    </w:p>
    <w:p w:rsidR="00D52C6F" w:rsidRPr="004577D0" w:rsidRDefault="00D52C6F" w:rsidP="00D52C6F">
      <w:pPr>
        <w:ind w:firstLine="567"/>
        <w:jc w:val="both"/>
        <w:rPr>
          <w:szCs w:val="20"/>
        </w:rPr>
      </w:pPr>
      <w:r w:rsidRPr="00C8125F">
        <w:t>Българската телеграфна агенция съставя, изпълнява, приключва и отчита бюджет, съгласно чл. 19, ал. 1 от Закона за Българска телеграфна агенция (ЗБТА). За периода са отчетени 3</w:t>
      </w:r>
      <w:r>
        <w:t>,01</w:t>
      </w:r>
      <w:r w:rsidRPr="00C8125F">
        <w:t xml:space="preserve"> млн. лв. текущи разходи и 0,7</w:t>
      </w:r>
      <w:r>
        <w:t>4</w:t>
      </w:r>
      <w:r w:rsidRPr="00C8125F">
        <w:t xml:space="preserve"> млн. лв. капиталови разходи. Общият размер на отчетените текущи разходи включва: 2</w:t>
      </w:r>
      <w:r>
        <w:t>,1</w:t>
      </w:r>
      <w:r w:rsidRPr="00C8125F">
        <w:t xml:space="preserve"> млн. лв. разходи за персонал и 1 млн. лв. разходи за издръжка (вкл. разходи за членски внос, платени данъци, такси и административни санкции). Отчетените разходи за персонал представляват </w:t>
      </w:r>
      <w:r>
        <w:t>69</w:t>
      </w:r>
      <w:r w:rsidRPr="00C8125F">
        <w:t>,</w:t>
      </w:r>
      <w:r>
        <w:t xml:space="preserve">1 </w:t>
      </w:r>
      <w:r w:rsidRPr="00C8125F">
        <w:t>% от отчетените текущи разходи</w:t>
      </w:r>
      <w:r>
        <w:t xml:space="preserve">. </w:t>
      </w:r>
      <w:r w:rsidRPr="00C8125F">
        <w:t xml:space="preserve">В разпределението на разходите по бюджета на агенцията е включен преходния остатък за 2023 г. (съгл. чл. 20, ал. 3 от ЗБТА) в размер на 1,7 млн. </w:t>
      </w:r>
      <w:r w:rsidRPr="004577D0">
        <w:t xml:space="preserve">лв. </w:t>
      </w:r>
    </w:p>
    <w:p w:rsidR="00D52C6F" w:rsidRPr="004577D0" w:rsidRDefault="00D52C6F" w:rsidP="00D52C6F">
      <w:pPr>
        <w:ind w:firstLine="567"/>
        <w:jc w:val="both"/>
        <w:rPr>
          <w:szCs w:val="20"/>
        </w:rPr>
      </w:pPr>
      <w:r w:rsidRPr="004577D0">
        <w:rPr>
          <w:szCs w:val="20"/>
        </w:rPr>
        <w:t xml:space="preserve">За периода </w:t>
      </w:r>
      <w:r w:rsidRPr="004577D0">
        <w:rPr>
          <w:b/>
          <w:szCs w:val="20"/>
        </w:rPr>
        <w:t>трансфера от централния бюджет</w:t>
      </w:r>
      <w:r w:rsidRPr="004577D0">
        <w:rPr>
          <w:szCs w:val="20"/>
        </w:rPr>
        <w:t xml:space="preserve"> е в размер на 2,6 млн. лева.</w:t>
      </w:r>
    </w:p>
    <w:p w:rsidR="007C1025" w:rsidRPr="004B7A23" w:rsidRDefault="007C1025" w:rsidP="007C1025">
      <w:pPr>
        <w:ind w:firstLine="567"/>
        <w:jc w:val="both"/>
        <w:rPr>
          <w:color w:val="0070C0"/>
          <w:szCs w:val="20"/>
        </w:rPr>
      </w:pPr>
    </w:p>
    <w:p w:rsidR="00446778" w:rsidRPr="004B7A23" w:rsidRDefault="00446778" w:rsidP="007C1025">
      <w:pPr>
        <w:pStyle w:val="Title"/>
        <w:jc w:val="both"/>
        <w:rPr>
          <w:color w:val="0070C0"/>
        </w:rPr>
      </w:pPr>
    </w:p>
    <w:p w:rsidR="00001ABF" w:rsidRPr="004B7A23" w:rsidRDefault="00001ABF" w:rsidP="007C1025">
      <w:pPr>
        <w:pStyle w:val="Title"/>
        <w:jc w:val="both"/>
        <w:rPr>
          <w:color w:val="0070C0"/>
        </w:rPr>
      </w:pPr>
    </w:p>
    <w:p w:rsidR="007C1025" w:rsidRPr="00D306E6" w:rsidRDefault="007C1025" w:rsidP="007C1025">
      <w:pPr>
        <w:pStyle w:val="Title"/>
        <w:jc w:val="both"/>
      </w:pPr>
      <w:r w:rsidRPr="00D306E6">
        <w:t xml:space="preserve">Министерство на финансите, </w:t>
      </w:r>
      <w:r w:rsidR="00E4591D" w:rsidRPr="00D306E6">
        <w:t>май</w:t>
      </w:r>
      <w:r w:rsidR="00F548B6" w:rsidRPr="00D306E6">
        <w:t xml:space="preserve"> </w:t>
      </w:r>
      <w:r w:rsidRPr="00D306E6">
        <w:t>202</w:t>
      </w:r>
      <w:r w:rsidR="00E4591D" w:rsidRPr="00D306E6">
        <w:t>4</w:t>
      </w:r>
      <w:r w:rsidRPr="00D306E6">
        <w:t xml:space="preserve"> г.</w:t>
      </w:r>
    </w:p>
    <w:p w:rsidR="0050598A" w:rsidRPr="004B7A23" w:rsidRDefault="0050598A" w:rsidP="0050598A">
      <w:pPr>
        <w:pStyle w:val="Title"/>
        <w:jc w:val="both"/>
        <w:rPr>
          <w:color w:val="0070C0"/>
        </w:rPr>
      </w:pPr>
    </w:p>
    <w:sectPr w:rsidR="0050598A" w:rsidRPr="004B7A23" w:rsidSect="00033525">
      <w:footerReference w:type="even" r:id="rId11"/>
      <w:footerReference w:type="default" r:id="rId12"/>
      <w:endnotePr>
        <w:numFmt w:val="decimal"/>
      </w:endnotePr>
      <w:type w:val="continuous"/>
      <w:pgSz w:w="11906" w:h="16838"/>
      <w:pgMar w:top="709" w:right="849"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5F" w:rsidRDefault="00A9525F">
      <w:r>
        <w:separator/>
      </w:r>
    </w:p>
  </w:endnote>
  <w:endnote w:type="continuationSeparator" w:id="0">
    <w:p w:rsidR="00A9525F" w:rsidRDefault="00A9525F">
      <w:r>
        <w:continuationSeparator/>
      </w:r>
    </w:p>
  </w:endnote>
  <w:endnote w:type="continuationNotice" w:id="1">
    <w:p w:rsidR="00A9525F" w:rsidRDefault="00A95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C6" w:rsidRDefault="006466C6"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66C6" w:rsidRDefault="006466C6"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C6" w:rsidRDefault="006466C6"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F38">
      <w:rPr>
        <w:rStyle w:val="PageNumber"/>
        <w:noProof/>
      </w:rPr>
      <w:t>20</w:t>
    </w:r>
    <w:r>
      <w:rPr>
        <w:rStyle w:val="PageNumber"/>
      </w:rPr>
      <w:fldChar w:fldCharType="end"/>
    </w:r>
  </w:p>
  <w:p w:rsidR="006466C6" w:rsidRDefault="006466C6"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5F" w:rsidRDefault="00A9525F">
      <w:r>
        <w:separator/>
      </w:r>
    </w:p>
  </w:footnote>
  <w:footnote w:type="continuationSeparator" w:id="0">
    <w:p w:rsidR="00A9525F" w:rsidRDefault="00A9525F">
      <w:r>
        <w:continuationSeparator/>
      </w:r>
    </w:p>
  </w:footnote>
  <w:footnote w:type="continuationNotice" w:id="1">
    <w:p w:rsidR="00A9525F" w:rsidRDefault="00A9525F"/>
  </w:footnote>
  <w:footnote w:id="2">
    <w:p w:rsidR="00A9525F" w:rsidRPr="007D18FE" w:rsidRDefault="00A9525F" w:rsidP="00E74802">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 xml:space="preserve">Обхваща държавния бюджет и бюджетите на общините, </w:t>
      </w:r>
      <w:proofErr w:type="spellStart"/>
      <w:r w:rsidRPr="007D18FE">
        <w:rPr>
          <w:sz w:val="18"/>
          <w:szCs w:val="18"/>
          <w:lang w:val="bg-BG"/>
        </w:rPr>
        <w:t>социалноосигурителните</w:t>
      </w:r>
      <w:proofErr w:type="spellEnd"/>
      <w:r w:rsidRPr="007D18FE">
        <w:rPr>
          <w:sz w:val="18"/>
          <w:szCs w:val="18"/>
          <w:lang w:val="bg-BG"/>
        </w:rPr>
        <w:t xml:space="preserve"> фондове, ДВУ, БАН, БНР, БНТ, БТА, бюджетите по чл.1</w:t>
      </w:r>
      <w:r>
        <w:rPr>
          <w:sz w:val="18"/>
          <w:szCs w:val="18"/>
          <w:lang w:val="bg-BG"/>
        </w:rPr>
        <w:t>3</w:t>
      </w:r>
      <w:r w:rsidRPr="007D18FE">
        <w:rPr>
          <w:sz w:val="18"/>
          <w:szCs w:val="18"/>
          <w:lang w:val="bg-BG"/>
        </w:rPr>
        <w:t>,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3">
    <w:p w:rsidR="00A9525F" w:rsidRPr="007D18FE" w:rsidRDefault="00A9525F" w:rsidP="0027080C">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w:t>
      </w:r>
      <w:r w:rsidRPr="007D18FE">
        <w:rPr>
          <w:sz w:val="18"/>
          <w:szCs w:val="18"/>
          <w:lang w:val="bg-BG"/>
        </w:rPr>
        <w:t>Поради извършено закръгление в млн. лв., някои сумарни позиции в Таблица №1, Таблица  №2 и в текста не се изчерпват от съставните им числа.</w:t>
      </w:r>
    </w:p>
  </w:footnote>
  <w:footnote w:id="4">
    <w:p w:rsidR="00A9525F" w:rsidRPr="00D13ABE" w:rsidRDefault="00A9525F" w:rsidP="0027080C">
      <w:pPr>
        <w:pStyle w:val="FootnoteText"/>
        <w:rPr>
          <w:lang w:val="bg-BG"/>
        </w:rPr>
      </w:pPr>
      <w:r w:rsidRPr="004304BD">
        <w:rPr>
          <w:rStyle w:val="FootnoteReference"/>
        </w:rPr>
        <w:footnoteRef/>
      </w:r>
      <w:r w:rsidRPr="004304BD">
        <w:rPr>
          <w:lang w:val="bg-BG"/>
        </w:rPr>
        <w:t xml:space="preserve"> </w:t>
      </w:r>
      <w:r w:rsidRPr="00AF223B">
        <w:rPr>
          <w:sz w:val="18"/>
          <w:szCs w:val="18"/>
          <w:lang w:val="bg-BG"/>
        </w:rPr>
        <w:t>Разчети към ЗДБРБ за 2024 г. (</w:t>
      </w:r>
      <w:proofErr w:type="spellStart"/>
      <w:r w:rsidRPr="00AF223B">
        <w:rPr>
          <w:sz w:val="18"/>
          <w:szCs w:val="18"/>
          <w:lang w:val="bg-BG"/>
        </w:rPr>
        <w:t>oбн</w:t>
      </w:r>
      <w:proofErr w:type="spellEnd"/>
      <w:r w:rsidRPr="00AF223B">
        <w:rPr>
          <w:sz w:val="18"/>
          <w:szCs w:val="18"/>
          <w:lang w:val="bg-BG"/>
        </w:rPr>
        <w:t>., ДВ., бр. 108 от 30.12.2023 г.)</w:t>
      </w:r>
    </w:p>
  </w:footnote>
  <w:footnote w:id="5">
    <w:p w:rsidR="00A9525F" w:rsidRPr="00250B15" w:rsidRDefault="00A9525F" w:rsidP="00805FFE">
      <w:pPr>
        <w:pStyle w:val="FootnoteText"/>
        <w:jc w:val="both"/>
        <w:rPr>
          <w:sz w:val="18"/>
          <w:lang w:val="bg-BG"/>
        </w:rPr>
      </w:pPr>
      <w:r w:rsidRPr="00250B15">
        <w:rPr>
          <w:rStyle w:val="FootnoteReference"/>
          <w:sz w:val="18"/>
        </w:rPr>
        <w:footnoteRef/>
      </w:r>
      <w:r w:rsidRPr="00587800">
        <w:rPr>
          <w:sz w:val="18"/>
          <w:lang w:val="ru-RU"/>
        </w:rPr>
        <w:t xml:space="preserve"> </w:t>
      </w:r>
      <w:r w:rsidRPr="00C22CC4">
        <w:rPr>
          <w:sz w:val="18"/>
          <w:lang w:val="bg-BG"/>
        </w:rPr>
        <w:t>През м. февруари 2024 г. в изпълнение на чл. 71, ал.1 от Постановление № 13 на Министерския съвет от 2024 г. от сметката за чужди средства по бюджета на Министерството на регионалното развитие и благоустройството бяха възстановени средства в общ размер на 1 200,0 млн. лв., които съгласно бюджетната методология се отчитат като възстановени разходи. В хода на изпълнението на бюджета за 2024 г. тези средства ще бъдат предоставяни с акт на Министерския съвет на базата на подписани споразумения с МРРБ като трансфери за общините за финансиране на Инвестиционната програма за общински проекти по реда на чл. 107 от Закона за държавния бюджет на Република България за 2024 г.</w:t>
      </w:r>
    </w:p>
  </w:footnote>
  <w:footnote w:id="6">
    <w:p w:rsidR="00A9525F" w:rsidRPr="00E74802" w:rsidRDefault="00A9525F" w:rsidP="0027080C">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7">
    <w:p w:rsidR="00A9525F" w:rsidRPr="00B849FA" w:rsidRDefault="00A9525F" w:rsidP="004D0198">
      <w:pPr>
        <w:pStyle w:val="FootnoteText"/>
        <w:rPr>
          <w:lang w:val="bg-BG"/>
        </w:rPr>
      </w:pPr>
      <w:r w:rsidRPr="00B849FA">
        <w:rPr>
          <w:rStyle w:val="FootnoteReference"/>
          <w:lang w:val="bg-BG"/>
        </w:rPr>
        <w:footnoteRef/>
      </w:r>
      <w:r w:rsidRPr="00B849FA">
        <w:rPr>
          <w:lang w:val="bg-BG"/>
        </w:rPr>
        <w:t xml:space="preserve"> </w:t>
      </w:r>
      <w:r w:rsidRPr="00B849FA">
        <w:rPr>
          <w:lang w:val="bg-BG"/>
        </w:rPr>
        <w:t>Договор за функционирането на Европейския съюз.</w:t>
      </w:r>
    </w:p>
  </w:footnote>
  <w:footnote w:id="8">
    <w:p w:rsidR="00A9525F" w:rsidRPr="006440AB" w:rsidRDefault="00A9525F" w:rsidP="00222173">
      <w:pPr>
        <w:pStyle w:val="FootnoteText"/>
        <w:rPr>
          <w:lang w:val="bg-BG"/>
        </w:rPr>
      </w:pPr>
      <w:r w:rsidRPr="006440AB">
        <w:rPr>
          <w:rStyle w:val="FootnoteReference"/>
          <w:lang w:val="bg-BG"/>
        </w:rPr>
        <w:footnoteRef/>
      </w:r>
      <w:r w:rsidRPr="006440AB">
        <w:rPr>
          <w:lang w:val="bg-BG"/>
        </w:rPr>
        <w:t xml:space="preserve"> </w:t>
      </w:r>
      <w:r w:rsidRPr="006440AB">
        <w:rPr>
          <w:sz w:val="18"/>
          <w:szCs w:val="16"/>
          <w:lang w:val="bg-BG"/>
        </w:rPr>
        <w:t>Държавният бюджет включва централен бюджет, бюджетите на НС, съдебната власт, министерствата и ведомствата.</w:t>
      </w:r>
    </w:p>
  </w:footnote>
  <w:footnote w:id="9">
    <w:p w:rsidR="00A9525F" w:rsidRPr="002F37AF" w:rsidRDefault="00A9525F" w:rsidP="00A3186F">
      <w:pPr>
        <w:pStyle w:val="FootnoteText"/>
        <w:jc w:val="both"/>
        <w:rPr>
          <w:sz w:val="18"/>
          <w:szCs w:val="18"/>
          <w:lang w:val="bg-BG"/>
        </w:rPr>
      </w:pPr>
      <w:r w:rsidRPr="002F37AF">
        <w:rPr>
          <w:rStyle w:val="FootnoteReference"/>
          <w:lang w:val="bg-BG"/>
        </w:rPr>
        <w:footnoteRef/>
      </w:r>
      <w:r w:rsidRPr="002F37AF">
        <w:rPr>
          <w:sz w:val="18"/>
          <w:szCs w:val="18"/>
          <w:lang w:val="bg-BG"/>
        </w:rPr>
        <w:t xml:space="preserve"> </w:t>
      </w:r>
      <w:r w:rsidRPr="002F37AF">
        <w:rPr>
          <w:sz w:val="18"/>
          <w:szCs w:val="18"/>
          <w:lang w:val="bg-BG"/>
        </w:rPr>
        <w:t>Поради извършено закръгление в млн. лв., някои сумарни позиции в Таблица № 1 и в текста не се изчерпват от съставните им числа.</w:t>
      </w:r>
    </w:p>
  </w:footnote>
  <w:footnote w:id="10">
    <w:p w:rsidR="00A9525F" w:rsidRPr="00D25047" w:rsidRDefault="00A9525F" w:rsidP="00A3186F">
      <w:pPr>
        <w:pStyle w:val="FootnoteText"/>
        <w:jc w:val="both"/>
        <w:rPr>
          <w:sz w:val="18"/>
          <w:szCs w:val="18"/>
          <w:lang w:val="bg-BG"/>
        </w:rPr>
      </w:pPr>
      <w:r w:rsidRPr="00D25047">
        <w:rPr>
          <w:rStyle w:val="FootnoteReference"/>
          <w:sz w:val="18"/>
          <w:szCs w:val="18"/>
          <w:lang w:val="bg-BG"/>
        </w:rPr>
        <w:footnoteRef/>
      </w:r>
      <w:r w:rsidRPr="00D25047">
        <w:rPr>
          <w:sz w:val="18"/>
          <w:szCs w:val="18"/>
          <w:lang w:val="bg-BG"/>
        </w:rPr>
        <w:t xml:space="preserve"> </w:t>
      </w:r>
      <w:r w:rsidRPr="00D25047">
        <w:rPr>
          <w:rFonts w:eastAsia="Calibri"/>
          <w:sz w:val="18"/>
          <w:szCs w:val="18"/>
          <w:lang w:val="bg-BG"/>
        </w:rPr>
        <w:t>През м. февруари 2024 г. в изпълнение на чл. 71, ал.1 от Постановление № 13 на Министерския съвет от 2024 г. от сметката за чужди средства по бюджета на Министерството на регионалното развитие и благоустройството бяха възстановени средства в общ размер на 1 200,0 млн. лв., които съгласно бюджетната методология се отчитат като възстановени разходи. В хода на изпълнението на бюджета за 2024 г. тези средства ще бъдат предоставяни с акт на Министерския съвет на базата на подписани споразумения с МРРБ като трансфери за общините за финансиране на Инвестиционната програма за общински проекти по реда на чл. 107 от Закона за държавния бюджет на Република България за 2024 г.</w:t>
      </w:r>
    </w:p>
  </w:footnote>
  <w:footnote w:id="11">
    <w:p w:rsidR="00A9525F" w:rsidRPr="00587800" w:rsidRDefault="00A9525F" w:rsidP="00A3186F">
      <w:pPr>
        <w:pStyle w:val="FootnoteText"/>
        <w:jc w:val="both"/>
        <w:rPr>
          <w:sz w:val="18"/>
          <w:szCs w:val="18"/>
          <w:lang w:val="ru-RU"/>
        </w:rPr>
      </w:pPr>
      <w:r w:rsidRPr="002F37AF">
        <w:rPr>
          <w:rStyle w:val="FootnoteReference"/>
          <w:sz w:val="18"/>
          <w:szCs w:val="18"/>
          <w:lang w:val="bg-BG"/>
        </w:rPr>
        <w:footnoteRef/>
      </w:r>
      <w:r w:rsidRPr="002F37AF">
        <w:rPr>
          <w:sz w:val="18"/>
          <w:szCs w:val="18"/>
          <w:lang w:val="bg-BG"/>
        </w:rPr>
        <w:t xml:space="preserve"> </w:t>
      </w:r>
      <w:r w:rsidRPr="002F37AF">
        <w:rPr>
          <w:sz w:val="18"/>
          <w:szCs w:val="18"/>
          <w:lang w:val="bg-BG"/>
        </w:rPr>
        <w:t>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6C8"/>
    <w:multiLevelType w:val="hybridMultilevel"/>
    <w:tmpl w:val="C7C4237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C640E0"/>
    <w:multiLevelType w:val="hybridMultilevel"/>
    <w:tmpl w:val="94142DF6"/>
    <w:lvl w:ilvl="0" w:tplc="CA968970">
      <w:start w:val="4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02A64D70"/>
    <w:multiLevelType w:val="hybridMultilevel"/>
    <w:tmpl w:val="F85C9BE4"/>
    <w:lvl w:ilvl="0" w:tplc="982A2DA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 w15:restartNumberingAfterBreak="0">
    <w:nsid w:val="03127CD0"/>
    <w:multiLevelType w:val="hybridMultilevel"/>
    <w:tmpl w:val="1338A1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76429A2"/>
    <w:multiLevelType w:val="hybridMultilevel"/>
    <w:tmpl w:val="E4D08A9A"/>
    <w:lvl w:ilvl="0" w:tplc="0402000D">
      <w:start w:val="1"/>
      <w:numFmt w:val="bullet"/>
      <w:lvlText w:val=""/>
      <w:lvlJc w:val="left"/>
      <w:pPr>
        <w:ind w:left="5676" w:hanging="360"/>
      </w:pPr>
      <w:rPr>
        <w:rFonts w:ascii="Wingdings" w:hAnsi="Wingdings" w:hint="default"/>
      </w:rPr>
    </w:lvl>
    <w:lvl w:ilvl="1" w:tplc="04020003" w:tentative="1">
      <w:start w:val="1"/>
      <w:numFmt w:val="bullet"/>
      <w:lvlText w:val="o"/>
      <w:lvlJc w:val="left"/>
      <w:pPr>
        <w:ind w:left="6396" w:hanging="360"/>
      </w:pPr>
      <w:rPr>
        <w:rFonts w:ascii="Courier New" w:hAnsi="Courier New" w:cs="Courier New" w:hint="default"/>
      </w:rPr>
    </w:lvl>
    <w:lvl w:ilvl="2" w:tplc="04020005" w:tentative="1">
      <w:start w:val="1"/>
      <w:numFmt w:val="bullet"/>
      <w:lvlText w:val=""/>
      <w:lvlJc w:val="left"/>
      <w:pPr>
        <w:ind w:left="7116" w:hanging="360"/>
      </w:pPr>
      <w:rPr>
        <w:rFonts w:ascii="Wingdings" w:hAnsi="Wingdings" w:hint="default"/>
      </w:rPr>
    </w:lvl>
    <w:lvl w:ilvl="3" w:tplc="04020001" w:tentative="1">
      <w:start w:val="1"/>
      <w:numFmt w:val="bullet"/>
      <w:lvlText w:val=""/>
      <w:lvlJc w:val="left"/>
      <w:pPr>
        <w:ind w:left="7836" w:hanging="360"/>
      </w:pPr>
      <w:rPr>
        <w:rFonts w:ascii="Symbol" w:hAnsi="Symbol" w:hint="default"/>
      </w:rPr>
    </w:lvl>
    <w:lvl w:ilvl="4" w:tplc="04020003" w:tentative="1">
      <w:start w:val="1"/>
      <w:numFmt w:val="bullet"/>
      <w:lvlText w:val="o"/>
      <w:lvlJc w:val="left"/>
      <w:pPr>
        <w:ind w:left="8556" w:hanging="360"/>
      </w:pPr>
      <w:rPr>
        <w:rFonts w:ascii="Courier New" w:hAnsi="Courier New" w:cs="Courier New" w:hint="default"/>
      </w:rPr>
    </w:lvl>
    <w:lvl w:ilvl="5" w:tplc="04020005" w:tentative="1">
      <w:start w:val="1"/>
      <w:numFmt w:val="bullet"/>
      <w:lvlText w:val=""/>
      <w:lvlJc w:val="left"/>
      <w:pPr>
        <w:ind w:left="9276" w:hanging="360"/>
      </w:pPr>
      <w:rPr>
        <w:rFonts w:ascii="Wingdings" w:hAnsi="Wingdings" w:hint="default"/>
      </w:rPr>
    </w:lvl>
    <w:lvl w:ilvl="6" w:tplc="04020001" w:tentative="1">
      <w:start w:val="1"/>
      <w:numFmt w:val="bullet"/>
      <w:lvlText w:val=""/>
      <w:lvlJc w:val="left"/>
      <w:pPr>
        <w:ind w:left="9996" w:hanging="360"/>
      </w:pPr>
      <w:rPr>
        <w:rFonts w:ascii="Symbol" w:hAnsi="Symbol" w:hint="default"/>
      </w:rPr>
    </w:lvl>
    <w:lvl w:ilvl="7" w:tplc="04020003" w:tentative="1">
      <w:start w:val="1"/>
      <w:numFmt w:val="bullet"/>
      <w:lvlText w:val="o"/>
      <w:lvlJc w:val="left"/>
      <w:pPr>
        <w:ind w:left="10716" w:hanging="360"/>
      </w:pPr>
      <w:rPr>
        <w:rFonts w:ascii="Courier New" w:hAnsi="Courier New" w:cs="Courier New" w:hint="default"/>
      </w:rPr>
    </w:lvl>
    <w:lvl w:ilvl="8" w:tplc="04020005" w:tentative="1">
      <w:start w:val="1"/>
      <w:numFmt w:val="bullet"/>
      <w:lvlText w:val=""/>
      <w:lvlJc w:val="left"/>
      <w:pPr>
        <w:ind w:left="11436" w:hanging="360"/>
      </w:pPr>
      <w:rPr>
        <w:rFonts w:ascii="Wingdings" w:hAnsi="Wingdings" w:hint="default"/>
      </w:rPr>
    </w:lvl>
  </w:abstractNum>
  <w:abstractNum w:abstractNumId="5" w15:restartNumberingAfterBreak="0">
    <w:nsid w:val="0B2125B4"/>
    <w:multiLevelType w:val="multilevel"/>
    <w:tmpl w:val="7D5224AA"/>
    <w:lvl w:ilvl="0">
      <w:numFmt w:val="bullet"/>
      <w:lvlText w:val="-"/>
      <w:lvlJc w:val="left"/>
      <w:pPr>
        <w:ind w:left="-32767" w:hanging="32486"/>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04348B"/>
    <w:multiLevelType w:val="multilevel"/>
    <w:tmpl w:val="ABFA1C20"/>
    <w:lvl w:ilvl="0">
      <w:start w:val="1"/>
      <w:numFmt w:val="bullet"/>
      <w:lvlText w:val=""/>
      <w:lvlJc w:val="left"/>
      <w:pPr>
        <w:ind w:left="0" w:firstLine="4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72835"/>
    <w:multiLevelType w:val="multilevel"/>
    <w:tmpl w:val="7B586E5A"/>
    <w:lvl w:ilvl="0">
      <w:start w:val="1"/>
      <w:numFmt w:val="bullet"/>
      <w:lvlText w:val=""/>
      <w:lvlJc w:val="left"/>
      <w:pPr>
        <w:tabs>
          <w:tab w:val="num" w:pos="532"/>
        </w:tabs>
        <w:ind w:left="532" w:hanging="390"/>
      </w:pPr>
      <w:rPr>
        <w:rFonts w:ascii="Wingdings" w:hAnsi="Wingding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9"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69"/>
    <w:multiLevelType w:val="hybridMultilevel"/>
    <w:tmpl w:val="969A02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236CB"/>
    <w:multiLevelType w:val="hybridMultilevel"/>
    <w:tmpl w:val="9C5CF38C"/>
    <w:lvl w:ilvl="0" w:tplc="EF3EE3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34A9D"/>
    <w:multiLevelType w:val="hybridMultilevel"/>
    <w:tmpl w:val="63A045B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DCB4556"/>
    <w:multiLevelType w:val="hybridMultilevel"/>
    <w:tmpl w:val="4CFCC9E0"/>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40506C4C"/>
    <w:multiLevelType w:val="hybridMultilevel"/>
    <w:tmpl w:val="8E46A080"/>
    <w:lvl w:ilvl="0" w:tplc="0402000B">
      <w:start w:val="1"/>
      <w:numFmt w:val="bullet"/>
      <w:lvlText w:val=""/>
      <w:lvlJc w:val="left"/>
      <w:pPr>
        <w:tabs>
          <w:tab w:val="num" w:pos="928"/>
        </w:tabs>
        <w:ind w:left="928" w:hanging="360"/>
      </w:pPr>
      <w:rPr>
        <w:rFonts w:ascii="Wingdings" w:hAnsi="Wingdings" w:hint="default"/>
      </w:rPr>
    </w:lvl>
    <w:lvl w:ilvl="1" w:tplc="0402000F">
      <w:start w:val="1"/>
      <w:numFmt w:val="decimal"/>
      <w:lvlText w:val="%2."/>
      <w:lvlJc w:val="left"/>
      <w:pPr>
        <w:tabs>
          <w:tab w:val="num" w:pos="1440"/>
        </w:tabs>
        <w:ind w:left="1440" w:hanging="360"/>
      </w:pPr>
      <w:rPr>
        <w:rFont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43DC3"/>
    <w:multiLevelType w:val="hybridMultilevel"/>
    <w:tmpl w:val="59487C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 w15:restartNumberingAfterBreak="0">
    <w:nsid w:val="491C773E"/>
    <w:multiLevelType w:val="hybridMultilevel"/>
    <w:tmpl w:val="95184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EB1EBB"/>
    <w:multiLevelType w:val="hybridMultilevel"/>
    <w:tmpl w:val="A7840AB6"/>
    <w:lvl w:ilvl="0" w:tplc="531CAAA0">
      <w:start w:val="1"/>
      <w:numFmt w:val="bullet"/>
      <w:lvlText w:val=""/>
      <w:lvlJc w:val="left"/>
      <w:pPr>
        <w:tabs>
          <w:tab w:val="num" w:pos="540"/>
        </w:tabs>
        <w:ind w:left="540" w:hanging="360"/>
      </w:pPr>
      <w:rPr>
        <w:rFonts w:ascii="Wingdings" w:hAnsi="Wingdings" w:hint="default"/>
        <w:color w:val="auto"/>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D78F0"/>
    <w:multiLevelType w:val="hybridMultilevel"/>
    <w:tmpl w:val="33664FCA"/>
    <w:lvl w:ilvl="0" w:tplc="5AC6C2E0">
      <w:start w:val="1"/>
      <w:numFmt w:val="bullet"/>
      <w:lvlText w:val=""/>
      <w:lvlJc w:val="left"/>
      <w:pPr>
        <w:tabs>
          <w:tab w:val="num" w:pos="1346"/>
        </w:tabs>
        <w:ind w:left="984" w:firstLine="96"/>
      </w:pPr>
      <w:rPr>
        <w:rFonts w:ascii="Symbol" w:hAnsi="Symbol"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527E6B8E"/>
    <w:multiLevelType w:val="hybridMultilevel"/>
    <w:tmpl w:val="C72A303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A14DC7"/>
    <w:multiLevelType w:val="hybridMultilevel"/>
    <w:tmpl w:val="0612223A"/>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8"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9" w15:restartNumberingAfterBreak="0">
    <w:nsid w:val="637F5E06"/>
    <w:multiLevelType w:val="hybridMultilevel"/>
    <w:tmpl w:val="18803A0C"/>
    <w:lvl w:ilvl="0" w:tplc="F934C166">
      <w:numFmt w:val="bullet"/>
      <w:lvlText w:val="-"/>
      <w:lvlJc w:val="left"/>
      <w:pPr>
        <w:ind w:left="898" w:hanging="360"/>
      </w:pPr>
      <w:rPr>
        <w:rFonts w:ascii="Times New Roman" w:eastAsia="Times New Roman" w:hAnsi="Times New Roman" w:cs="Times New Roman" w:hint="default"/>
      </w:rPr>
    </w:lvl>
    <w:lvl w:ilvl="1" w:tplc="04020003" w:tentative="1">
      <w:start w:val="1"/>
      <w:numFmt w:val="bullet"/>
      <w:lvlText w:val="o"/>
      <w:lvlJc w:val="left"/>
      <w:pPr>
        <w:ind w:left="1618" w:hanging="360"/>
      </w:pPr>
      <w:rPr>
        <w:rFonts w:ascii="Courier New" w:hAnsi="Courier New" w:cs="Courier New" w:hint="default"/>
      </w:rPr>
    </w:lvl>
    <w:lvl w:ilvl="2" w:tplc="04020005" w:tentative="1">
      <w:start w:val="1"/>
      <w:numFmt w:val="bullet"/>
      <w:lvlText w:val=""/>
      <w:lvlJc w:val="left"/>
      <w:pPr>
        <w:ind w:left="2338" w:hanging="360"/>
      </w:pPr>
      <w:rPr>
        <w:rFonts w:ascii="Wingdings" w:hAnsi="Wingdings" w:hint="default"/>
      </w:rPr>
    </w:lvl>
    <w:lvl w:ilvl="3" w:tplc="04020001" w:tentative="1">
      <w:start w:val="1"/>
      <w:numFmt w:val="bullet"/>
      <w:lvlText w:val=""/>
      <w:lvlJc w:val="left"/>
      <w:pPr>
        <w:ind w:left="3058" w:hanging="360"/>
      </w:pPr>
      <w:rPr>
        <w:rFonts w:ascii="Symbol" w:hAnsi="Symbol" w:hint="default"/>
      </w:rPr>
    </w:lvl>
    <w:lvl w:ilvl="4" w:tplc="04020003" w:tentative="1">
      <w:start w:val="1"/>
      <w:numFmt w:val="bullet"/>
      <w:lvlText w:val="o"/>
      <w:lvlJc w:val="left"/>
      <w:pPr>
        <w:ind w:left="3778" w:hanging="360"/>
      </w:pPr>
      <w:rPr>
        <w:rFonts w:ascii="Courier New" w:hAnsi="Courier New" w:cs="Courier New" w:hint="default"/>
      </w:rPr>
    </w:lvl>
    <w:lvl w:ilvl="5" w:tplc="04020005" w:tentative="1">
      <w:start w:val="1"/>
      <w:numFmt w:val="bullet"/>
      <w:lvlText w:val=""/>
      <w:lvlJc w:val="left"/>
      <w:pPr>
        <w:ind w:left="4498" w:hanging="360"/>
      </w:pPr>
      <w:rPr>
        <w:rFonts w:ascii="Wingdings" w:hAnsi="Wingdings" w:hint="default"/>
      </w:rPr>
    </w:lvl>
    <w:lvl w:ilvl="6" w:tplc="04020001" w:tentative="1">
      <w:start w:val="1"/>
      <w:numFmt w:val="bullet"/>
      <w:lvlText w:val=""/>
      <w:lvlJc w:val="left"/>
      <w:pPr>
        <w:ind w:left="5218" w:hanging="360"/>
      </w:pPr>
      <w:rPr>
        <w:rFonts w:ascii="Symbol" w:hAnsi="Symbol" w:hint="default"/>
      </w:rPr>
    </w:lvl>
    <w:lvl w:ilvl="7" w:tplc="04020003" w:tentative="1">
      <w:start w:val="1"/>
      <w:numFmt w:val="bullet"/>
      <w:lvlText w:val="o"/>
      <w:lvlJc w:val="left"/>
      <w:pPr>
        <w:ind w:left="5938" w:hanging="360"/>
      </w:pPr>
      <w:rPr>
        <w:rFonts w:ascii="Courier New" w:hAnsi="Courier New" w:cs="Courier New" w:hint="default"/>
      </w:rPr>
    </w:lvl>
    <w:lvl w:ilvl="8" w:tplc="04020005" w:tentative="1">
      <w:start w:val="1"/>
      <w:numFmt w:val="bullet"/>
      <w:lvlText w:val=""/>
      <w:lvlJc w:val="left"/>
      <w:pPr>
        <w:ind w:left="6658" w:hanging="360"/>
      </w:pPr>
      <w:rPr>
        <w:rFonts w:ascii="Wingdings" w:hAnsi="Wingdings" w:hint="default"/>
      </w:rPr>
    </w:lvl>
  </w:abstractNum>
  <w:abstractNum w:abstractNumId="30" w15:restartNumberingAfterBreak="0">
    <w:nsid w:val="643A5E75"/>
    <w:multiLevelType w:val="hybridMultilevel"/>
    <w:tmpl w:val="B314ADC8"/>
    <w:lvl w:ilvl="0" w:tplc="04020001">
      <w:start w:val="1"/>
      <w:numFmt w:val="bullet"/>
      <w:lvlText w:val=""/>
      <w:lvlJc w:val="left"/>
      <w:pPr>
        <w:tabs>
          <w:tab w:val="num" w:pos="1101"/>
        </w:tabs>
        <w:ind w:left="1101" w:hanging="360"/>
      </w:pPr>
      <w:rPr>
        <w:rFonts w:ascii="Symbol" w:hAnsi="Symbol" w:hint="default"/>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31"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A500E"/>
    <w:multiLevelType w:val="hybridMultilevel"/>
    <w:tmpl w:val="C470860A"/>
    <w:lvl w:ilvl="0" w:tplc="0402000B">
      <w:start w:val="1"/>
      <w:numFmt w:val="bullet"/>
      <w:lvlText w:val=""/>
      <w:lvlJc w:val="left"/>
      <w:pPr>
        <w:tabs>
          <w:tab w:val="num" w:pos="700"/>
        </w:tabs>
        <w:ind w:left="700" w:hanging="360"/>
      </w:pPr>
      <w:rPr>
        <w:rFonts w:ascii="Wingdings" w:hAnsi="Wingdings"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7" w15:restartNumberingAfterBreak="0">
    <w:nsid w:val="6EBF7192"/>
    <w:multiLevelType w:val="hybridMultilevel"/>
    <w:tmpl w:val="7B3C4318"/>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F1E15D4"/>
    <w:multiLevelType w:val="hybridMultilevel"/>
    <w:tmpl w:val="9DAEC4A6"/>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8209C"/>
    <w:multiLevelType w:val="hybridMultilevel"/>
    <w:tmpl w:val="5624217C"/>
    <w:lvl w:ilvl="0" w:tplc="CA968970">
      <w:start w:val="43"/>
      <w:numFmt w:val="bullet"/>
      <w:lvlText w:val="-"/>
      <w:lvlJc w:val="left"/>
      <w:pPr>
        <w:ind w:left="1429" w:hanging="360"/>
      </w:pPr>
      <w:rPr>
        <w:rFonts w:ascii="Times New Roman" w:eastAsia="Times New Roman" w:hAnsi="Times New Roman"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40"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1" w15:restartNumberingAfterBreak="0">
    <w:nsid w:val="74400184"/>
    <w:multiLevelType w:val="hybridMultilevel"/>
    <w:tmpl w:val="93A0FF94"/>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CAE42808">
      <w:start w:val="1"/>
      <w:numFmt w:val="bullet"/>
      <w:lvlText w:val=""/>
      <w:lvlJc w:val="left"/>
      <w:pPr>
        <w:tabs>
          <w:tab w:val="num" w:pos="1440"/>
        </w:tabs>
        <w:ind w:left="1440" w:hanging="360"/>
      </w:pPr>
      <w:rPr>
        <w:rFonts w:ascii="Wingdings" w:hAnsi="Wingdings" w:hint="default"/>
        <w:color w:val="00000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837F9"/>
    <w:multiLevelType w:val="hybridMultilevel"/>
    <w:tmpl w:val="21AA00B6"/>
    <w:lvl w:ilvl="0" w:tplc="3B28C328">
      <w:start w:val="1"/>
      <w:numFmt w:val="bullet"/>
      <w:lvlText w:val="♦"/>
      <w:lvlJc w:val="left"/>
      <w:pPr>
        <w:tabs>
          <w:tab w:val="num" w:pos="2880"/>
        </w:tabs>
        <w:ind w:left="2880" w:hanging="360"/>
      </w:pPr>
      <w:rPr>
        <w:rFonts w:ascii="Courier New" w:hAnsi="Courier New" w:hint="default"/>
        <w:sz w:val="24"/>
        <w:szCs w:val="24"/>
      </w:rPr>
    </w:lvl>
    <w:lvl w:ilvl="1" w:tplc="72E4233E">
      <w:start w:val="1"/>
      <w:numFmt w:val="bullet"/>
      <w:lvlText w:val=""/>
      <w:lvlJc w:val="left"/>
      <w:pPr>
        <w:tabs>
          <w:tab w:val="num" w:pos="2160"/>
        </w:tabs>
        <w:ind w:left="2160" w:hanging="360"/>
      </w:pPr>
      <w:rPr>
        <w:rFonts w:ascii="Symbol" w:hAnsi="Symbol" w:hint="default"/>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9F336A1"/>
    <w:multiLevelType w:val="hybridMultilevel"/>
    <w:tmpl w:val="AF282760"/>
    <w:lvl w:ilvl="0" w:tplc="17CA124E">
      <w:start w:val="1"/>
      <w:numFmt w:val="bullet"/>
      <w:lvlText w:val=""/>
      <w:lvlJc w:val="left"/>
      <w:pPr>
        <w:ind w:left="786"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4"/>
  </w:num>
  <w:num w:numId="4">
    <w:abstractNumId w:val="12"/>
  </w:num>
  <w:num w:numId="5">
    <w:abstractNumId w:val="38"/>
  </w:num>
  <w:num w:numId="6">
    <w:abstractNumId w:val="25"/>
  </w:num>
  <w:num w:numId="7">
    <w:abstractNumId w:val="31"/>
  </w:num>
  <w:num w:numId="8">
    <w:abstractNumId w:val="22"/>
  </w:num>
  <w:num w:numId="9">
    <w:abstractNumId w:val="40"/>
  </w:num>
  <w:num w:numId="10">
    <w:abstractNumId w:val="33"/>
  </w:num>
  <w:num w:numId="11">
    <w:abstractNumId w:val="30"/>
  </w:num>
  <w:num w:numId="12">
    <w:abstractNumId w:val="42"/>
  </w:num>
  <w:num w:numId="13">
    <w:abstractNumId w:val="41"/>
  </w:num>
  <w:num w:numId="14">
    <w:abstractNumId w:val="35"/>
  </w:num>
  <w:num w:numId="15">
    <w:abstractNumId w:val="20"/>
  </w:num>
  <w:num w:numId="16">
    <w:abstractNumId w:val="9"/>
  </w:num>
  <w:num w:numId="17">
    <w:abstractNumId w:val="10"/>
  </w:num>
  <w:num w:numId="18">
    <w:abstractNumId w:val="21"/>
  </w:num>
  <w:num w:numId="19">
    <w:abstractNumId w:val="27"/>
  </w:num>
  <w:num w:numId="20">
    <w:abstractNumId w:val="36"/>
  </w:num>
  <w:num w:numId="21">
    <w:abstractNumId w:val="28"/>
  </w:num>
  <w:num w:numId="22">
    <w:abstractNumId w:val="17"/>
  </w:num>
  <w:num w:numId="23">
    <w:abstractNumId w:val="1"/>
  </w:num>
  <w:num w:numId="24">
    <w:abstractNumId w:val="3"/>
  </w:num>
  <w:num w:numId="25">
    <w:abstractNumId w:val="39"/>
  </w:num>
  <w:num w:numId="26">
    <w:abstractNumId w:val="26"/>
  </w:num>
  <w:num w:numId="27">
    <w:abstractNumId w:val="8"/>
  </w:num>
  <w:num w:numId="28">
    <w:abstractNumId w:val="16"/>
  </w:num>
  <w:num w:numId="29">
    <w:abstractNumId w:val="23"/>
  </w:num>
  <w:num w:numId="30">
    <w:abstractNumId w:val="15"/>
  </w:num>
  <w:num w:numId="31">
    <w:abstractNumId w:val="2"/>
  </w:num>
  <w:num w:numId="32">
    <w:abstractNumId w:val="19"/>
  </w:num>
  <w:num w:numId="33">
    <w:abstractNumId w:val="5"/>
  </w:num>
  <w:num w:numId="34">
    <w:abstractNumId w:val="29"/>
  </w:num>
  <w:num w:numId="35">
    <w:abstractNumId w:val="13"/>
  </w:num>
  <w:num w:numId="36">
    <w:abstractNumId w:val="4"/>
  </w:num>
  <w:num w:numId="37">
    <w:abstractNumId w:val="43"/>
  </w:num>
  <w:num w:numId="38">
    <w:abstractNumId w:val="37"/>
  </w:num>
  <w:num w:numId="39">
    <w:abstractNumId w:val="7"/>
  </w:num>
  <w:num w:numId="40">
    <w:abstractNumId w:val="14"/>
  </w:num>
  <w:num w:numId="41">
    <w:abstractNumId w:val="24"/>
  </w:num>
  <w:num w:numId="42">
    <w:abstractNumId w:val="0"/>
  </w:num>
  <w:num w:numId="43">
    <w:abstractNumId w:val="11"/>
  </w:num>
  <w:num w:numId="4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15"/>
    <w:rsid w:val="00000EF0"/>
    <w:rsid w:val="00000FE1"/>
    <w:rsid w:val="000010D2"/>
    <w:rsid w:val="00001580"/>
    <w:rsid w:val="000016BE"/>
    <w:rsid w:val="00001ABF"/>
    <w:rsid w:val="00001CF0"/>
    <w:rsid w:val="00002BD7"/>
    <w:rsid w:val="00002D9C"/>
    <w:rsid w:val="00003489"/>
    <w:rsid w:val="00003B52"/>
    <w:rsid w:val="00004264"/>
    <w:rsid w:val="00005544"/>
    <w:rsid w:val="00005A85"/>
    <w:rsid w:val="000063FC"/>
    <w:rsid w:val="000065C6"/>
    <w:rsid w:val="0000691E"/>
    <w:rsid w:val="00006956"/>
    <w:rsid w:val="00006A56"/>
    <w:rsid w:val="00006EBC"/>
    <w:rsid w:val="00007F94"/>
    <w:rsid w:val="000111D3"/>
    <w:rsid w:val="00011383"/>
    <w:rsid w:val="000119C6"/>
    <w:rsid w:val="000122E0"/>
    <w:rsid w:val="00012431"/>
    <w:rsid w:val="00012533"/>
    <w:rsid w:val="000126AC"/>
    <w:rsid w:val="0001276F"/>
    <w:rsid w:val="00012AE6"/>
    <w:rsid w:val="00012C07"/>
    <w:rsid w:val="0001332F"/>
    <w:rsid w:val="00013357"/>
    <w:rsid w:val="0001356B"/>
    <w:rsid w:val="00013677"/>
    <w:rsid w:val="00013B93"/>
    <w:rsid w:val="00013C59"/>
    <w:rsid w:val="000146EA"/>
    <w:rsid w:val="000158A2"/>
    <w:rsid w:val="00015C0F"/>
    <w:rsid w:val="00015D5B"/>
    <w:rsid w:val="0001664B"/>
    <w:rsid w:val="00017412"/>
    <w:rsid w:val="000175C7"/>
    <w:rsid w:val="000178CA"/>
    <w:rsid w:val="00017EA1"/>
    <w:rsid w:val="0002050E"/>
    <w:rsid w:val="000215BD"/>
    <w:rsid w:val="00021A5F"/>
    <w:rsid w:val="000221B7"/>
    <w:rsid w:val="00022856"/>
    <w:rsid w:val="000229E1"/>
    <w:rsid w:val="00022CAC"/>
    <w:rsid w:val="00022D9E"/>
    <w:rsid w:val="00023244"/>
    <w:rsid w:val="0002351F"/>
    <w:rsid w:val="00023BF6"/>
    <w:rsid w:val="00023D31"/>
    <w:rsid w:val="00024065"/>
    <w:rsid w:val="0002444B"/>
    <w:rsid w:val="0002477E"/>
    <w:rsid w:val="0002478B"/>
    <w:rsid w:val="000249B9"/>
    <w:rsid w:val="000252F3"/>
    <w:rsid w:val="000256B4"/>
    <w:rsid w:val="00025953"/>
    <w:rsid w:val="000259F6"/>
    <w:rsid w:val="00025F45"/>
    <w:rsid w:val="000262DF"/>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2B7F"/>
    <w:rsid w:val="00033525"/>
    <w:rsid w:val="00033590"/>
    <w:rsid w:val="00033ACB"/>
    <w:rsid w:val="000340ED"/>
    <w:rsid w:val="00034135"/>
    <w:rsid w:val="00034396"/>
    <w:rsid w:val="00034FE3"/>
    <w:rsid w:val="0003586B"/>
    <w:rsid w:val="000359FA"/>
    <w:rsid w:val="0003621F"/>
    <w:rsid w:val="000363A8"/>
    <w:rsid w:val="0003685F"/>
    <w:rsid w:val="000369D6"/>
    <w:rsid w:val="00036A1B"/>
    <w:rsid w:val="00037141"/>
    <w:rsid w:val="000377BC"/>
    <w:rsid w:val="000378DC"/>
    <w:rsid w:val="0003798B"/>
    <w:rsid w:val="00040164"/>
    <w:rsid w:val="000406B2"/>
    <w:rsid w:val="0004080C"/>
    <w:rsid w:val="0004098D"/>
    <w:rsid w:val="00040C20"/>
    <w:rsid w:val="000411D9"/>
    <w:rsid w:val="00041338"/>
    <w:rsid w:val="00042634"/>
    <w:rsid w:val="00042853"/>
    <w:rsid w:val="00042C9E"/>
    <w:rsid w:val="00042E57"/>
    <w:rsid w:val="0004338F"/>
    <w:rsid w:val="000436DD"/>
    <w:rsid w:val="000439F5"/>
    <w:rsid w:val="00043AA0"/>
    <w:rsid w:val="00043AB2"/>
    <w:rsid w:val="00043E35"/>
    <w:rsid w:val="00043E3A"/>
    <w:rsid w:val="00044147"/>
    <w:rsid w:val="00044187"/>
    <w:rsid w:val="0004426E"/>
    <w:rsid w:val="00044273"/>
    <w:rsid w:val="0004481C"/>
    <w:rsid w:val="00045116"/>
    <w:rsid w:val="0004559E"/>
    <w:rsid w:val="00045688"/>
    <w:rsid w:val="000458F0"/>
    <w:rsid w:val="00045B4C"/>
    <w:rsid w:val="000465FC"/>
    <w:rsid w:val="0004753C"/>
    <w:rsid w:val="000500CE"/>
    <w:rsid w:val="000504F4"/>
    <w:rsid w:val="0005066A"/>
    <w:rsid w:val="00050A1B"/>
    <w:rsid w:val="00051E5E"/>
    <w:rsid w:val="00052449"/>
    <w:rsid w:val="00052485"/>
    <w:rsid w:val="0005284D"/>
    <w:rsid w:val="00052B23"/>
    <w:rsid w:val="00052C5C"/>
    <w:rsid w:val="00053B0F"/>
    <w:rsid w:val="00053C71"/>
    <w:rsid w:val="00053D51"/>
    <w:rsid w:val="00054555"/>
    <w:rsid w:val="000546BF"/>
    <w:rsid w:val="000548B8"/>
    <w:rsid w:val="00054CE2"/>
    <w:rsid w:val="00054E02"/>
    <w:rsid w:val="00055007"/>
    <w:rsid w:val="000551E4"/>
    <w:rsid w:val="00055A61"/>
    <w:rsid w:val="00055DD1"/>
    <w:rsid w:val="000561EA"/>
    <w:rsid w:val="00056221"/>
    <w:rsid w:val="00056B58"/>
    <w:rsid w:val="00056D9D"/>
    <w:rsid w:val="0005737D"/>
    <w:rsid w:val="0005756A"/>
    <w:rsid w:val="00057886"/>
    <w:rsid w:val="00060A02"/>
    <w:rsid w:val="00060B42"/>
    <w:rsid w:val="000613BA"/>
    <w:rsid w:val="0006166E"/>
    <w:rsid w:val="00061758"/>
    <w:rsid w:val="000621DE"/>
    <w:rsid w:val="00062315"/>
    <w:rsid w:val="00062A61"/>
    <w:rsid w:val="00062A78"/>
    <w:rsid w:val="00063093"/>
    <w:rsid w:val="00063235"/>
    <w:rsid w:val="00063248"/>
    <w:rsid w:val="00063C56"/>
    <w:rsid w:val="00063CF1"/>
    <w:rsid w:val="00063E15"/>
    <w:rsid w:val="000642B9"/>
    <w:rsid w:val="0006432D"/>
    <w:rsid w:val="00064472"/>
    <w:rsid w:val="0006477A"/>
    <w:rsid w:val="00064AF3"/>
    <w:rsid w:val="00064C44"/>
    <w:rsid w:val="00064E39"/>
    <w:rsid w:val="00064F71"/>
    <w:rsid w:val="0006584F"/>
    <w:rsid w:val="00065A46"/>
    <w:rsid w:val="00065DF8"/>
    <w:rsid w:val="000663D1"/>
    <w:rsid w:val="000666C0"/>
    <w:rsid w:val="000669D8"/>
    <w:rsid w:val="00066EED"/>
    <w:rsid w:val="00067283"/>
    <w:rsid w:val="00067469"/>
    <w:rsid w:val="0006785C"/>
    <w:rsid w:val="0007007C"/>
    <w:rsid w:val="0007047E"/>
    <w:rsid w:val="000709C1"/>
    <w:rsid w:val="00070A97"/>
    <w:rsid w:val="00071C3B"/>
    <w:rsid w:val="00071F12"/>
    <w:rsid w:val="0007251B"/>
    <w:rsid w:val="00072C4F"/>
    <w:rsid w:val="00072D22"/>
    <w:rsid w:val="00073108"/>
    <w:rsid w:val="00073DF5"/>
    <w:rsid w:val="00074744"/>
    <w:rsid w:val="00074B7D"/>
    <w:rsid w:val="000751C1"/>
    <w:rsid w:val="00075256"/>
    <w:rsid w:val="0007526B"/>
    <w:rsid w:val="000756FB"/>
    <w:rsid w:val="000768B3"/>
    <w:rsid w:val="00076B59"/>
    <w:rsid w:val="000801C8"/>
    <w:rsid w:val="00080AB2"/>
    <w:rsid w:val="00080EF5"/>
    <w:rsid w:val="0008155D"/>
    <w:rsid w:val="0008165A"/>
    <w:rsid w:val="000819F9"/>
    <w:rsid w:val="00081AFD"/>
    <w:rsid w:val="00082392"/>
    <w:rsid w:val="00082679"/>
    <w:rsid w:val="000827A4"/>
    <w:rsid w:val="000829EB"/>
    <w:rsid w:val="00082BD9"/>
    <w:rsid w:val="00082F40"/>
    <w:rsid w:val="0008327E"/>
    <w:rsid w:val="000832E5"/>
    <w:rsid w:val="000833A2"/>
    <w:rsid w:val="0008357F"/>
    <w:rsid w:val="000853B1"/>
    <w:rsid w:val="00085704"/>
    <w:rsid w:val="00085734"/>
    <w:rsid w:val="00085B96"/>
    <w:rsid w:val="00085E01"/>
    <w:rsid w:val="00085E1A"/>
    <w:rsid w:val="00086A8E"/>
    <w:rsid w:val="00086FA7"/>
    <w:rsid w:val="00087295"/>
    <w:rsid w:val="0008745A"/>
    <w:rsid w:val="000878C4"/>
    <w:rsid w:val="00087924"/>
    <w:rsid w:val="00087ED6"/>
    <w:rsid w:val="0009002F"/>
    <w:rsid w:val="000900E3"/>
    <w:rsid w:val="000901EA"/>
    <w:rsid w:val="000902B5"/>
    <w:rsid w:val="00090D1D"/>
    <w:rsid w:val="00091196"/>
    <w:rsid w:val="00091BCE"/>
    <w:rsid w:val="000931C8"/>
    <w:rsid w:val="000937AB"/>
    <w:rsid w:val="000937E0"/>
    <w:rsid w:val="00093CFC"/>
    <w:rsid w:val="00093F6F"/>
    <w:rsid w:val="000943E4"/>
    <w:rsid w:val="000949D3"/>
    <w:rsid w:val="00094A6C"/>
    <w:rsid w:val="00094A78"/>
    <w:rsid w:val="00095164"/>
    <w:rsid w:val="0009519B"/>
    <w:rsid w:val="000959DC"/>
    <w:rsid w:val="00095CA2"/>
    <w:rsid w:val="00095EF0"/>
    <w:rsid w:val="0009649D"/>
    <w:rsid w:val="0009743A"/>
    <w:rsid w:val="00097C52"/>
    <w:rsid w:val="000A052A"/>
    <w:rsid w:val="000A09BA"/>
    <w:rsid w:val="000A10E1"/>
    <w:rsid w:val="000A301B"/>
    <w:rsid w:val="000A3426"/>
    <w:rsid w:val="000A3F57"/>
    <w:rsid w:val="000A4432"/>
    <w:rsid w:val="000A5B32"/>
    <w:rsid w:val="000A6E4D"/>
    <w:rsid w:val="000A7446"/>
    <w:rsid w:val="000A7841"/>
    <w:rsid w:val="000B0616"/>
    <w:rsid w:val="000B0815"/>
    <w:rsid w:val="000B09E5"/>
    <w:rsid w:val="000B0BED"/>
    <w:rsid w:val="000B0CE6"/>
    <w:rsid w:val="000B11FB"/>
    <w:rsid w:val="000B175F"/>
    <w:rsid w:val="000B1A24"/>
    <w:rsid w:val="000B1E59"/>
    <w:rsid w:val="000B25CC"/>
    <w:rsid w:val="000B2CBE"/>
    <w:rsid w:val="000B330C"/>
    <w:rsid w:val="000B460F"/>
    <w:rsid w:val="000B474D"/>
    <w:rsid w:val="000B49EE"/>
    <w:rsid w:val="000B511E"/>
    <w:rsid w:val="000B5123"/>
    <w:rsid w:val="000B52FA"/>
    <w:rsid w:val="000B5F1E"/>
    <w:rsid w:val="000B62C7"/>
    <w:rsid w:val="000B64BA"/>
    <w:rsid w:val="000B67EA"/>
    <w:rsid w:val="000B6D3A"/>
    <w:rsid w:val="000B7234"/>
    <w:rsid w:val="000B7447"/>
    <w:rsid w:val="000B75C1"/>
    <w:rsid w:val="000B7C4F"/>
    <w:rsid w:val="000B7E66"/>
    <w:rsid w:val="000C019B"/>
    <w:rsid w:val="000C06FE"/>
    <w:rsid w:val="000C0A44"/>
    <w:rsid w:val="000C0FA1"/>
    <w:rsid w:val="000C13A5"/>
    <w:rsid w:val="000C244E"/>
    <w:rsid w:val="000C2FAC"/>
    <w:rsid w:val="000C3451"/>
    <w:rsid w:val="000C3D73"/>
    <w:rsid w:val="000C4760"/>
    <w:rsid w:val="000C4CBB"/>
    <w:rsid w:val="000C56B9"/>
    <w:rsid w:val="000C5ACF"/>
    <w:rsid w:val="000C5C6D"/>
    <w:rsid w:val="000C6079"/>
    <w:rsid w:val="000C6742"/>
    <w:rsid w:val="000C69AE"/>
    <w:rsid w:val="000C6CB5"/>
    <w:rsid w:val="000C6CF3"/>
    <w:rsid w:val="000C6EFE"/>
    <w:rsid w:val="000C72DC"/>
    <w:rsid w:val="000C7303"/>
    <w:rsid w:val="000C736E"/>
    <w:rsid w:val="000C75A5"/>
    <w:rsid w:val="000C75DD"/>
    <w:rsid w:val="000C773E"/>
    <w:rsid w:val="000C7BB6"/>
    <w:rsid w:val="000D01A6"/>
    <w:rsid w:val="000D0538"/>
    <w:rsid w:val="000D06A6"/>
    <w:rsid w:val="000D0AB1"/>
    <w:rsid w:val="000D0EA5"/>
    <w:rsid w:val="000D13E1"/>
    <w:rsid w:val="000D23F8"/>
    <w:rsid w:val="000D2516"/>
    <w:rsid w:val="000D26D5"/>
    <w:rsid w:val="000D2B33"/>
    <w:rsid w:val="000D2BE7"/>
    <w:rsid w:val="000D3407"/>
    <w:rsid w:val="000D3942"/>
    <w:rsid w:val="000D3FA7"/>
    <w:rsid w:val="000D4203"/>
    <w:rsid w:val="000D46FD"/>
    <w:rsid w:val="000D46FF"/>
    <w:rsid w:val="000D49F5"/>
    <w:rsid w:val="000D4BEB"/>
    <w:rsid w:val="000D4CF8"/>
    <w:rsid w:val="000D5449"/>
    <w:rsid w:val="000D5722"/>
    <w:rsid w:val="000D5EE2"/>
    <w:rsid w:val="000D6D92"/>
    <w:rsid w:val="000D725A"/>
    <w:rsid w:val="000D740D"/>
    <w:rsid w:val="000D78E4"/>
    <w:rsid w:val="000D7B46"/>
    <w:rsid w:val="000E0B42"/>
    <w:rsid w:val="000E0EBA"/>
    <w:rsid w:val="000E0EE9"/>
    <w:rsid w:val="000E1529"/>
    <w:rsid w:val="000E1EAF"/>
    <w:rsid w:val="000E1FB5"/>
    <w:rsid w:val="000E2207"/>
    <w:rsid w:val="000E234B"/>
    <w:rsid w:val="000E2869"/>
    <w:rsid w:val="000E2894"/>
    <w:rsid w:val="000E2B21"/>
    <w:rsid w:val="000E2BF2"/>
    <w:rsid w:val="000E39DF"/>
    <w:rsid w:val="000E3BA7"/>
    <w:rsid w:val="000E3CDC"/>
    <w:rsid w:val="000E3DA0"/>
    <w:rsid w:val="000E4599"/>
    <w:rsid w:val="000E4CFE"/>
    <w:rsid w:val="000E4EB4"/>
    <w:rsid w:val="000E5205"/>
    <w:rsid w:val="000E5295"/>
    <w:rsid w:val="000E5483"/>
    <w:rsid w:val="000E5EE9"/>
    <w:rsid w:val="000E632B"/>
    <w:rsid w:val="000E6968"/>
    <w:rsid w:val="000E69D1"/>
    <w:rsid w:val="000E76B3"/>
    <w:rsid w:val="000E773D"/>
    <w:rsid w:val="000F04F4"/>
    <w:rsid w:val="000F0BD7"/>
    <w:rsid w:val="000F1488"/>
    <w:rsid w:val="000F1EB1"/>
    <w:rsid w:val="000F26DE"/>
    <w:rsid w:val="000F32E9"/>
    <w:rsid w:val="000F3534"/>
    <w:rsid w:val="000F3A6E"/>
    <w:rsid w:val="000F3EA1"/>
    <w:rsid w:val="000F4571"/>
    <w:rsid w:val="000F47A8"/>
    <w:rsid w:val="000F4AE4"/>
    <w:rsid w:val="000F4DCA"/>
    <w:rsid w:val="000F5080"/>
    <w:rsid w:val="000F57CC"/>
    <w:rsid w:val="000F5EC6"/>
    <w:rsid w:val="000F5EF4"/>
    <w:rsid w:val="000F5F76"/>
    <w:rsid w:val="000F68AF"/>
    <w:rsid w:val="000F6975"/>
    <w:rsid w:val="000F6B35"/>
    <w:rsid w:val="0010026D"/>
    <w:rsid w:val="0010055E"/>
    <w:rsid w:val="001006E1"/>
    <w:rsid w:val="00100931"/>
    <w:rsid w:val="00100CE5"/>
    <w:rsid w:val="00100D97"/>
    <w:rsid w:val="001011A4"/>
    <w:rsid w:val="00101301"/>
    <w:rsid w:val="001017B7"/>
    <w:rsid w:val="00101B1C"/>
    <w:rsid w:val="00101D61"/>
    <w:rsid w:val="0010212B"/>
    <w:rsid w:val="00102523"/>
    <w:rsid w:val="0010261A"/>
    <w:rsid w:val="00102869"/>
    <w:rsid w:val="001028F7"/>
    <w:rsid w:val="00102BA6"/>
    <w:rsid w:val="0010358B"/>
    <w:rsid w:val="00103BC3"/>
    <w:rsid w:val="0010424C"/>
    <w:rsid w:val="00104331"/>
    <w:rsid w:val="001046B0"/>
    <w:rsid w:val="00104BB5"/>
    <w:rsid w:val="00104ED0"/>
    <w:rsid w:val="0010539A"/>
    <w:rsid w:val="001053A6"/>
    <w:rsid w:val="00105B38"/>
    <w:rsid w:val="00106009"/>
    <w:rsid w:val="00106081"/>
    <w:rsid w:val="001060C0"/>
    <w:rsid w:val="0010649F"/>
    <w:rsid w:val="0010683E"/>
    <w:rsid w:val="00106E64"/>
    <w:rsid w:val="00107065"/>
    <w:rsid w:val="00107258"/>
    <w:rsid w:val="0010743D"/>
    <w:rsid w:val="00107498"/>
    <w:rsid w:val="001077FA"/>
    <w:rsid w:val="00107C9F"/>
    <w:rsid w:val="00107F93"/>
    <w:rsid w:val="00110E74"/>
    <w:rsid w:val="0011137B"/>
    <w:rsid w:val="0011244D"/>
    <w:rsid w:val="00112882"/>
    <w:rsid w:val="00112CAC"/>
    <w:rsid w:val="00112E96"/>
    <w:rsid w:val="00113FD8"/>
    <w:rsid w:val="00114D25"/>
    <w:rsid w:val="00114D27"/>
    <w:rsid w:val="00114DE5"/>
    <w:rsid w:val="00116AF1"/>
    <w:rsid w:val="00116D77"/>
    <w:rsid w:val="001173BA"/>
    <w:rsid w:val="001179C1"/>
    <w:rsid w:val="00117A49"/>
    <w:rsid w:val="00117C68"/>
    <w:rsid w:val="00117CA6"/>
    <w:rsid w:val="001202E6"/>
    <w:rsid w:val="00120BC1"/>
    <w:rsid w:val="00120CC7"/>
    <w:rsid w:val="00120DB2"/>
    <w:rsid w:val="00121946"/>
    <w:rsid w:val="00122BBB"/>
    <w:rsid w:val="00122F3A"/>
    <w:rsid w:val="00122FCA"/>
    <w:rsid w:val="00123862"/>
    <w:rsid w:val="00123B59"/>
    <w:rsid w:val="00123CED"/>
    <w:rsid w:val="00123E2A"/>
    <w:rsid w:val="00124548"/>
    <w:rsid w:val="00124777"/>
    <w:rsid w:val="00124FAC"/>
    <w:rsid w:val="00124FB9"/>
    <w:rsid w:val="00125B7A"/>
    <w:rsid w:val="001260AA"/>
    <w:rsid w:val="001264C3"/>
    <w:rsid w:val="00126707"/>
    <w:rsid w:val="00126805"/>
    <w:rsid w:val="001269AE"/>
    <w:rsid w:val="00127D25"/>
    <w:rsid w:val="001301B6"/>
    <w:rsid w:val="001305A6"/>
    <w:rsid w:val="00131B05"/>
    <w:rsid w:val="00132423"/>
    <w:rsid w:val="00132AD1"/>
    <w:rsid w:val="00132CE0"/>
    <w:rsid w:val="00133013"/>
    <w:rsid w:val="00133033"/>
    <w:rsid w:val="0013308F"/>
    <w:rsid w:val="00133183"/>
    <w:rsid w:val="00133478"/>
    <w:rsid w:val="00133644"/>
    <w:rsid w:val="001342F2"/>
    <w:rsid w:val="0013522E"/>
    <w:rsid w:val="0013588C"/>
    <w:rsid w:val="00135A23"/>
    <w:rsid w:val="00135E92"/>
    <w:rsid w:val="001366E5"/>
    <w:rsid w:val="00136893"/>
    <w:rsid w:val="00136C08"/>
    <w:rsid w:val="00136DA4"/>
    <w:rsid w:val="001371FA"/>
    <w:rsid w:val="0013776C"/>
    <w:rsid w:val="001400F3"/>
    <w:rsid w:val="00140F18"/>
    <w:rsid w:val="00140F61"/>
    <w:rsid w:val="0014108F"/>
    <w:rsid w:val="00141B03"/>
    <w:rsid w:val="001423F5"/>
    <w:rsid w:val="00142979"/>
    <w:rsid w:val="00142ABD"/>
    <w:rsid w:val="00142EDB"/>
    <w:rsid w:val="00142FD3"/>
    <w:rsid w:val="00143002"/>
    <w:rsid w:val="001434EA"/>
    <w:rsid w:val="00143814"/>
    <w:rsid w:val="001445AC"/>
    <w:rsid w:val="00144B67"/>
    <w:rsid w:val="00144BF2"/>
    <w:rsid w:val="0014585D"/>
    <w:rsid w:val="00145944"/>
    <w:rsid w:val="00145AD1"/>
    <w:rsid w:val="001462A0"/>
    <w:rsid w:val="00146314"/>
    <w:rsid w:val="001466F3"/>
    <w:rsid w:val="00146C11"/>
    <w:rsid w:val="00147195"/>
    <w:rsid w:val="00150706"/>
    <w:rsid w:val="00150793"/>
    <w:rsid w:val="00150D38"/>
    <w:rsid w:val="00151260"/>
    <w:rsid w:val="001514CB"/>
    <w:rsid w:val="00151757"/>
    <w:rsid w:val="00152672"/>
    <w:rsid w:val="001528EE"/>
    <w:rsid w:val="00152B9C"/>
    <w:rsid w:val="00153077"/>
    <w:rsid w:val="001535F3"/>
    <w:rsid w:val="00153CA6"/>
    <w:rsid w:val="00153DF3"/>
    <w:rsid w:val="00154247"/>
    <w:rsid w:val="001543D7"/>
    <w:rsid w:val="00154B29"/>
    <w:rsid w:val="00154DE5"/>
    <w:rsid w:val="00154FA1"/>
    <w:rsid w:val="00155948"/>
    <w:rsid w:val="00155B06"/>
    <w:rsid w:val="00156356"/>
    <w:rsid w:val="00156A3B"/>
    <w:rsid w:val="00156B18"/>
    <w:rsid w:val="00156F40"/>
    <w:rsid w:val="00157673"/>
    <w:rsid w:val="00157743"/>
    <w:rsid w:val="00157B70"/>
    <w:rsid w:val="00157EC4"/>
    <w:rsid w:val="00157EF5"/>
    <w:rsid w:val="0016023C"/>
    <w:rsid w:val="001606A4"/>
    <w:rsid w:val="00160A10"/>
    <w:rsid w:val="00160C5B"/>
    <w:rsid w:val="00160EC6"/>
    <w:rsid w:val="0016116C"/>
    <w:rsid w:val="0016122A"/>
    <w:rsid w:val="0016140B"/>
    <w:rsid w:val="00161F90"/>
    <w:rsid w:val="001623A2"/>
    <w:rsid w:val="00162F68"/>
    <w:rsid w:val="00163645"/>
    <w:rsid w:val="00164220"/>
    <w:rsid w:val="001643F8"/>
    <w:rsid w:val="0016452C"/>
    <w:rsid w:val="001647E9"/>
    <w:rsid w:val="00164961"/>
    <w:rsid w:val="00164FAD"/>
    <w:rsid w:val="0016560A"/>
    <w:rsid w:val="00165DB5"/>
    <w:rsid w:val="00165FF0"/>
    <w:rsid w:val="00166023"/>
    <w:rsid w:val="001663F9"/>
    <w:rsid w:val="001668BD"/>
    <w:rsid w:val="001671E2"/>
    <w:rsid w:val="0017086C"/>
    <w:rsid w:val="00170EFE"/>
    <w:rsid w:val="00171333"/>
    <w:rsid w:val="00171F8E"/>
    <w:rsid w:val="0017216E"/>
    <w:rsid w:val="001721EA"/>
    <w:rsid w:val="0017261A"/>
    <w:rsid w:val="0017293F"/>
    <w:rsid w:val="00172AEE"/>
    <w:rsid w:val="00173987"/>
    <w:rsid w:val="00173C2D"/>
    <w:rsid w:val="00174441"/>
    <w:rsid w:val="0017483F"/>
    <w:rsid w:val="00174C24"/>
    <w:rsid w:val="0017545F"/>
    <w:rsid w:val="00175494"/>
    <w:rsid w:val="00175539"/>
    <w:rsid w:val="00175890"/>
    <w:rsid w:val="00175A73"/>
    <w:rsid w:val="00175E50"/>
    <w:rsid w:val="00176340"/>
    <w:rsid w:val="00176403"/>
    <w:rsid w:val="00176AE7"/>
    <w:rsid w:val="00176CB6"/>
    <w:rsid w:val="00176E98"/>
    <w:rsid w:val="00177307"/>
    <w:rsid w:val="00180811"/>
    <w:rsid w:val="001808E6"/>
    <w:rsid w:val="00180AEF"/>
    <w:rsid w:val="0018154E"/>
    <w:rsid w:val="00181857"/>
    <w:rsid w:val="00181E4B"/>
    <w:rsid w:val="00181FCA"/>
    <w:rsid w:val="001820C4"/>
    <w:rsid w:val="001824F0"/>
    <w:rsid w:val="001827BB"/>
    <w:rsid w:val="00182A2B"/>
    <w:rsid w:val="00182A94"/>
    <w:rsid w:val="00182C1A"/>
    <w:rsid w:val="00182D63"/>
    <w:rsid w:val="00182F27"/>
    <w:rsid w:val="00183392"/>
    <w:rsid w:val="0018398A"/>
    <w:rsid w:val="00183D5F"/>
    <w:rsid w:val="00183EA5"/>
    <w:rsid w:val="00183FAF"/>
    <w:rsid w:val="00184091"/>
    <w:rsid w:val="00184502"/>
    <w:rsid w:val="0018452B"/>
    <w:rsid w:val="001845D5"/>
    <w:rsid w:val="001846D1"/>
    <w:rsid w:val="00184DF2"/>
    <w:rsid w:val="001850C5"/>
    <w:rsid w:val="0018526D"/>
    <w:rsid w:val="001858CD"/>
    <w:rsid w:val="00185A12"/>
    <w:rsid w:val="00185BF6"/>
    <w:rsid w:val="00185D08"/>
    <w:rsid w:val="00186536"/>
    <w:rsid w:val="001869BB"/>
    <w:rsid w:val="00186C81"/>
    <w:rsid w:val="00186DF9"/>
    <w:rsid w:val="00187AC9"/>
    <w:rsid w:val="00187C31"/>
    <w:rsid w:val="00190983"/>
    <w:rsid w:val="0019151C"/>
    <w:rsid w:val="00191AA6"/>
    <w:rsid w:val="00191AB6"/>
    <w:rsid w:val="00191B55"/>
    <w:rsid w:val="00191EC8"/>
    <w:rsid w:val="00191F79"/>
    <w:rsid w:val="0019213B"/>
    <w:rsid w:val="0019232E"/>
    <w:rsid w:val="0019239F"/>
    <w:rsid w:val="001924F6"/>
    <w:rsid w:val="00192A31"/>
    <w:rsid w:val="00192CDB"/>
    <w:rsid w:val="00192F6E"/>
    <w:rsid w:val="00193D9B"/>
    <w:rsid w:val="00193F20"/>
    <w:rsid w:val="0019413C"/>
    <w:rsid w:val="001941E4"/>
    <w:rsid w:val="00194AF7"/>
    <w:rsid w:val="00194C1F"/>
    <w:rsid w:val="001953AC"/>
    <w:rsid w:val="00195517"/>
    <w:rsid w:val="00195B15"/>
    <w:rsid w:val="00195BE8"/>
    <w:rsid w:val="00195CF2"/>
    <w:rsid w:val="00195E11"/>
    <w:rsid w:val="00195F99"/>
    <w:rsid w:val="00195FB3"/>
    <w:rsid w:val="001965AA"/>
    <w:rsid w:val="0019667B"/>
    <w:rsid w:val="001968E4"/>
    <w:rsid w:val="001971AE"/>
    <w:rsid w:val="00197278"/>
    <w:rsid w:val="00197392"/>
    <w:rsid w:val="00197764"/>
    <w:rsid w:val="00197EC3"/>
    <w:rsid w:val="00197FB1"/>
    <w:rsid w:val="001A0601"/>
    <w:rsid w:val="001A0BB0"/>
    <w:rsid w:val="001A1837"/>
    <w:rsid w:val="001A1C51"/>
    <w:rsid w:val="001A236F"/>
    <w:rsid w:val="001A28BA"/>
    <w:rsid w:val="001A3051"/>
    <w:rsid w:val="001A314B"/>
    <w:rsid w:val="001A3387"/>
    <w:rsid w:val="001A4493"/>
    <w:rsid w:val="001A4589"/>
    <w:rsid w:val="001A5350"/>
    <w:rsid w:val="001A5398"/>
    <w:rsid w:val="001A5553"/>
    <w:rsid w:val="001A59AF"/>
    <w:rsid w:val="001A6777"/>
    <w:rsid w:val="001A6D21"/>
    <w:rsid w:val="001A718A"/>
    <w:rsid w:val="001A718F"/>
    <w:rsid w:val="001A75B9"/>
    <w:rsid w:val="001A7DC2"/>
    <w:rsid w:val="001B09A8"/>
    <w:rsid w:val="001B0A90"/>
    <w:rsid w:val="001B18C3"/>
    <w:rsid w:val="001B1C70"/>
    <w:rsid w:val="001B20E4"/>
    <w:rsid w:val="001B2D1F"/>
    <w:rsid w:val="001B2FCD"/>
    <w:rsid w:val="001B3285"/>
    <w:rsid w:val="001B370A"/>
    <w:rsid w:val="001B39DD"/>
    <w:rsid w:val="001B3BA9"/>
    <w:rsid w:val="001B3E1C"/>
    <w:rsid w:val="001B4165"/>
    <w:rsid w:val="001B427B"/>
    <w:rsid w:val="001B44DB"/>
    <w:rsid w:val="001B4640"/>
    <w:rsid w:val="001B5EA6"/>
    <w:rsid w:val="001B6203"/>
    <w:rsid w:val="001B7112"/>
    <w:rsid w:val="001B72FB"/>
    <w:rsid w:val="001C0277"/>
    <w:rsid w:val="001C0F05"/>
    <w:rsid w:val="001C110F"/>
    <w:rsid w:val="001C129D"/>
    <w:rsid w:val="001C15B0"/>
    <w:rsid w:val="001C1A52"/>
    <w:rsid w:val="001C239A"/>
    <w:rsid w:val="001C2EE5"/>
    <w:rsid w:val="001C395A"/>
    <w:rsid w:val="001C3A25"/>
    <w:rsid w:val="001C486C"/>
    <w:rsid w:val="001C4B35"/>
    <w:rsid w:val="001C4CCF"/>
    <w:rsid w:val="001C501A"/>
    <w:rsid w:val="001C5CC2"/>
    <w:rsid w:val="001C61DB"/>
    <w:rsid w:val="001C6573"/>
    <w:rsid w:val="001C6BA6"/>
    <w:rsid w:val="001C726D"/>
    <w:rsid w:val="001C78CA"/>
    <w:rsid w:val="001D01FB"/>
    <w:rsid w:val="001D0221"/>
    <w:rsid w:val="001D03BA"/>
    <w:rsid w:val="001D13AD"/>
    <w:rsid w:val="001D15E5"/>
    <w:rsid w:val="001D2381"/>
    <w:rsid w:val="001D29EA"/>
    <w:rsid w:val="001D2AFB"/>
    <w:rsid w:val="001D2CE9"/>
    <w:rsid w:val="001D34AF"/>
    <w:rsid w:val="001D3E63"/>
    <w:rsid w:val="001D40DA"/>
    <w:rsid w:val="001D419F"/>
    <w:rsid w:val="001D43D0"/>
    <w:rsid w:val="001D516B"/>
    <w:rsid w:val="001D5A4E"/>
    <w:rsid w:val="001D5C57"/>
    <w:rsid w:val="001D5D9A"/>
    <w:rsid w:val="001D6081"/>
    <w:rsid w:val="001D6B29"/>
    <w:rsid w:val="001D6F2E"/>
    <w:rsid w:val="001D71BC"/>
    <w:rsid w:val="001D7346"/>
    <w:rsid w:val="001D755A"/>
    <w:rsid w:val="001E0367"/>
    <w:rsid w:val="001E094C"/>
    <w:rsid w:val="001E0FF6"/>
    <w:rsid w:val="001E11E2"/>
    <w:rsid w:val="001E11F6"/>
    <w:rsid w:val="001E1857"/>
    <w:rsid w:val="001E2231"/>
    <w:rsid w:val="001E27FB"/>
    <w:rsid w:val="001E2B1A"/>
    <w:rsid w:val="001E2FB8"/>
    <w:rsid w:val="001E3485"/>
    <w:rsid w:val="001E373E"/>
    <w:rsid w:val="001E3753"/>
    <w:rsid w:val="001E383E"/>
    <w:rsid w:val="001E4011"/>
    <w:rsid w:val="001E4060"/>
    <w:rsid w:val="001E4456"/>
    <w:rsid w:val="001E44C8"/>
    <w:rsid w:val="001E4518"/>
    <w:rsid w:val="001E467A"/>
    <w:rsid w:val="001E4E88"/>
    <w:rsid w:val="001E4FFF"/>
    <w:rsid w:val="001E5747"/>
    <w:rsid w:val="001E5BEE"/>
    <w:rsid w:val="001E619D"/>
    <w:rsid w:val="001E6889"/>
    <w:rsid w:val="001E68EE"/>
    <w:rsid w:val="001E751C"/>
    <w:rsid w:val="001E77C4"/>
    <w:rsid w:val="001E7EA4"/>
    <w:rsid w:val="001F00B7"/>
    <w:rsid w:val="001F0187"/>
    <w:rsid w:val="001F1092"/>
    <w:rsid w:val="001F18AA"/>
    <w:rsid w:val="001F1E88"/>
    <w:rsid w:val="001F200A"/>
    <w:rsid w:val="001F2337"/>
    <w:rsid w:val="001F2FB5"/>
    <w:rsid w:val="001F367C"/>
    <w:rsid w:val="001F4EB9"/>
    <w:rsid w:val="001F4FD4"/>
    <w:rsid w:val="001F4FDB"/>
    <w:rsid w:val="001F540A"/>
    <w:rsid w:val="001F58AB"/>
    <w:rsid w:val="001F5D2F"/>
    <w:rsid w:val="001F5E20"/>
    <w:rsid w:val="001F5FA3"/>
    <w:rsid w:val="001F60AC"/>
    <w:rsid w:val="001F6E1E"/>
    <w:rsid w:val="001F6F0C"/>
    <w:rsid w:val="001F73E9"/>
    <w:rsid w:val="001F74B9"/>
    <w:rsid w:val="001F7F82"/>
    <w:rsid w:val="002002AA"/>
    <w:rsid w:val="002003C3"/>
    <w:rsid w:val="00200D50"/>
    <w:rsid w:val="002019D1"/>
    <w:rsid w:val="00201E8F"/>
    <w:rsid w:val="00201FFF"/>
    <w:rsid w:val="002023B3"/>
    <w:rsid w:val="00202CDB"/>
    <w:rsid w:val="00203052"/>
    <w:rsid w:val="0020342F"/>
    <w:rsid w:val="002034CC"/>
    <w:rsid w:val="00203D9B"/>
    <w:rsid w:val="00204381"/>
    <w:rsid w:val="002045FE"/>
    <w:rsid w:val="00204779"/>
    <w:rsid w:val="00204799"/>
    <w:rsid w:val="00204B8D"/>
    <w:rsid w:val="00204EBE"/>
    <w:rsid w:val="00205131"/>
    <w:rsid w:val="002051EA"/>
    <w:rsid w:val="00205B05"/>
    <w:rsid w:val="002060C2"/>
    <w:rsid w:val="00206D91"/>
    <w:rsid w:val="0020765F"/>
    <w:rsid w:val="00207674"/>
    <w:rsid w:val="002076D5"/>
    <w:rsid w:val="00207C9E"/>
    <w:rsid w:val="00210B8A"/>
    <w:rsid w:val="002111F3"/>
    <w:rsid w:val="002117F4"/>
    <w:rsid w:val="002118E8"/>
    <w:rsid w:val="00212024"/>
    <w:rsid w:val="00212116"/>
    <w:rsid w:val="00212798"/>
    <w:rsid w:val="00213180"/>
    <w:rsid w:val="002136EF"/>
    <w:rsid w:val="00213A5A"/>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173"/>
    <w:rsid w:val="00222228"/>
    <w:rsid w:val="00222370"/>
    <w:rsid w:val="00222CBD"/>
    <w:rsid w:val="00223892"/>
    <w:rsid w:val="00223940"/>
    <w:rsid w:val="00223F09"/>
    <w:rsid w:val="002245C8"/>
    <w:rsid w:val="0022465E"/>
    <w:rsid w:val="00224A58"/>
    <w:rsid w:val="00225164"/>
    <w:rsid w:val="00225168"/>
    <w:rsid w:val="0023041D"/>
    <w:rsid w:val="00231057"/>
    <w:rsid w:val="00231363"/>
    <w:rsid w:val="00231385"/>
    <w:rsid w:val="002316E9"/>
    <w:rsid w:val="0023269D"/>
    <w:rsid w:val="002326C1"/>
    <w:rsid w:val="00232A8A"/>
    <w:rsid w:val="00233032"/>
    <w:rsid w:val="002332F7"/>
    <w:rsid w:val="00233986"/>
    <w:rsid w:val="00233D50"/>
    <w:rsid w:val="00234372"/>
    <w:rsid w:val="002346A5"/>
    <w:rsid w:val="002346FD"/>
    <w:rsid w:val="00234798"/>
    <w:rsid w:val="00236146"/>
    <w:rsid w:val="00240C3D"/>
    <w:rsid w:val="00240D9B"/>
    <w:rsid w:val="002413A5"/>
    <w:rsid w:val="00241466"/>
    <w:rsid w:val="00241F56"/>
    <w:rsid w:val="002421FC"/>
    <w:rsid w:val="00242676"/>
    <w:rsid w:val="002433B0"/>
    <w:rsid w:val="00243641"/>
    <w:rsid w:val="00243BE3"/>
    <w:rsid w:val="0024415B"/>
    <w:rsid w:val="00244642"/>
    <w:rsid w:val="00244D15"/>
    <w:rsid w:val="00244E1B"/>
    <w:rsid w:val="00245445"/>
    <w:rsid w:val="00245474"/>
    <w:rsid w:val="002462FC"/>
    <w:rsid w:val="00246417"/>
    <w:rsid w:val="00246916"/>
    <w:rsid w:val="00247270"/>
    <w:rsid w:val="0024752F"/>
    <w:rsid w:val="00247C3E"/>
    <w:rsid w:val="002500E6"/>
    <w:rsid w:val="00250178"/>
    <w:rsid w:val="00250302"/>
    <w:rsid w:val="002503BA"/>
    <w:rsid w:val="002509DA"/>
    <w:rsid w:val="00251005"/>
    <w:rsid w:val="0025173F"/>
    <w:rsid w:val="00251963"/>
    <w:rsid w:val="00251F57"/>
    <w:rsid w:val="0025220D"/>
    <w:rsid w:val="002529E3"/>
    <w:rsid w:val="00252E78"/>
    <w:rsid w:val="00252F17"/>
    <w:rsid w:val="00253194"/>
    <w:rsid w:val="0025359A"/>
    <w:rsid w:val="002539F9"/>
    <w:rsid w:val="00253D47"/>
    <w:rsid w:val="002545AB"/>
    <w:rsid w:val="00254667"/>
    <w:rsid w:val="0025469B"/>
    <w:rsid w:val="00254BBE"/>
    <w:rsid w:val="00254DAC"/>
    <w:rsid w:val="00254F00"/>
    <w:rsid w:val="00255101"/>
    <w:rsid w:val="002553EF"/>
    <w:rsid w:val="0025556C"/>
    <w:rsid w:val="002555A1"/>
    <w:rsid w:val="002557F9"/>
    <w:rsid w:val="002559EF"/>
    <w:rsid w:val="0025637F"/>
    <w:rsid w:val="002567D3"/>
    <w:rsid w:val="00256C8E"/>
    <w:rsid w:val="00256E58"/>
    <w:rsid w:val="002572C6"/>
    <w:rsid w:val="00257669"/>
    <w:rsid w:val="00257837"/>
    <w:rsid w:val="00257A26"/>
    <w:rsid w:val="00257C58"/>
    <w:rsid w:val="002605A7"/>
    <w:rsid w:val="00260847"/>
    <w:rsid w:val="00261653"/>
    <w:rsid w:val="0026189C"/>
    <w:rsid w:val="002622CC"/>
    <w:rsid w:val="00262391"/>
    <w:rsid w:val="0026368D"/>
    <w:rsid w:val="00263A27"/>
    <w:rsid w:val="0026424C"/>
    <w:rsid w:val="002642FC"/>
    <w:rsid w:val="0026495C"/>
    <w:rsid w:val="0026544D"/>
    <w:rsid w:val="00265FB5"/>
    <w:rsid w:val="00266AF5"/>
    <w:rsid w:val="00266D04"/>
    <w:rsid w:val="002672C4"/>
    <w:rsid w:val="002674FC"/>
    <w:rsid w:val="00267867"/>
    <w:rsid w:val="002701ED"/>
    <w:rsid w:val="0027076E"/>
    <w:rsid w:val="0027080C"/>
    <w:rsid w:val="00270FD8"/>
    <w:rsid w:val="002715E5"/>
    <w:rsid w:val="00271642"/>
    <w:rsid w:val="00271A30"/>
    <w:rsid w:val="00271AF4"/>
    <w:rsid w:val="00272747"/>
    <w:rsid w:val="00272812"/>
    <w:rsid w:val="00273557"/>
    <w:rsid w:val="00273AF1"/>
    <w:rsid w:val="00273EB1"/>
    <w:rsid w:val="002742C4"/>
    <w:rsid w:val="002744A6"/>
    <w:rsid w:val="002745D1"/>
    <w:rsid w:val="0027478C"/>
    <w:rsid w:val="002747FE"/>
    <w:rsid w:val="002749F4"/>
    <w:rsid w:val="00274CEA"/>
    <w:rsid w:val="00275441"/>
    <w:rsid w:val="00275BE1"/>
    <w:rsid w:val="002763DB"/>
    <w:rsid w:val="00276E87"/>
    <w:rsid w:val="00277842"/>
    <w:rsid w:val="00277E99"/>
    <w:rsid w:val="00280101"/>
    <w:rsid w:val="00280569"/>
    <w:rsid w:val="0028159B"/>
    <w:rsid w:val="002822BC"/>
    <w:rsid w:val="00282934"/>
    <w:rsid w:val="00283343"/>
    <w:rsid w:val="00283475"/>
    <w:rsid w:val="00283765"/>
    <w:rsid w:val="002841B8"/>
    <w:rsid w:val="002843A3"/>
    <w:rsid w:val="00284488"/>
    <w:rsid w:val="0028457F"/>
    <w:rsid w:val="00284996"/>
    <w:rsid w:val="00284D15"/>
    <w:rsid w:val="00285044"/>
    <w:rsid w:val="002852B7"/>
    <w:rsid w:val="0028534D"/>
    <w:rsid w:val="00285594"/>
    <w:rsid w:val="00285654"/>
    <w:rsid w:val="00285B0D"/>
    <w:rsid w:val="00285BC7"/>
    <w:rsid w:val="0028636E"/>
    <w:rsid w:val="00286740"/>
    <w:rsid w:val="00286AC4"/>
    <w:rsid w:val="00286C29"/>
    <w:rsid w:val="00287643"/>
    <w:rsid w:val="00287F6C"/>
    <w:rsid w:val="002900F3"/>
    <w:rsid w:val="00290163"/>
    <w:rsid w:val="002907AE"/>
    <w:rsid w:val="002907DC"/>
    <w:rsid w:val="00290876"/>
    <w:rsid w:val="00290C55"/>
    <w:rsid w:val="00290EE6"/>
    <w:rsid w:val="00291A08"/>
    <w:rsid w:val="00291FA2"/>
    <w:rsid w:val="0029281E"/>
    <w:rsid w:val="00292884"/>
    <w:rsid w:val="00292971"/>
    <w:rsid w:val="00292EC1"/>
    <w:rsid w:val="00293051"/>
    <w:rsid w:val="00293385"/>
    <w:rsid w:val="0029338A"/>
    <w:rsid w:val="002939EB"/>
    <w:rsid w:val="00293D1E"/>
    <w:rsid w:val="00294726"/>
    <w:rsid w:val="0029481A"/>
    <w:rsid w:val="00294B02"/>
    <w:rsid w:val="00294C99"/>
    <w:rsid w:val="00294D83"/>
    <w:rsid w:val="00295917"/>
    <w:rsid w:val="0029593D"/>
    <w:rsid w:val="00295C97"/>
    <w:rsid w:val="002961BB"/>
    <w:rsid w:val="002968B1"/>
    <w:rsid w:val="002968FE"/>
    <w:rsid w:val="00296AE1"/>
    <w:rsid w:val="00296F46"/>
    <w:rsid w:val="0029717D"/>
    <w:rsid w:val="00297C07"/>
    <w:rsid w:val="002A1277"/>
    <w:rsid w:val="002A1772"/>
    <w:rsid w:val="002A204B"/>
    <w:rsid w:val="002A2161"/>
    <w:rsid w:val="002A29F2"/>
    <w:rsid w:val="002A3BD8"/>
    <w:rsid w:val="002A3C2E"/>
    <w:rsid w:val="002A4706"/>
    <w:rsid w:val="002A4845"/>
    <w:rsid w:val="002A4F45"/>
    <w:rsid w:val="002A50A9"/>
    <w:rsid w:val="002A561C"/>
    <w:rsid w:val="002A5F57"/>
    <w:rsid w:val="002A6CBF"/>
    <w:rsid w:val="002A6D63"/>
    <w:rsid w:val="002A7048"/>
    <w:rsid w:val="002A70B7"/>
    <w:rsid w:val="002A748F"/>
    <w:rsid w:val="002A797D"/>
    <w:rsid w:val="002B0238"/>
    <w:rsid w:val="002B02E8"/>
    <w:rsid w:val="002B0384"/>
    <w:rsid w:val="002B05FE"/>
    <w:rsid w:val="002B1377"/>
    <w:rsid w:val="002B14CD"/>
    <w:rsid w:val="002B2304"/>
    <w:rsid w:val="002B25B2"/>
    <w:rsid w:val="002B25DE"/>
    <w:rsid w:val="002B2668"/>
    <w:rsid w:val="002B2B8E"/>
    <w:rsid w:val="002B2EF8"/>
    <w:rsid w:val="002B323C"/>
    <w:rsid w:val="002B3244"/>
    <w:rsid w:val="002B3E0D"/>
    <w:rsid w:val="002B3E89"/>
    <w:rsid w:val="002B484C"/>
    <w:rsid w:val="002B4D3E"/>
    <w:rsid w:val="002B5227"/>
    <w:rsid w:val="002B5B7A"/>
    <w:rsid w:val="002B5C17"/>
    <w:rsid w:val="002B5D34"/>
    <w:rsid w:val="002B6133"/>
    <w:rsid w:val="002B695A"/>
    <w:rsid w:val="002B6BB4"/>
    <w:rsid w:val="002B73E2"/>
    <w:rsid w:val="002B7904"/>
    <w:rsid w:val="002B79DA"/>
    <w:rsid w:val="002B7F97"/>
    <w:rsid w:val="002C0110"/>
    <w:rsid w:val="002C0304"/>
    <w:rsid w:val="002C079D"/>
    <w:rsid w:val="002C096A"/>
    <w:rsid w:val="002C12D6"/>
    <w:rsid w:val="002C12D9"/>
    <w:rsid w:val="002C18B7"/>
    <w:rsid w:val="002C1B26"/>
    <w:rsid w:val="002C1F28"/>
    <w:rsid w:val="002C208A"/>
    <w:rsid w:val="002C23BF"/>
    <w:rsid w:val="002C24D7"/>
    <w:rsid w:val="002C286D"/>
    <w:rsid w:val="002C2CAC"/>
    <w:rsid w:val="002C2F4E"/>
    <w:rsid w:val="002C30BA"/>
    <w:rsid w:val="002C33B7"/>
    <w:rsid w:val="002C3578"/>
    <w:rsid w:val="002C3AD2"/>
    <w:rsid w:val="002C3ED6"/>
    <w:rsid w:val="002C418B"/>
    <w:rsid w:val="002C4201"/>
    <w:rsid w:val="002C468E"/>
    <w:rsid w:val="002C4D33"/>
    <w:rsid w:val="002C522A"/>
    <w:rsid w:val="002C52BD"/>
    <w:rsid w:val="002C6075"/>
    <w:rsid w:val="002C64F3"/>
    <w:rsid w:val="002C6996"/>
    <w:rsid w:val="002C69F6"/>
    <w:rsid w:val="002C6C5B"/>
    <w:rsid w:val="002C7537"/>
    <w:rsid w:val="002C7F07"/>
    <w:rsid w:val="002D00C7"/>
    <w:rsid w:val="002D030C"/>
    <w:rsid w:val="002D0399"/>
    <w:rsid w:val="002D0882"/>
    <w:rsid w:val="002D0CBD"/>
    <w:rsid w:val="002D1067"/>
    <w:rsid w:val="002D11C6"/>
    <w:rsid w:val="002D1252"/>
    <w:rsid w:val="002D17E3"/>
    <w:rsid w:val="002D2739"/>
    <w:rsid w:val="002D2B07"/>
    <w:rsid w:val="002D2CAE"/>
    <w:rsid w:val="002D2DC4"/>
    <w:rsid w:val="002D2FA5"/>
    <w:rsid w:val="002D31D9"/>
    <w:rsid w:val="002D3AE3"/>
    <w:rsid w:val="002D3F6E"/>
    <w:rsid w:val="002D3FB5"/>
    <w:rsid w:val="002D4760"/>
    <w:rsid w:val="002D516B"/>
    <w:rsid w:val="002D51C1"/>
    <w:rsid w:val="002D527A"/>
    <w:rsid w:val="002D5811"/>
    <w:rsid w:val="002D5FBC"/>
    <w:rsid w:val="002D6978"/>
    <w:rsid w:val="002D6A0C"/>
    <w:rsid w:val="002D6A9D"/>
    <w:rsid w:val="002D72DE"/>
    <w:rsid w:val="002D7651"/>
    <w:rsid w:val="002D7656"/>
    <w:rsid w:val="002D7BAD"/>
    <w:rsid w:val="002D7BFC"/>
    <w:rsid w:val="002E029F"/>
    <w:rsid w:val="002E090F"/>
    <w:rsid w:val="002E0E3A"/>
    <w:rsid w:val="002E11C3"/>
    <w:rsid w:val="002E130D"/>
    <w:rsid w:val="002E1ADD"/>
    <w:rsid w:val="002E1AFB"/>
    <w:rsid w:val="002E1EDB"/>
    <w:rsid w:val="002E20E4"/>
    <w:rsid w:val="002E2255"/>
    <w:rsid w:val="002E2470"/>
    <w:rsid w:val="002E2C27"/>
    <w:rsid w:val="002E2D64"/>
    <w:rsid w:val="002E2F63"/>
    <w:rsid w:val="002E339C"/>
    <w:rsid w:val="002E4150"/>
    <w:rsid w:val="002E43D0"/>
    <w:rsid w:val="002E49A6"/>
    <w:rsid w:val="002E5EF1"/>
    <w:rsid w:val="002E6EAB"/>
    <w:rsid w:val="002E7799"/>
    <w:rsid w:val="002E7F57"/>
    <w:rsid w:val="002F013B"/>
    <w:rsid w:val="002F03EF"/>
    <w:rsid w:val="002F0511"/>
    <w:rsid w:val="002F0637"/>
    <w:rsid w:val="002F094A"/>
    <w:rsid w:val="002F0E98"/>
    <w:rsid w:val="002F1617"/>
    <w:rsid w:val="002F209C"/>
    <w:rsid w:val="002F2AA4"/>
    <w:rsid w:val="002F37A8"/>
    <w:rsid w:val="002F37D0"/>
    <w:rsid w:val="002F3E25"/>
    <w:rsid w:val="002F4243"/>
    <w:rsid w:val="002F49EC"/>
    <w:rsid w:val="002F4E32"/>
    <w:rsid w:val="002F5021"/>
    <w:rsid w:val="002F50A5"/>
    <w:rsid w:val="002F50FC"/>
    <w:rsid w:val="002F5497"/>
    <w:rsid w:val="002F56B6"/>
    <w:rsid w:val="002F6391"/>
    <w:rsid w:val="002F68BA"/>
    <w:rsid w:val="002F6AC3"/>
    <w:rsid w:val="002F6D4A"/>
    <w:rsid w:val="002F6DCF"/>
    <w:rsid w:val="002F748D"/>
    <w:rsid w:val="002F781A"/>
    <w:rsid w:val="002F7EAC"/>
    <w:rsid w:val="00300566"/>
    <w:rsid w:val="003006DA"/>
    <w:rsid w:val="0030071E"/>
    <w:rsid w:val="00300C77"/>
    <w:rsid w:val="00300DE1"/>
    <w:rsid w:val="00300E8B"/>
    <w:rsid w:val="0030108C"/>
    <w:rsid w:val="003015BA"/>
    <w:rsid w:val="003016E2"/>
    <w:rsid w:val="00301C17"/>
    <w:rsid w:val="00301E6A"/>
    <w:rsid w:val="00301FBA"/>
    <w:rsid w:val="00302CD2"/>
    <w:rsid w:val="00302D9D"/>
    <w:rsid w:val="0030300D"/>
    <w:rsid w:val="00303208"/>
    <w:rsid w:val="00303427"/>
    <w:rsid w:val="0030350B"/>
    <w:rsid w:val="00303543"/>
    <w:rsid w:val="00303716"/>
    <w:rsid w:val="00303B0B"/>
    <w:rsid w:val="00303BB4"/>
    <w:rsid w:val="00304129"/>
    <w:rsid w:val="00304177"/>
    <w:rsid w:val="00304DDA"/>
    <w:rsid w:val="00304E0B"/>
    <w:rsid w:val="00304EE1"/>
    <w:rsid w:val="00305CF4"/>
    <w:rsid w:val="00305F56"/>
    <w:rsid w:val="003064E1"/>
    <w:rsid w:val="00306DB1"/>
    <w:rsid w:val="00307064"/>
    <w:rsid w:val="00307759"/>
    <w:rsid w:val="00307BFD"/>
    <w:rsid w:val="00307CF9"/>
    <w:rsid w:val="00307E09"/>
    <w:rsid w:val="00307E4B"/>
    <w:rsid w:val="00307F21"/>
    <w:rsid w:val="00310430"/>
    <w:rsid w:val="003114FA"/>
    <w:rsid w:val="00311BEA"/>
    <w:rsid w:val="00311D79"/>
    <w:rsid w:val="00312B38"/>
    <w:rsid w:val="00313799"/>
    <w:rsid w:val="003138A8"/>
    <w:rsid w:val="00313907"/>
    <w:rsid w:val="00313A44"/>
    <w:rsid w:val="00313E37"/>
    <w:rsid w:val="00314D1E"/>
    <w:rsid w:val="00315073"/>
    <w:rsid w:val="00315206"/>
    <w:rsid w:val="00315241"/>
    <w:rsid w:val="003153BB"/>
    <w:rsid w:val="003159D9"/>
    <w:rsid w:val="0031729F"/>
    <w:rsid w:val="003174F8"/>
    <w:rsid w:val="003175E9"/>
    <w:rsid w:val="00317FD8"/>
    <w:rsid w:val="00320487"/>
    <w:rsid w:val="003204FD"/>
    <w:rsid w:val="00320B2A"/>
    <w:rsid w:val="00320F20"/>
    <w:rsid w:val="00320F88"/>
    <w:rsid w:val="00321558"/>
    <w:rsid w:val="00321743"/>
    <w:rsid w:val="00322176"/>
    <w:rsid w:val="00322BE4"/>
    <w:rsid w:val="00322F9A"/>
    <w:rsid w:val="00322FA8"/>
    <w:rsid w:val="0032450A"/>
    <w:rsid w:val="00324C8C"/>
    <w:rsid w:val="00324DD1"/>
    <w:rsid w:val="00325472"/>
    <w:rsid w:val="00325769"/>
    <w:rsid w:val="00325AC3"/>
    <w:rsid w:val="00326155"/>
    <w:rsid w:val="0032616B"/>
    <w:rsid w:val="00326B55"/>
    <w:rsid w:val="003271C5"/>
    <w:rsid w:val="00327425"/>
    <w:rsid w:val="00330509"/>
    <w:rsid w:val="003308A9"/>
    <w:rsid w:val="00330C3B"/>
    <w:rsid w:val="0033105F"/>
    <w:rsid w:val="003310A7"/>
    <w:rsid w:val="003311C5"/>
    <w:rsid w:val="00331432"/>
    <w:rsid w:val="00331492"/>
    <w:rsid w:val="00331D03"/>
    <w:rsid w:val="00332972"/>
    <w:rsid w:val="00332FF3"/>
    <w:rsid w:val="0033309B"/>
    <w:rsid w:val="00333789"/>
    <w:rsid w:val="00333B5E"/>
    <w:rsid w:val="00334087"/>
    <w:rsid w:val="0033470F"/>
    <w:rsid w:val="00334766"/>
    <w:rsid w:val="00334776"/>
    <w:rsid w:val="00334B36"/>
    <w:rsid w:val="00334E1E"/>
    <w:rsid w:val="00335066"/>
    <w:rsid w:val="003352CE"/>
    <w:rsid w:val="00335348"/>
    <w:rsid w:val="00335F25"/>
    <w:rsid w:val="00336631"/>
    <w:rsid w:val="003368A9"/>
    <w:rsid w:val="00337244"/>
    <w:rsid w:val="0033756B"/>
    <w:rsid w:val="00337793"/>
    <w:rsid w:val="00337851"/>
    <w:rsid w:val="00337863"/>
    <w:rsid w:val="00337CA7"/>
    <w:rsid w:val="00340786"/>
    <w:rsid w:val="00340CE0"/>
    <w:rsid w:val="003410AA"/>
    <w:rsid w:val="00341500"/>
    <w:rsid w:val="003418A7"/>
    <w:rsid w:val="00341B05"/>
    <w:rsid w:val="00342205"/>
    <w:rsid w:val="003423EB"/>
    <w:rsid w:val="003429F1"/>
    <w:rsid w:val="00342B71"/>
    <w:rsid w:val="00342EDD"/>
    <w:rsid w:val="0034309B"/>
    <w:rsid w:val="00343737"/>
    <w:rsid w:val="00344117"/>
    <w:rsid w:val="00344353"/>
    <w:rsid w:val="0034493D"/>
    <w:rsid w:val="00344A52"/>
    <w:rsid w:val="00344B38"/>
    <w:rsid w:val="00344F04"/>
    <w:rsid w:val="0034521D"/>
    <w:rsid w:val="003459AC"/>
    <w:rsid w:val="00345FA1"/>
    <w:rsid w:val="003464BD"/>
    <w:rsid w:val="00346D46"/>
    <w:rsid w:val="00346E32"/>
    <w:rsid w:val="0034755B"/>
    <w:rsid w:val="00347A59"/>
    <w:rsid w:val="00347EC1"/>
    <w:rsid w:val="0035004A"/>
    <w:rsid w:val="00350336"/>
    <w:rsid w:val="00350EF3"/>
    <w:rsid w:val="00351513"/>
    <w:rsid w:val="00351BD9"/>
    <w:rsid w:val="00351D96"/>
    <w:rsid w:val="00352C2B"/>
    <w:rsid w:val="00352F76"/>
    <w:rsid w:val="0035338B"/>
    <w:rsid w:val="003533A4"/>
    <w:rsid w:val="0035368F"/>
    <w:rsid w:val="00354E8D"/>
    <w:rsid w:val="0035525B"/>
    <w:rsid w:val="003554A7"/>
    <w:rsid w:val="0035551E"/>
    <w:rsid w:val="00355C2D"/>
    <w:rsid w:val="00355C89"/>
    <w:rsid w:val="00356698"/>
    <w:rsid w:val="003566BC"/>
    <w:rsid w:val="00356CE8"/>
    <w:rsid w:val="00356E6D"/>
    <w:rsid w:val="00357974"/>
    <w:rsid w:val="003579F2"/>
    <w:rsid w:val="003579F9"/>
    <w:rsid w:val="00360058"/>
    <w:rsid w:val="00360151"/>
    <w:rsid w:val="00360470"/>
    <w:rsid w:val="00360BE6"/>
    <w:rsid w:val="00360D78"/>
    <w:rsid w:val="00361524"/>
    <w:rsid w:val="003615A7"/>
    <w:rsid w:val="00361EAF"/>
    <w:rsid w:val="00361FC7"/>
    <w:rsid w:val="00362463"/>
    <w:rsid w:val="0036257D"/>
    <w:rsid w:val="003628B0"/>
    <w:rsid w:val="00363014"/>
    <w:rsid w:val="0036316C"/>
    <w:rsid w:val="00363306"/>
    <w:rsid w:val="00363315"/>
    <w:rsid w:val="0036333F"/>
    <w:rsid w:val="003636BA"/>
    <w:rsid w:val="003637A5"/>
    <w:rsid w:val="00363C1A"/>
    <w:rsid w:val="00363E99"/>
    <w:rsid w:val="00364563"/>
    <w:rsid w:val="00364580"/>
    <w:rsid w:val="00364D6E"/>
    <w:rsid w:val="00365690"/>
    <w:rsid w:val="0036577B"/>
    <w:rsid w:val="00365959"/>
    <w:rsid w:val="00366ACD"/>
    <w:rsid w:val="00367033"/>
    <w:rsid w:val="003674D9"/>
    <w:rsid w:val="00367850"/>
    <w:rsid w:val="0037017F"/>
    <w:rsid w:val="00370192"/>
    <w:rsid w:val="00370377"/>
    <w:rsid w:val="00370CE8"/>
    <w:rsid w:val="00371321"/>
    <w:rsid w:val="00371384"/>
    <w:rsid w:val="00371EEF"/>
    <w:rsid w:val="00372965"/>
    <w:rsid w:val="00372C6F"/>
    <w:rsid w:val="00373A0B"/>
    <w:rsid w:val="00373E32"/>
    <w:rsid w:val="0037459F"/>
    <w:rsid w:val="003748CB"/>
    <w:rsid w:val="00374CB3"/>
    <w:rsid w:val="003750F8"/>
    <w:rsid w:val="00375136"/>
    <w:rsid w:val="00375A02"/>
    <w:rsid w:val="00375C31"/>
    <w:rsid w:val="00376467"/>
    <w:rsid w:val="0037671F"/>
    <w:rsid w:val="00376A38"/>
    <w:rsid w:val="0037735E"/>
    <w:rsid w:val="00377580"/>
    <w:rsid w:val="00377E04"/>
    <w:rsid w:val="00377FA0"/>
    <w:rsid w:val="00380210"/>
    <w:rsid w:val="00380F3E"/>
    <w:rsid w:val="00380F49"/>
    <w:rsid w:val="003810AB"/>
    <w:rsid w:val="00381745"/>
    <w:rsid w:val="00381764"/>
    <w:rsid w:val="00382167"/>
    <w:rsid w:val="003823D5"/>
    <w:rsid w:val="00382926"/>
    <w:rsid w:val="0038300C"/>
    <w:rsid w:val="0038363F"/>
    <w:rsid w:val="00383E33"/>
    <w:rsid w:val="003849E0"/>
    <w:rsid w:val="00384DDA"/>
    <w:rsid w:val="00385316"/>
    <w:rsid w:val="00385328"/>
    <w:rsid w:val="003854E9"/>
    <w:rsid w:val="0038577D"/>
    <w:rsid w:val="00385BBA"/>
    <w:rsid w:val="00385C8A"/>
    <w:rsid w:val="003862A1"/>
    <w:rsid w:val="00386827"/>
    <w:rsid w:val="00386BAA"/>
    <w:rsid w:val="0038746F"/>
    <w:rsid w:val="003878ED"/>
    <w:rsid w:val="00387FF5"/>
    <w:rsid w:val="00390575"/>
    <w:rsid w:val="003906CD"/>
    <w:rsid w:val="00391125"/>
    <w:rsid w:val="0039136E"/>
    <w:rsid w:val="003913BD"/>
    <w:rsid w:val="00391F0E"/>
    <w:rsid w:val="003922B1"/>
    <w:rsid w:val="0039296F"/>
    <w:rsid w:val="00392AFB"/>
    <w:rsid w:val="003930B5"/>
    <w:rsid w:val="0039334A"/>
    <w:rsid w:val="00393394"/>
    <w:rsid w:val="00393468"/>
    <w:rsid w:val="00393585"/>
    <w:rsid w:val="003935B9"/>
    <w:rsid w:val="003935CB"/>
    <w:rsid w:val="00395CCF"/>
    <w:rsid w:val="00396338"/>
    <w:rsid w:val="00396749"/>
    <w:rsid w:val="003967B0"/>
    <w:rsid w:val="00396958"/>
    <w:rsid w:val="00396B1E"/>
    <w:rsid w:val="00396BCA"/>
    <w:rsid w:val="00396E17"/>
    <w:rsid w:val="0039723A"/>
    <w:rsid w:val="00397280"/>
    <w:rsid w:val="003973DD"/>
    <w:rsid w:val="003A06C5"/>
    <w:rsid w:val="003A0890"/>
    <w:rsid w:val="003A0A29"/>
    <w:rsid w:val="003A0C97"/>
    <w:rsid w:val="003A1AF7"/>
    <w:rsid w:val="003A221F"/>
    <w:rsid w:val="003A257E"/>
    <w:rsid w:val="003A25F4"/>
    <w:rsid w:val="003A295A"/>
    <w:rsid w:val="003A3159"/>
    <w:rsid w:val="003A39C7"/>
    <w:rsid w:val="003A3A4D"/>
    <w:rsid w:val="003A3AC4"/>
    <w:rsid w:val="003A3D0E"/>
    <w:rsid w:val="003A3D9A"/>
    <w:rsid w:val="003A409D"/>
    <w:rsid w:val="003A4129"/>
    <w:rsid w:val="003A420E"/>
    <w:rsid w:val="003A4801"/>
    <w:rsid w:val="003A48A3"/>
    <w:rsid w:val="003A4AAF"/>
    <w:rsid w:val="003A4B2E"/>
    <w:rsid w:val="003A54BC"/>
    <w:rsid w:val="003A5737"/>
    <w:rsid w:val="003A589B"/>
    <w:rsid w:val="003A58AF"/>
    <w:rsid w:val="003A7236"/>
    <w:rsid w:val="003A7911"/>
    <w:rsid w:val="003B019B"/>
    <w:rsid w:val="003B01E4"/>
    <w:rsid w:val="003B088E"/>
    <w:rsid w:val="003B1014"/>
    <w:rsid w:val="003B106B"/>
    <w:rsid w:val="003B1EA1"/>
    <w:rsid w:val="003B1F25"/>
    <w:rsid w:val="003B27DF"/>
    <w:rsid w:val="003B2E07"/>
    <w:rsid w:val="003B3656"/>
    <w:rsid w:val="003B3951"/>
    <w:rsid w:val="003B3BDF"/>
    <w:rsid w:val="003B44AF"/>
    <w:rsid w:val="003B46C7"/>
    <w:rsid w:val="003B4719"/>
    <w:rsid w:val="003B4787"/>
    <w:rsid w:val="003B4F0C"/>
    <w:rsid w:val="003B50BA"/>
    <w:rsid w:val="003B5452"/>
    <w:rsid w:val="003B5717"/>
    <w:rsid w:val="003B5B2E"/>
    <w:rsid w:val="003B5CAF"/>
    <w:rsid w:val="003B5EA5"/>
    <w:rsid w:val="003B6166"/>
    <w:rsid w:val="003B64E5"/>
    <w:rsid w:val="003B6534"/>
    <w:rsid w:val="003B6927"/>
    <w:rsid w:val="003B696F"/>
    <w:rsid w:val="003B6D41"/>
    <w:rsid w:val="003B76CE"/>
    <w:rsid w:val="003B7749"/>
    <w:rsid w:val="003B7C7B"/>
    <w:rsid w:val="003B7CA4"/>
    <w:rsid w:val="003C0E58"/>
    <w:rsid w:val="003C14B1"/>
    <w:rsid w:val="003C1591"/>
    <w:rsid w:val="003C199E"/>
    <w:rsid w:val="003C2280"/>
    <w:rsid w:val="003C2AA7"/>
    <w:rsid w:val="003C2F47"/>
    <w:rsid w:val="003C3846"/>
    <w:rsid w:val="003C38C8"/>
    <w:rsid w:val="003C44D1"/>
    <w:rsid w:val="003C4733"/>
    <w:rsid w:val="003C4F06"/>
    <w:rsid w:val="003C5A14"/>
    <w:rsid w:val="003C5D9C"/>
    <w:rsid w:val="003C5DE7"/>
    <w:rsid w:val="003C6080"/>
    <w:rsid w:val="003C634A"/>
    <w:rsid w:val="003C6592"/>
    <w:rsid w:val="003C667C"/>
    <w:rsid w:val="003C717C"/>
    <w:rsid w:val="003C7335"/>
    <w:rsid w:val="003C7651"/>
    <w:rsid w:val="003C7879"/>
    <w:rsid w:val="003C79DB"/>
    <w:rsid w:val="003D029E"/>
    <w:rsid w:val="003D067C"/>
    <w:rsid w:val="003D0906"/>
    <w:rsid w:val="003D13D8"/>
    <w:rsid w:val="003D140A"/>
    <w:rsid w:val="003D15B7"/>
    <w:rsid w:val="003D15ED"/>
    <w:rsid w:val="003D1608"/>
    <w:rsid w:val="003D20E1"/>
    <w:rsid w:val="003D2486"/>
    <w:rsid w:val="003D295A"/>
    <w:rsid w:val="003D2A35"/>
    <w:rsid w:val="003D321B"/>
    <w:rsid w:val="003D35FA"/>
    <w:rsid w:val="003D39EF"/>
    <w:rsid w:val="003D41BA"/>
    <w:rsid w:val="003D41C7"/>
    <w:rsid w:val="003D420B"/>
    <w:rsid w:val="003D45E1"/>
    <w:rsid w:val="003D4CC1"/>
    <w:rsid w:val="003D529E"/>
    <w:rsid w:val="003D5427"/>
    <w:rsid w:val="003D6474"/>
    <w:rsid w:val="003D664F"/>
    <w:rsid w:val="003D6670"/>
    <w:rsid w:val="003D6A09"/>
    <w:rsid w:val="003D6F67"/>
    <w:rsid w:val="003D707F"/>
    <w:rsid w:val="003D71D5"/>
    <w:rsid w:val="003D74EF"/>
    <w:rsid w:val="003D7671"/>
    <w:rsid w:val="003D7C9F"/>
    <w:rsid w:val="003E0CAF"/>
    <w:rsid w:val="003E1122"/>
    <w:rsid w:val="003E1207"/>
    <w:rsid w:val="003E12C9"/>
    <w:rsid w:val="003E1604"/>
    <w:rsid w:val="003E1766"/>
    <w:rsid w:val="003E18F5"/>
    <w:rsid w:val="003E1A61"/>
    <w:rsid w:val="003E21C5"/>
    <w:rsid w:val="003E279B"/>
    <w:rsid w:val="003E2AB7"/>
    <w:rsid w:val="003E2F36"/>
    <w:rsid w:val="003E2FB3"/>
    <w:rsid w:val="003E37A0"/>
    <w:rsid w:val="003E393E"/>
    <w:rsid w:val="003E3CFE"/>
    <w:rsid w:val="003E4066"/>
    <w:rsid w:val="003E46CB"/>
    <w:rsid w:val="003E4AE0"/>
    <w:rsid w:val="003E507E"/>
    <w:rsid w:val="003E5394"/>
    <w:rsid w:val="003E5CF4"/>
    <w:rsid w:val="003E678B"/>
    <w:rsid w:val="003E6CCA"/>
    <w:rsid w:val="003E6D93"/>
    <w:rsid w:val="003E73AA"/>
    <w:rsid w:val="003E76C6"/>
    <w:rsid w:val="003F0186"/>
    <w:rsid w:val="003F038A"/>
    <w:rsid w:val="003F0555"/>
    <w:rsid w:val="003F09E9"/>
    <w:rsid w:val="003F0D0F"/>
    <w:rsid w:val="003F11D8"/>
    <w:rsid w:val="003F1222"/>
    <w:rsid w:val="003F1303"/>
    <w:rsid w:val="003F1AAC"/>
    <w:rsid w:val="003F1C6D"/>
    <w:rsid w:val="003F1D12"/>
    <w:rsid w:val="003F1E3F"/>
    <w:rsid w:val="003F1ECD"/>
    <w:rsid w:val="003F2C12"/>
    <w:rsid w:val="003F3195"/>
    <w:rsid w:val="003F32A8"/>
    <w:rsid w:val="003F34C4"/>
    <w:rsid w:val="003F3673"/>
    <w:rsid w:val="003F3760"/>
    <w:rsid w:val="003F3D96"/>
    <w:rsid w:val="003F442C"/>
    <w:rsid w:val="003F465F"/>
    <w:rsid w:val="003F47AB"/>
    <w:rsid w:val="003F47D1"/>
    <w:rsid w:val="003F4B6C"/>
    <w:rsid w:val="003F4DAF"/>
    <w:rsid w:val="003F5A39"/>
    <w:rsid w:val="003F5EE6"/>
    <w:rsid w:val="003F6039"/>
    <w:rsid w:val="003F67D7"/>
    <w:rsid w:val="003F7144"/>
    <w:rsid w:val="003F74EF"/>
    <w:rsid w:val="00400195"/>
    <w:rsid w:val="00400758"/>
    <w:rsid w:val="00400A77"/>
    <w:rsid w:val="00401262"/>
    <w:rsid w:val="00401B6E"/>
    <w:rsid w:val="0040291B"/>
    <w:rsid w:val="00404123"/>
    <w:rsid w:val="00404550"/>
    <w:rsid w:val="00404B91"/>
    <w:rsid w:val="00404BB2"/>
    <w:rsid w:val="0040541F"/>
    <w:rsid w:val="00405424"/>
    <w:rsid w:val="00405C8A"/>
    <w:rsid w:val="00406889"/>
    <w:rsid w:val="00406DEE"/>
    <w:rsid w:val="00406E48"/>
    <w:rsid w:val="004072DC"/>
    <w:rsid w:val="004075B4"/>
    <w:rsid w:val="00407C6C"/>
    <w:rsid w:val="00410081"/>
    <w:rsid w:val="00410502"/>
    <w:rsid w:val="00410971"/>
    <w:rsid w:val="00410E96"/>
    <w:rsid w:val="00410F5C"/>
    <w:rsid w:val="00411C1D"/>
    <w:rsid w:val="00411FD7"/>
    <w:rsid w:val="0041213F"/>
    <w:rsid w:val="0041242B"/>
    <w:rsid w:val="00412A04"/>
    <w:rsid w:val="00412C22"/>
    <w:rsid w:val="00412C54"/>
    <w:rsid w:val="00412DB7"/>
    <w:rsid w:val="0041307A"/>
    <w:rsid w:val="00413397"/>
    <w:rsid w:val="00413D02"/>
    <w:rsid w:val="00413DF7"/>
    <w:rsid w:val="004141EF"/>
    <w:rsid w:val="00414721"/>
    <w:rsid w:val="00414FC0"/>
    <w:rsid w:val="004150A8"/>
    <w:rsid w:val="0041538F"/>
    <w:rsid w:val="004158E1"/>
    <w:rsid w:val="00415B20"/>
    <w:rsid w:val="00417B00"/>
    <w:rsid w:val="00417D0F"/>
    <w:rsid w:val="00417E9B"/>
    <w:rsid w:val="00417ECD"/>
    <w:rsid w:val="0042007E"/>
    <w:rsid w:val="00420473"/>
    <w:rsid w:val="00420694"/>
    <w:rsid w:val="00420703"/>
    <w:rsid w:val="0042081E"/>
    <w:rsid w:val="00420E0C"/>
    <w:rsid w:val="00421989"/>
    <w:rsid w:val="00421C02"/>
    <w:rsid w:val="00422163"/>
    <w:rsid w:val="00422B00"/>
    <w:rsid w:val="00422F9A"/>
    <w:rsid w:val="0042331A"/>
    <w:rsid w:val="00423479"/>
    <w:rsid w:val="00424B49"/>
    <w:rsid w:val="00424BC0"/>
    <w:rsid w:val="00424CD9"/>
    <w:rsid w:val="00424EE9"/>
    <w:rsid w:val="00425365"/>
    <w:rsid w:val="00425A9F"/>
    <w:rsid w:val="00425C82"/>
    <w:rsid w:val="004261C5"/>
    <w:rsid w:val="004267BD"/>
    <w:rsid w:val="00426D00"/>
    <w:rsid w:val="00427071"/>
    <w:rsid w:val="00427AC9"/>
    <w:rsid w:val="00427DF3"/>
    <w:rsid w:val="0043000A"/>
    <w:rsid w:val="0043033C"/>
    <w:rsid w:val="004304BD"/>
    <w:rsid w:val="00430A35"/>
    <w:rsid w:val="00430E1F"/>
    <w:rsid w:val="00431223"/>
    <w:rsid w:val="004312F7"/>
    <w:rsid w:val="004318F3"/>
    <w:rsid w:val="0043232C"/>
    <w:rsid w:val="00432C14"/>
    <w:rsid w:val="00432D80"/>
    <w:rsid w:val="00432EC8"/>
    <w:rsid w:val="00433ACC"/>
    <w:rsid w:val="004341E9"/>
    <w:rsid w:val="00434323"/>
    <w:rsid w:val="00434720"/>
    <w:rsid w:val="00434C76"/>
    <w:rsid w:val="00434CA4"/>
    <w:rsid w:val="00434F97"/>
    <w:rsid w:val="00436AF2"/>
    <w:rsid w:val="00436D44"/>
    <w:rsid w:val="004379FE"/>
    <w:rsid w:val="00440002"/>
    <w:rsid w:val="00440C07"/>
    <w:rsid w:val="00440C48"/>
    <w:rsid w:val="00440D83"/>
    <w:rsid w:val="00440E3B"/>
    <w:rsid w:val="0044111B"/>
    <w:rsid w:val="00441985"/>
    <w:rsid w:val="00441E7C"/>
    <w:rsid w:val="00441F13"/>
    <w:rsid w:val="00441FF4"/>
    <w:rsid w:val="004437DC"/>
    <w:rsid w:val="00443A4C"/>
    <w:rsid w:val="004443AB"/>
    <w:rsid w:val="00444624"/>
    <w:rsid w:val="0044486A"/>
    <w:rsid w:val="004448DB"/>
    <w:rsid w:val="004450D0"/>
    <w:rsid w:val="0044527B"/>
    <w:rsid w:val="00445D17"/>
    <w:rsid w:val="00445E64"/>
    <w:rsid w:val="00445F93"/>
    <w:rsid w:val="0044645D"/>
    <w:rsid w:val="00446746"/>
    <w:rsid w:val="00446778"/>
    <w:rsid w:val="00446AD1"/>
    <w:rsid w:val="00446FF5"/>
    <w:rsid w:val="004473E1"/>
    <w:rsid w:val="00447435"/>
    <w:rsid w:val="00447467"/>
    <w:rsid w:val="00447BE4"/>
    <w:rsid w:val="00447CC7"/>
    <w:rsid w:val="004501C4"/>
    <w:rsid w:val="0045342A"/>
    <w:rsid w:val="00453531"/>
    <w:rsid w:val="004539F3"/>
    <w:rsid w:val="00453E52"/>
    <w:rsid w:val="00453F61"/>
    <w:rsid w:val="00454DCF"/>
    <w:rsid w:val="00454F37"/>
    <w:rsid w:val="00455072"/>
    <w:rsid w:val="004551C5"/>
    <w:rsid w:val="0045536D"/>
    <w:rsid w:val="0045563A"/>
    <w:rsid w:val="00455C0B"/>
    <w:rsid w:val="00455F76"/>
    <w:rsid w:val="0045615C"/>
    <w:rsid w:val="00456918"/>
    <w:rsid w:val="00457452"/>
    <w:rsid w:val="00457539"/>
    <w:rsid w:val="00460676"/>
    <w:rsid w:val="00460959"/>
    <w:rsid w:val="00460A2F"/>
    <w:rsid w:val="00460DFC"/>
    <w:rsid w:val="00461390"/>
    <w:rsid w:val="00462344"/>
    <w:rsid w:val="00462792"/>
    <w:rsid w:val="00462882"/>
    <w:rsid w:val="00462DBD"/>
    <w:rsid w:val="00462DFC"/>
    <w:rsid w:val="00462EC3"/>
    <w:rsid w:val="00463713"/>
    <w:rsid w:val="00464A54"/>
    <w:rsid w:val="00464B57"/>
    <w:rsid w:val="00464F15"/>
    <w:rsid w:val="00465E1C"/>
    <w:rsid w:val="00466288"/>
    <w:rsid w:val="00466633"/>
    <w:rsid w:val="00466917"/>
    <w:rsid w:val="00466A68"/>
    <w:rsid w:val="00466E1F"/>
    <w:rsid w:val="00467A07"/>
    <w:rsid w:val="00467DDF"/>
    <w:rsid w:val="00467E6F"/>
    <w:rsid w:val="0047087C"/>
    <w:rsid w:val="004709CF"/>
    <w:rsid w:val="00470D72"/>
    <w:rsid w:val="0047104F"/>
    <w:rsid w:val="004712BA"/>
    <w:rsid w:val="004715DB"/>
    <w:rsid w:val="004717FC"/>
    <w:rsid w:val="00471DBD"/>
    <w:rsid w:val="00472AD8"/>
    <w:rsid w:val="00472C6D"/>
    <w:rsid w:val="00472D57"/>
    <w:rsid w:val="0047319E"/>
    <w:rsid w:val="0047343D"/>
    <w:rsid w:val="004737AB"/>
    <w:rsid w:val="004737D2"/>
    <w:rsid w:val="00474861"/>
    <w:rsid w:val="004749D1"/>
    <w:rsid w:val="004750E2"/>
    <w:rsid w:val="004756A4"/>
    <w:rsid w:val="0047572F"/>
    <w:rsid w:val="004757DD"/>
    <w:rsid w:val="00475A00"/>
    <w:rsid w:val="00475DE8"/>
    <w:rsid w:val="0047620B"/>
    <w:rsid w:val="004765C1"/>
    <w:rsid w:val="00476839"/>
    <w:rsid w:val="00477156"/>
    <w:rsid w:val="00477658"/>
    <w:rsid w:val="00477886"/>
    <w:rsid w:val="00480042"/>
    <w:rsid w:val="00480314"/>
    <w:rsid w:val="00480836"/>
    <w:rsid w:val="0048093C"/>
    <w:rsid w:val="00480C6C"/>
    <w:rsid w:val="004813F4"/>
    <w:rsid w:val="00481755"/>
    <w:rsid w:val="00481909"/>
    <w:rsid w:val="00483CE2"/>
    <w:rsid w:val="00483E6B"/>
    <w:rsid w:val="00483EBC"/>
    <w:rsid w:val="004842F9"/>
    <w:rsid w:val="004847E2"/>
    <w:rsid w:val="00484846"/>
    <w:rsid w:val="004856FD"/>
    <w:rsid w:val="0048633C"/>
    <w:rsid w:val="004865F3"/>
    <w:rsid w:val="00487507"/>
    <w:rsid w:val="00487663"/>
    <w:rsid w:val="004877CE"/>
    <w:rsid w:val="00487AA1"/>
    <w:rsid w:val="00487AA5"/>
    <w:rsid w:val="00487D87"/>
    <w:rsid w:val="0049089F"/>
    <w:rsid w:val="0049099D"/>
    <w:rsid w:val="00490E4A"/>
    <w:rsid w:val="00490E94"/>
    <w:rsid w:val="004913DD"/>
    <w:rsid w:val="004914C9"/>
    <w:rsid w:val="00491AF2"/>
    <w:rsid w:val="00491DE1"/>
    <w:rsid w:val="00491F25"/>
    <w:rsid w:val="00491FB0"/>
    <w:rsid w:val="00492077"/>
    <w:rsid w:val="004920BE"/>
    <w:rsid w:val="004922CB"/>
    <w:rsid w:val="004923E3"/>
    <w:rsid w:val="00492652"/>
    <w:rsid w:val="00492788"/>
    <w:rsid w:val="00492CC9"/>
    <w:rsid w:val="004930C9"/>
    <w:rsid w:val="004937B0"/>
    <w:rsid w:val="00493F13"/>
    <w:rsid w:val="004948F2"/>
    <w:rsid w:val="004954B5"/>
    <w:rsid w:val="00495607"/>
    <w:rsid w:val="00495774"/>
    <w:rsid w:val="00495F75"/>
    <w:rsid w:val="00496151"/>
    <w:rsid w:val="00496379"/>
    <w:rsid w:val="004968A8"/>
    <w:rsid w:val="004969CB"/>
    <w:rsid w:val="00496CB2"/>
    <w:rsid w:val="00496D6D"/>
    <w:rsid w:val="00497689"/>
    <w:rsid w:val="00497B8B"/>
    <w:rsid w:val="00497DD4"/>
    <w:rsid w:val="004A0111"/>
    <w:rsid w:val="004A0A58"/>
    <w:rsid w:val="004A0E9E"/>
    <w:rsid w:val="004A0FBA"/>
    <w:rsid w:val="004A1431"/>
    <w:rsid w:val="004A16AC"/>
    <w:rsid w:val="004A1B28"/>
    <w:rsid w:val="004A1C37"/>
    <w:rsid w:val="004A20D4"/>
    <w:rsid w:val="004A2BF9"/>
    <w:rsid w:val="004A2C3A"/>
    <w:rsid w:val="004A39B3"/>
    <w:rsid w:val="004A3A16"/>
    <w:rsid w:val="004A443B"/>
    <w:rsid w:val="004A5BC6"/>
    <w:rsid w:val="004A606E"/>
    <w:rsid w:val="004A6087"/>
    <w:rsid w:val="004A67DF"/>
    <w:rsid w:val="004A69F3"/>
    <w:rsid w:val="004A73AA"/>
    <w:rsid w:val="004B014F"/>
    <w:rsid w:val="004B0A99"/>
    <w:rsid w:val="004B0B98"/>
    <w:rsid w:val="004B14D9"/>
    <w:rsid w:val="004B1BF9"/>
    <w:rsid w:val="004B20AC"/>
    <w:rsid w:val="004B2450"/>
    <w:rsid w:val="004B317D"/>
    <w:rsid w:val="004B32FC"/>
    <w:rsid w:val="004B3567"/>
    <w:rsid w:val="004B39AC"/>
    <w:rsid w:val="004B3A7D"/>
    <w:rsid w:val="004B3CEC"/>
    <w:rsid w:val="004B4071"/>
    <w:rsid w:val="004B41CA"/>
    <w:rsid w:val="004B41D3"/>
    <w:rsid w:val="004B4228"/>
    <w:rsid w:val="004B4A3D"/>
    <w:rsid w:val="004B5ADF"/>
    <w:rsid w:val="004B5DC2"/>
    <w:rsid w:val="004B5EF3"/>
    <w:rsid w:val="004B6067"/>
    <w:rsid w:val="004B66C4"/>
    <w:rsid w:val="004B67FA"/>
    <w:rsid w:val="004B702C"/>
    <w:rsid w:val="004B7411"/>
    <w:rsid w:val="004B74DA"/>
    <w:rsid w:val="004B7A23"/>
    <w:rsid w:val="004B7C2B"/>
    <w:rsid w:val="004C009E"/>
    <w:rsid w:val="004C031E"/>
    <w:rsid w:val="004C0413"/>
    <w:rsid w:val="004C1CED"/>
    <w:rsid w:val="004C1F3B"/>
    <w:rsid w:val="004C2707"/>
    <w:rsid w:val="004C30CA"/>
    <w:rsid w:val="004C376F"/>
    <w:rsid w:val="004C431E"/>
    <w:rsid w:val="004C43B3"/>
    <w:rsid w:val="004C458A"/>
    <w:rsid w:val="004C4C7A"/>
    <w:rsid w:val="004C4E08"/>
    <w:rsid w:val="004C4F65"/>
    <w:rsid w:val="004C5DDA"/>
    <w:rsid w:val="004C5F4E"/>
    <w:rsid w:val="004C60F8"/>
    <w:rsid w:val="004C65C9"/>
    <w:rsid w:val="004C665A"/>
    <w:rsid w:val="004C6876"/>
    <w:rsid w:val="004C6BE5"/>
    <w:rsid w:val="004C6EDF"/>
    <w:rsid w:val="004C6F08"/>
    <w:rsid w:val="004C75F6"/>
    <w:rsid w:val="004C7DEF"/>
    <w:rsid w:val="004D0198"/>
    <w:rsid w:val="004D0314"/>
    <w:rsid w:val="004D0661"/>
    <w:rsid w:val="004D0892"/>
    <w:rsid w:val="004D0E36"/>
    <w:rsid w:val="004D15F0"/>
    <w:rsid w:val="004D1AD3"/>
    <w:rsid w:val="004D311F"/>
    <w:rsid w:val="004D377C"/>
    <w:rsid w:val="004D47C1"/>
    <w:rsid w:val="004D4B5F"/>
    <w:rsid w:val="004D4EF0"/>
    <w:rsid w:val="004D52E2"/>
    <w:rsid w:val="004D54BD"/>
    <w:rsid w:val="004D6524"/>
    <w:rsid w:val="004D68BE"/>
    <w:rsid w:val="004D6BD9"/>
    <w:rsid w:val="004D6CE6"/>
    <w:rsid w:val="004D789A"/>
    <w:rsid w:val="004E0134"/>
    <w:rsid w:val="004E0695"/>
    <w:rsid w:val="004E081A"/>
    <w:rsid w:val="004E09DC"/>
    <w:rsid w:val="004E0F90"/>
    <w:rsid w:val="004E1162"/>
    <w:rsid w:val="004E13CC"/>
    <w:rsid w:val="004E15AE"/>
    <w:rsid w:val="004E1731"/>
    <w:rsid w:val="004E1D47"/>
    <w:rsid w:val="004E20A2"/>
    <w:rsid w:val="004E24CA"/>
    <w:rsid w:val="004E2A05"/>
    <w:rsid w:val="004E31BA"/>
    <w:rsid w:val="004E3436"/>
    <w:rsid w:val="004E3872"/>
    <w:rsid w:val="004E3966"/>
    <w:rsid w:val="004E3AFB"/>
    <w:rsid w:val="004E3D62"/>
    <w:rsid w:val="004E3DBA"/>
    <w:rsid w:val="004E4295"/>
    <w:rsid w:val="004E43D2"/>
    <w:rsid w:val="004E45A3"/>
    <w:rsid w:val="004E4646"/>
    <w:rsid w:val="004E46DA"/>
    <w:rsid w:val="004E4E79"/>
    <w:rsid w:val="004E59B2"/>
    <w:rsid w:val="004E5B4A"/>
    <w:rsid w:val="004E5E56"/>
    <w:rsid w:val="004E604F"/>
    <w:rsid w:val="004E73E8"/>
    <w:rsid w:val="004E74EC"/>
    <w:rsid w:val="004E7BF8"/>
    <w:rsid w:val="004E7DEA"/>
    <w:rsid w:val="004F04CD"/>
    <w:rsid w:val="004F0789"/>
    <w:rsid w:val="004F0914"/>
    <w:rsid w:val="004F141F"/>
    <w:rsid w:val="004F2000"/>
    <w:rsid w:val="004F2318"/>
    <w:rsid w:val="004F24FB"/>
    <w:rsid w:val="004F26ED"/>
    <w:rsid w:val="004F2F44"/>
    <w:rsid w:val="004F2F68"/>
    <w:rsid w:val="004F3176"/>
    <w:rsid w:val="004F3D32"/>
    <w:rsid w:val="004F4735"/>
    <w:rsid w:val="004F539C"/>
    <w:rsid w:val="004F5B6B"/>
    <w:rsid w:val="004F5B94"/>
    <w:rsid w:val="004F5BC4"/>
    <w:rsid w:val="004F63B9"/>
    <w:rsid w:val="004F709F"/>
    <w:rsid w:val="004F7288"/>
    <w:rsid w:val="004F767C"/>
    <w:rsid w:val="00500010"/>
    <w:rsid w:val="005001BC"/>
    <w:rsid w:val="00500BFA"/>
    <w:rsid w:val="00500DD6"/>
    <w:rsid w:val="005013E6"/>
    <w:rsid w:val="00501648"/>
    <w:rsid w:val="00501C83"/>
    <w:rsid w:val="005024E0"/>
    <w:rsid w:val="0050271A"/>
    <w:rsid w:val="00502E71"/>
    <w:rsid w:val="00502EA5"/>
    <w:rsid w:val="00503A88"/>
    <w:rsid w:val="005042A1"/>
    <w:rsid w:val="005042BC"/>
    <w:rsid w:val="00504C80"/>
    <w:rsid w:val="00505568"/>
    <w:rsid w:val="0050598A"/>
    <w:rsid w:val="005061E5"/>
    <w:rsid w:val="005062B4"/>
    <w:rsid w:val="00506384"/>
    <w:rsid w:val="00506F08"/>
    <w:rsid w:val="005074FD"/>
    <w:rsid w:val="00507B6A"/>
    <w:rsid w:val="005104CF"/>
    <w:rsid w:val="00510E7E"/>
    <w:rsid w:val="00510F27"/>
    <w:rsid w:val="00511504"/>
    <w:rsid w:val="005119C0"/>
    <w:rsid w:val="00511B57"/>
    <w:rsid w:val="00511EE9"/>
    <w:rsid w:val="005133D4"/>
    <w:rsid w:val="00513759"/>
    <w:rsid w:val="00514262"/>
    <w:rsid w:val="00514327"/>
    <w:rsid w:val="00514D54"/>
    <w:rsid w:val="00515531"/>
    <w:rsid w:val="005156C2"/>
    <w:rsid w:val="005159CD"/>
    <w:rsid w:val="00515C6E"/>
    <w:rsid w:val="005160E2"/>
    <w:rsid w:val="005161AD"/>
    <w:rsid w:val="00516BBA"/>
    <w:rsid w:val="00516CBD"/>
    <w:rsid w:val="00516EB9"/>
    <w:rsid w:val="005170B4"/>
    <w:rsid w:val="0051752A"/>
    <w:rsid w:val="00517CD0"/>
    <w:rsid w:val="00517F39"/>
    <w:rsid w:val="00517FBF"/>
    <w:rsid w:val="005203E7"/>
    <w:rsid w:val="005211AC"/>
    <w:rsid w:val="0052127C"/>
    <w:rsid w:val="00521371"/>
    <w:rsid w:val="005214E2"/>
    <w:rsid w:val="00521531"/>
    <w:rsid w:val="00521617"/>
    <w:rsid w:val="005217E8"/>
    <w:rsid w:val="00522945"/>
    <w:rsid w:val="00523070"/>
    <w:rsid w:val="00523380"/>
    <w:rsid w:val="005239B7"/>
    <w:rsid w:val="00523BD2"/>
    <w:rsid w:val="00523CBE"/>
    <w:rsid w:val="00523FAF"/>
    <w:rsid w:val="00524146"/>
    <w:rsid w:val="00524613"/>
    <w:rsid w:val="00524713"/>
    <w:rsid w:val="00524C53"/>
    <w:rsid w:val="00524CB9"/>
    <w:rsid w:val="00524EA5"/>
    <w:rsid w:val="00525257"/>
    <w:rsid w:val="00525345"/>
    <w:rsid w:val="00525B14"/>
    <w:rsid w:val="00525B7E"/>
    <w:rsid w:val="00525D95"/>
    <w:rsid w:val="005260E6"/>
    <w:rsid w:val="0052633F"/>
    <w:rsid w:val="0052674D"/>
    <w:rsid w:val="00526B74"/>
    <w:rsid w:val="00526DB4"/>
    <w:rsid w:val="00527332"/>
    <w:rsid w:val="00527901"/>
    <w:rsid w:val="00527AC5"/>
    <w:rsid w:val="00527EDB"/>
    <w:rsid w:val="0053043B"/>
    <w:rsid w:val="00530B61"/>
    <w:rsid w:val="00530FDE"/>
    <w:rsid w:val="0053152B"/>
    <w:rsid w:val="00531CF0"/>
    <w:rsid w:val="00531E6A"/>
    <w:rsid w:val="005320F7"/>
    <w:rsid w:val="0053266E"/>
    <w:rsid w:val="0053269F"/>
    <w:rsid w:val="0053288C"/>
    <w:rsid w:val="00532B67"/>
    <w:rsid w:val="00532B8D"/>
    <w:rsid w:val="00532E70"/>
    <w:rsid w:val="00533A1F"/>
    <w:rsid w:val="005342A1"/>
    <w:rsid w:val="00534CF1"/>
    <w:rsid w:val="0053580A"/>
    <w:rsid w:val="0053590B"/>
    <w:rsid w:val="00535D0B"/>
    <w:rsid w:val="0053607E"/>
    <w:rsid w:val="00536119"/>
    <w:rsid w:val="00536390"/>
    <w:rsid w:val="0053646A"/>
    <w:rsid w:val="0053674A"/>
    <w:rsid w:val="00536EB8"/>
    <w:rsid w:val="0053709A"/>
    <w:rsid w:val="0053720F"/>
    <w:rsid w:val="00537407"/>
    <w:rsid w:val="00537415"/>
    <w:rsid w:val="00540A25"/>
    <w:rsid w:val="00540B24"/>
    <w:rsid w:val="005415DB"/>
    <w:rsid w:val="005416BB"/>
    <w:rsid w:val="005418E2"/>
    <w:rsid w:val="00541A87"/>
    <w:rsid w:val="00541CC7"/>
    <w:rsid w:val="00541D3C"/>
    <w:rsid w:val="005420B3"/>
    <w:rsid w:val="00542445"/>
    <w:rsid w:val="005426DA"/>
    <w:rsid w:val="0054272F"/>
    <w:rsid w:val="00542F7E"/>
    <w:rsid w:val="00543B10"/>
    <w:rsid w:val="00543FE7"/>
    <w:rsid w:val="00544139"/>
    <w:rsid w:val="00544D59"/>
    <w:rsid w:val="00545235"/>
    <w:rsid w:val="005452F5"/>
    <w:rsid w:val="00545A46"/>
    <w:rsid w:val="00546054"/>
    <w:rsid w:val="005466DD"/>
    <w:rsid w:val="00546765"/>
    <w:rsid w:val="00546871"/>
    <w:rsid w:val="00547229"/>
    <w:rsid w:val="00547879"/>
    <w:rsid w:val="005479F1"/>
    <w:rsid w:val="00547B59"/>
    <w:rsid w:val="00547D22"/>
    <w:rsid w:val="00547E58"/>
    <w:rsid w:val="00547FD8"/>
    <w:rsid w:val="00550288"/>
    <w:rsid w:val="005509A3"/>
    <w:rsid w:val="00550D79"/>
    <w:rsid w:val="005517D2"/>
    <w:rsid w:val="00551840"/>
    <w:rsid w:val="00551AB3"/>
    <w:rsid w:val="00551D2E"/>
    <w:rsid w:val="00552143"/>
    <w:rsid w:val="005523C9"/>
    <w:rsid w:val="00552767"/>
    <w:rsid w:val="0055294B"/>
    <w:rsid w:val="005529F1"/>
    <w:rsid w:val="00552DD1"/>
    <w:rsid w:val="00553279"/>
    <w:rsid w:val="0055332C"/>
    <w:rsid w:val="0055349C"/>
    <w:rsid w:val="005536CF"/>
    <w:rsid w:val="0055394B"/>
    <w:rsid w:val="00553C93"/>
    <w:rsid w:val="00553FA6"/>
    <w:rsid w:val="0055409C"/>
    <w:rsid w:val="00554124"/>
    <w:rsid w:val="0055413D"/>
    <w:rsid w:val="005544B3"/>
    <w:rsid w:val="005548D7"/>
    <w:rsid w:val="00554D59"/>
    <w:rsid w:val="00554E40"/>
    <w:rsid w:val="00554F97"/>
    <w:rsid w:val="00554FAB"/>
    <w:rsid w:val="005550E1"/>
    <w:rsid w:val="005554C2"/>
    <w:rsid w:val="00555ED2"/>
    <w:rsid w:val="00556745"/>
    <w:rsid w:val="00556C0A"/>
    <w:rsid w:val="00557038"/>
    <w:rsid w:val="00557071"/>
    <w:rsid w:val="0055775F"/>
    <w:rsid w:val="00557B21"/>
    <w:rsid w:val="00557E0E"/>
    <w:rsid w:val="00557E48"/>
    <w:rsid w:val="00560BE0"/>
    <w:rsid w:val="00561891"/>
    <w:rsid w:val="00562A60"/>
    <w:rsid w:val="00562AE4"/>
    <w:rsid w:val="00564889"/>
    <w:rsid w:val="00564B27"/>
    <w:rsid w:val="00564C46"/>
    <w:rsid w:val="00564C9B"/>
    <w:rsid w:val="00564DE4"/>
    <w:rsid w:val="00564FA7"/>
    <w:rsid w:val="00565365"/>
    <w:rsid w:val="00565386"/>
    <w:rsid w:val="0056542C"/>
    <w:rsid w:val="005657D7"/>
    <w:rsid w:val="00565A20"/>
    <w:rsid w:val="00565BA1"/>
    <w:rsid w:val="00565BFE"/>
    <w:rsid w:val="005661AF"/>
    <w:rsid w:val="005668D1"/>
    <w:rsid w:val="0056691D"/>
    <w:rsid w:val="00567355"/>
    <w:rsid w:val="0056756C"/>
    <w:rsid w:val="005679D6"/>
    <w:rsid w:val="00567D22"/>
    <w:rsid w:val="00567F9E"/>
    <w:rsid w:val="00567FC1"/>
    <w:rsid w:val="00570058"/>
    <w:rsid w:val="0057013D"/>
    <w:rsid w:val="0057038E"/>
    <w:rsid w:val="00570A13"/>
    <w:rsid w:val="00570B11"/>
    <w:rsid w:val="005710C0"/>
    <w:rsid w:val="005718EC"/>
    <w:rsid w:val="00572252"/>
    <w:rsid w:val="00572297"/>
    <w:rsid w:val="00572482"/>
    <w:rsid w:val="005728D8"/>
    <w:rsid w:val="00572C96"/>
    <w:rsid w:val="00572D93"/>
    <w:rsid w:val="005730AB"/>
    <w:rsid w:val="005730C8"/>
    <w:rsid w:val="00573521"/>
    <w:rsid w:val="00573774"/>
    <w:rsid w:val="00573EAB"/>
    <w:rsid w:val="005748E5"/>
    <w:rsid w:val="005750C2"/>
    <w:rsid w:val="0057515A"/>
    <w:rsid w:val="00575BC1"/>
    <w:rsid w:val="005766AA"/>
    <w:rsid w:val="00576B32"/>
    <w:rsid w:val="00576DE4"/>
    <w:rsid w:val="00577129"/>
    <w:rsid w:val="005777C5"/>
    <w:rsid w:val="0058007A"/>
    <w:rsid w:val="00580937"/>
    <w:rsid w:val="00580CD8"/>
    <w:rsid w:val="00580F61"/>
    <w:rsid w:val="00580F93"/>
    <w:rsid w:val="00582103"/>
    <w:rsid w:val="005828F1"/>
    <w:rsid w:val="00582E34"/>
    <w:rsid w:val="005830F2"/>
    <w:rsid w:val="005835DA"/>
    <w:rsid w:val="00583C3B"/>
    <w:rsid w:val="005843CD"/>
    <w:rsid w:val="00585A77"/>
    <w:rsid w:val="00585ABE"/>
    <w:rsid w:val="00585DEE"/>
    <w:rsid w:val="00585E2D"/>
    <w:rsid w:val="00585F7D"/>
    <w:rsid w:val="00585FAF"/>
    <w:rsid w:val="0058606B"/>
    <w:rsid w:val="00586239"/>
    <w:rsid w:val="0058649D"/>
    <w:rsid w:val="005868D0"/>
    <w:rsid w:val="0058712F"/>
    <w:rsid w:val="005873D4"/>
    <w:rsid w:val="005875DB"/>
    <w:rsid w:val="00587800"/>
    <w:rsid w:val="00587993"/>
    <w:rsid w:val="00587B01"/>
    <w:rsid w:val="0059095A"/>
    <w:rsid w:val="00590BA5"/>
    <w:rsid w:val="00590F0B"/>
    <w:rsid w:val="005912B0"/>
    <w:rsid w:val="005914A0"/>
    <w:rsid w:val="0059164A"/>
    <w:rsid w:val="00591C47"/>
    <w:rsid w:val="00591C73"/>
    <w:rsid w:val="005922B5"/>
    <w:rsid w:val="005923EC"/>
    <w:rsid w:val="00592725"/>
    <w:rsid w:val="005928C5"/>
    <w:rsid w:val="00592E63"/>
    <w:rsid w:val="0059324C"/>
    <w:rsid w:val="00593297"/>
    <w:rsid w:val="005932E4"/>
    <w:rsid w:val="005935DA"/>
    <w:rsid w:val="0059381A"/>
    <w:rsid w:val="00593C34"/>
    <w:rsid w:val="00594879"/>
    <w:rsid w:val="005948A6"/>
    <w:rsid w:val="00594D73"/>
    <w:rsid w:val="00594E6B"/>
    <w:rsid w:val="00595AB2"/>
    <w:rsid w:val="00596854"/>
    <w:rsid w:val="00597031"/>
    <w:rsid w:val="005978A0"/>
    <w:rsid w:val="00597A30"/>
    <w:rsid w:val="00597A74"/>
    <w:rsid w:val="00597E5D"/>
    <w:rsid w:val="00597FA3"/>
    <w:rsid w:val="005A0129"/>
    <w:rsid w:val="005A0EFB"/>
    <w:rsid w:val="005A1885"/>
    <w:rsid w:val="005A21BC"/>
    <w:rsid w:val="005A2571"/>
    <w:rsid w:val="005A3963"/>
    <w:rsid w:val="005A3CA5"/>
    <w:rsid w:val="005A44CA"/>
    <w:rsid w:val="005A4CCA"/>
    <w:rsid w:val="005A5A32"/>
    <w:rsid w:val="005A5C2A"/>
    <w:rsid w:val="005A5C9B"/>
    <w:rsid w:val="005A6AC4"/>
    <w:rsid w:val="005A6AE8"/>
    <w:rsid w:val="005A7007"/>
    <w:rsid w:val="005A72D7"/>
    <w:rsid w:val="005A73B5"/>
    <w:rsid w:val="005A7911"/>
    <w:rsid w:val="005A7BE4"/>
    <w:rsid w:val="005A7EBB"/>
    <w:rsid w:val="005B035A"/>
    <w:rsid w:val="005B0468"/>
    <w:rsid w:val="005B0BCF"/>
    <w:rsid w:val="005B10D9"/>
    <w:rsid w:val="005B1589"/>
    <w:rsid w:val="005B197F"/>
    <w:rsid w:val="005B1C5D"/>
    <w:rsid w:val="005B2434"/>
    <w:rsid w:val="005B2748"/>
    <w:rsid w:val="005B2B3E"/>
    <w:rsid w:val="005B2C29"/>
    <w:rsid w:val="005B2DF0"/>
    <w:rsid w:val="005B32E1"/>
    <w:rsid w:val="005B3401"/>
    <w:rsid w:val="005B3653"/>
    <w:rsid w:val="005B3700"/>
    <w:rsid w:val="005B372F"/>
    <w:rsid w:val="005B3AF5"/>
    <w:rsid w:val="005B4024"/>
    <w:rsid w:val="005B415D"/>
    <w:rsid w:val="005B41BF"/>
    <w:rsid w:val="005B4374"/>
    <w:rsid w:val="005B4559"/>
    <w:rsid w:val="005B4689"/>
    <w:rsid w:val="005B4C2D"/>
    <w:rsid w:val="005B5237"/>
    <w:rsid w:val="005B54E9"/>
    <w:rsid w:val="005B5773"/>
    <w:rsid w:val="005B5BCD"/>
    <w:rsid w:val="005B6604"/>
    <w:rsid w:val="005B6999"/>
    <w:rsid w:val="005B6C1F"/>
    <w:rsid w:val="005B7212"/>
    <w:rsid w:val="005B77C7"/>
    <w:rsid w:val="005B79D1"/>
    <w:rsid w:val="005B7B29"/>
    <w:rsid w:val="005B7BF4"/>
    <w:rsid w:val="005C0F0A"/>
    <w:rsid w:val="005C109C"/>
    <w:rsid w:val="005C1D39"/>
    <w:rsid w:val="005C1D42"/>
    <w:rsid w:val="005C2439"/>
    <w:rsid w:val="005C2746"/>
    <w:rsid w:val="005C2B9F"/>
    <w:rsid w:val="005C2F7B"/>
    <w:rsid w:val="005C32A6"/>
    <w:rsid w:val="005C3A1E"/>
    <w:rsid w:val="005C3FEE"/>
    <w:rsid w:val="005C408D"/>
    <w:rsid w:val="005C4796"/>
    <w:rsid w:val="005C4E3B"/>
    <w:rsid w:val="005C4F64"/>
    <w:rsid w:val="005C5AE4"/>
    <w:rsid w:val="005C5C59"/>
    <w:rsid w:val="005C5E87"/>
    <w:rsid w:val="005C5F0E"/>
    <w:rsid w:val="005C60CB"/>
    <w:rsid w:val="005C64A4"/>
    <w:rsid w:val="005C6A2F"/>
    <w:rsid w:val="005C70EE"/>
    <w:rsid w:val="005C71AA"/>
    <w:rsid w:val="005C73FB"/>
    <w:rsid w:val="005C7C55"/>
    <w:rsid w:val="005C7FB2"/>
    <w:rsid w:val="005D051A"/>
    <w:rsid w:val="005D08F9"/>
    <w:rsid w:val="005D0A1C"/>
    <w:rsid w:val="005D114B"/>
    <w:rsid w:val="005D2250"/>
    <w:rsid w:val="005D25CB"/>
    <w:rsid w:val="005D30DB"/>
    <w:rsid w:val="005D3640"/>
    <w:rsid w:val="005D3712"/>
    <w:rsid w:val="005D3747"/>
    <w:rsid w:val="005D4088"/>
    <w:rsid w:val="005D43CB"/>
    <w:rsid w:val="005D4951"/>
    <w:rsid w:val="005D6209"/>
    <w:rsid w:val="005D6312"/>
    <w:rsid w:val="005D707E"/>
    <w:rsid w:val="005D7574"/>
    <w:rsid w:val="005D77BD"/>
    <w:rsid w:val="005D7867"/>
    <w:rsid w:val="005D7EEA"/>
    <w:rsid w:val="005D7F1C"/>
    <w:rsid w:val="005E0670"/>
    <w:rsid w:val="005E0989"/>
    <w:rsid w:val="005E0A3F"/>
    <w:rsid w:val="005E0EE0"/>
    <w:rsid w:val="005E0F68"/>
    <w:rsid w:val="005E0FB0"/>
    <w:rsid w:val="005E12E0"/>
    <w:rsid w:val="005E1717"/>
    <w:rsid w:val="005E1A9F"/>
    <w:rsid w:val="005E1E33"/>
    <w:rsid w:val="005E2907"/>
    <w:rsid w:val="005E2B9E"/>
    <w:rsid w:val="005E3057"/>
    <w:rsid w:val="005E3375"/>
    <w:rsid w:val="005E3957"/>
    <w:rsid w:val="005E3A2A"/>
    <w:rsid w:val="005E3EA2"/>
    <w:rsid w:val="005E42E3"/>
    <w:rsid w:val="005E5002"/>
    <w:rsid w:val="005E50DF"/>
    <w:rsid w:val="005E53B2"/>
    <w:rsid w:val="005E53F6"/>
    <w:rsid w:val="005E59EE"/>
    <w:rsid w:val="005E5D7B"/>
    <w:rsid w:val="005E6014"/>
    <w:rsid w:val="005E6143"/>
    <w:rsid w:val="005E618A"/>
    <w:rsid w:val="005E6419"/>
    <w:rsid w:val="005E6475"/>
    <w:rsid w:val="005E661E"/>
    <w:rsid w:val="005E670D"/>
    <w:rsid w:val="005E6B8D"/>
    <w:rsid w:val="005E6F26"/>
    <w:rsid w:val="005E7BE5"/>
    <w:rsid w:val="005E7E1E"/>
    <w:rsid w:val="005F09AA"/>
    <w:rsid w:val="005F0E48"/>
    <w:rsid w:val="005F120A"/>
    <w:rsid w:val="005F1247"/>
    <w:rsid w:val="005F12B4"/>
    <w:rsid w:val="005F162B"/>
    <w:rsid w:val="005F282D"/>
    <w:rsid w:val="005F32FC"/>
    <w:rsid w:val="005F33C2"/>
    <w:rsid w:val="005F374A"/>
    <w:rsid w:val="005F3781"/>
    <w:rsid w:val="005F3C83"/>
    <w:rsid w:val="005F4066"/>
    <w:rsid w:val="005F411A"/>
    <w:rsid w:val="005F4CC4"/>
    <w:rsid w:val="005F4EE3"/>
    <w:rsid w:val="005F5068"/>
    <w:rsid w:val="005F585D"/>
    <w:rsid w:val="005F5AD1"/>
    <w:rsid w:val="005F5F63"/>
    <w:rsid w:val="005F6133"/>
    <w:rsid w:val="005F65F9"/>
    <w:rsid w:val="005F661F"/>
    <w:rsid w:val="005F6BAB"/>
    <w:rsid w:val="005F6D10"/>
    <w:rsid w:val="005F6E29"/>
    <w:rsid w:val="005F7245"/>
    <w:rsid w:val="005F76BD"/>
    <w:rsid w:val="005F770F"/>
    <w:rsid w:val="006004E2"/>
    <w:rsid w:val="006006E5"/>
    <w:rsid w:val="00600C91"/>
    <w:rsid w:val="00601B4A"/>
    <w:rsid w:val="00601C10"/>
    <w:rsid w:val="00601C6D"/>
    <w:rsid w:val="00601D77"/>
    <w:rsid w:val="00601E0C"/>
    <w:rsid w:val="00601E59"/>
    <w:rsid w:val="00601F31"/>
    <w:rsid w:val="006029EF"/>
    <w:rsid w:val="006031AD"/>
    <w:rsid w:val="00603524"/>
    <w:rsid w:val="00603C32"/>
    <w:rsid w:val="00603D3A"/>
    <w:rsid w:val="006040AB"/>
    <w:rsid w:val="006043AE"/>
    <w:rsid w:val="00604699"/>
    <w:rsid w:val="006046D4"/>
    <w:rsid w:val="0060482E"/>
    <w:rsid w:val="00604F99"/>
    <w:rsid w:val="00605251"/>
    <w:rsid w:val="00605D5C"/>
    <w:rsid w:val="00606840"/>
    <w:rsid w:val="006073CE"/>
    <w:rsid w:val="0060764B"/>
    <w:rsid w:val="00607658"/>
    <w:rsid w:val="00607B0C"/>
    <w:rsid w:val="00610BF6"/>
    <w:rsid w:val="00610DF4"/>
    <w:rsid w:val="00610E61"/>
    <w:rsid w:val="00611140"/>
    <w:rsid w:val="006114AE"/>
    <w:rsid w:val="006124DD"/>
    <w:rsid w:val="006127AB"/>
    <w:rsid w:val="0061290D"/>
    <w:rsid w:val="00612DE7"/>
    <w:rsid w:val="006130EE"/>
    <w:rsid w:val="00613123"/>
    <w:rsid w:val="006131CE"/>
    <w:rsid w:val="006138C0"/>
    <w:rsid w:val="00613A29"/>
    <w:rsid w:val="00613EF5"/>
    <w:rsid w:val="0061441E"/>
    <w:rsid w:val="006147E5"/>
    <w:rsid w:val="006149DB"/>
    <w:rsid w:val="00615836"/>
    <w:rsid w:val="00615D2C"/>
    <w:rsid w:val="00615DFD"/>
    <w:rsid w:val="00615E6C"/>
    <w:rsid w:val="00616104"/>
    <w:rsid w:val="0061611D"/>
    <w:rsid w:val="00616AAF"/>
    <w:rsid w:val="006173C1"/>
    <w:rsid w:val="00617584"/>
    <w:rsid w:val="006176D9"/>
    <w:rsid w:val="00617B03"/>
    <w:rsid w:val="00617E61"/>
    <w:rsid w:val="0062059F"/>
    <w:rsid w:val="00620605"/>
    <w:rsid w:val="00620751"/>
    <w:rsid w:val="006207FA"/>
    <w:rsid w:val="006211CD"/>
    <w:rsid w:val="00621247"/>
    <w:rsid w:val="006226A2"/>
    <w:rsid w:val="00622E44"/>
    <w:rsid w:val="00623453"/>
    <w:rsid w:val="00623C52"/>
    <w:rsid w:val="00623CD9"/>
    <w:rsid w:val="00624692"/>
    <w:rsid w:val="006248CA"/>
    <w:rsid w:val="00624A65"/>
    <w:rsid w:val="00625445"/>
    <w:rsid w:val="00625876"/>
    <w:rsid w:val="0062612B"/>
    <w:rsid w:val="006267F7"/>
    <w:rsid w:val="0062731C"/>
    <w:rsid w:val="006308FC"/>
    <w:rsid w:val="006309E0"/>
    <w:rsid w:val="006311F1"/>
    <w:rsid w:val="006314C2"/>
    <w:rsid w:val="00631843"/>
    <w:rsid w:val="00631C37"/>
    <w:rsid w:val="0063209E"/>
    <w:rsid w:val="006320EC"/>
    <w:rsid w:val="0063233E"/>
    <w:rsid w:val="0063260C"/>
    <w:rsid w:val="006326C5"/>
    <w:rsid w:val="00632A6F"/>
    <w:rsid w:val="00632AF3"/>
    <w:rsid w:val="00633754"/>
    <w:rsid w:val="006337E6"/>
    <w:rsid w:val="00633965"/>
    <w:rsid w:val="0063405A"/>
    <w:rsid w:val="00635743"/>
    <w:rsid w:val="00635AD4"/>
    <w:rsid w:val="00636B48"/>
    <w:rsid w:val="00636CD7"/>
    <w:rsid w:val="00636CE4"/>
    <w:rsid w:val="0063794E"/>
    <w:rsid w:val="00637AF9"/>
    <w:rsid w:val="00640454"/>
    <w:rsid w:val="006406EE"/>
    <w:rsid w:val="00641023"/>
    <w:rsid w:val="006412EB"/>
    <w:rsid w:val="00641482"/>
    <w:rsid w:val="00641A26"/>
    <w:rsid w:val="00641E21"/>
    <w:rsid w:val="0064274E"/>
    <w:rsid w:val="00642AF6"/>
    <w:rsid w:val="00642E5B"/>
    <w:rsid w:val="00642EEF"/>
    <w:rsid w:val="0064302D"/>
    <w:rsid w:val="006438FE"/>
    <w:rsid w:val="006440AB"/>
    <w:rsid w:val="00644788"/>
    <w:rsid w:val="00644D2E"/>
    <w:rsid w:val="006459AD"/>
    <w:rsid w:val="006464AC"/>
    <w:rsid w:val="006466C6"/>
    <w:rsid w:val="006469C2"/>
    <w:rsid w:val="00646A3A"/>
    <w:rsid w:val="00646F69"/>
    <w:rsid w:val="00647013"/>
    <w:rsid w:val="00647C7E"/>
    <w:rsid w:val="00650178"/>
    <w:rsid w:val="006502ED"/>
    <w:rsid w:val="006505BB"/>
    <w:rsid w:val="00650C67"/>
    <w:rsid w:val="006512F0"/>
    <w:rsid w:val="00651354"/>
    <w:rsid w:val="0065135E"/>
    <w:rsid w:val="006517D3"/>
    <w:rsid w:val="00651ADF"/>
    <w:rsid w:val="00651FFE"/>
    <w:rsid w:val="006525FA"/>
    <w:rsid w:val="00652861"/>
    <w:rsid w:val="00652911"/>
    <w:rsid w:val="00652B05"/>
    <w:rsid w:val="00652BF0"/>
    <w:rsid w:val="00652F60"/>
    <w:rsid w:val="00652FB4"/>
    <w:rsid w:val="00653B3C"/>
    <w:rsid w:val="00653F1C"/>
    <w:rsid w:val="0065423E"/>
    <w:rsid w:val="00654637"/>
    <w:rsid w:val="0065486D"/>
    <w:rsid w:val="00654A03"/>
    <w:rsid w:val="00654CF7"/>
    <w:rsid w:val="00654D82"/>
    <w:rsid w:val="00654FEE"/>
    <w:rsid w:val="0065544D"/>
    <w:rsid w:val="006554E5"/>
    <w:rsid w:val="00655915"/>
    <w:rsid w:val="00656380"/>
    <w:rsid w:val="00656AE0"/>
    <w:rsid w:val="00656BDE"/>
    <w:rsid w:val="00656DBF"/>
    <w:rsid w:val="00657160"/>
    <w:rsid w:val="006573F5"/>
    <w:rsid w:val="006576B5"/>
    <w:rsid w:val="006577FA"/>
    <w:rsid w:val="006600B7"/>
    <w:rsid w:val="00660629"/>
    <w:rsid w:val="006608F8"/>
    <w:rsid w:val="00660C93"/>
    <w:rsid w:val="00661B4C"/>
    <w:rsid w:val="00661BE3"/>
    <w:rsid w:val="00662282"/>
    <w:rsid w:val="006629AB"/>
    <w:rsid w:val="0066339D"/>
    <w:rsid w:val="006637F7"/>
    <w:rsid w:val="00663ECC"/>
    <w:rsid w:val="00664431"/>
    <w:rsid w:val="00664474"/>
    <w:rsid w:val="0066448E"/>
    <w:rsid w:val="0066459B"/>
    <w:rsid w:val="00664D95"/>
    <w:rsid w:val="00664FC5"/>
    <w:rsid w:val="00665539"/>
    <w:rsid w:val="00665594"/>
    <w:rsid w:val="0066586D"/>
    <w:rsid w:val="006658F0"/>
    <w:rsid w:val="00665F0E"/>
    <w:rsid w:val="006662BA"/>
    <w:rsid w:val="00666332"/>
    <w:rsid w:val="0066642F"/>
    <w:rsid w:val="006666FD"/>
    <w:rsid w:val="00666DDF"/>
    <w:rsid w:val="006673D9"/>
    <w:rsid w:val="00667620"/>
    <w:rsid w:val="006678C9"/>
    <w:rsid w:val="00667D51"/>
    <w:rsid w:val="00667DB3"/>
    <w:rsid w:val="006703D5"/>
    <w:rsid w:val="00670491"/>
    <w:rsid w:val="00670B23"/>
    <w:rsid w:val="00670F01"/>
    <w:rsid w:val="00670F08"/>
    <w:rsid w:val="00671112"/>
    <w:rsid w:val="006711CD"/>
    <w:rsid w:val="00671274"/>
    <w:rsid w:val="006714CE"/>
    <w:rsid w:val="00671FC2"/>
    <w:rsid w:val="00672021"/>
    <w:rsid w:val="006724B7"/>
    <w:rsid w:val="00672626"/>
    <w:rsid w:val="00672876"/>
    <w:rsid w:val="006729FC"/>
    <w:rsid w:val="00672DD5"/>
    <w:rsid w:val="00672F78"/>
    <w:rsid w:val="0067339C"/>
    <w:rsid w:val="006734BE"/>
    <w:rsid w:val="006735F3"/>
    <w:rsid w:val="00673A06"/>
    <w:rsid w:val="00673D32"/>
    <w:rsid w:val="00674859"/>
    <w:rsid w:val="00675366"/>
    <w:rsid w:val="006759CB"/>
    <w:rsid w:val="00675D32"/>
    <w:rsid w:val="00675E99"/>
    <w:rsid w:val="006760DF"/>
    <w:rsid w:val="0067611A"/>
    <w:rsid w:val="00676157"/>
    <w:rsid w:val="0067626D"/>
    <w:rsid w:val="0067642C"/>
    <w:rsid w:val="00676A74"/>
    <w:rsid w:val="00676B58"/>
    <w:rsid w:val="00676D5D"/>
    <w:rsid w:val="00680148"/>
    <w:rsid w:val="00680F5B"/>
    <w:rsid w:val="006815AE"/>
    <w:rsid w:val="00682164"/>
    <w:rsid w:val="006821A3"/>
    <w:rsid w:val="0068230C"/>
    <w:rsid w:val="0068246C"/>
    <w:rsid w:val="00682BA5"/>
    <w:rsid w:val="00682FA5"/>
    <w:rsid w:val="0068316A"/>
    <w:rsid w:val="006834D8"/>
    <w:rsid w:val="006835B1"/>
    <w:rsid w:val="00683AC0"/>
    <w:rsid w:val="00683CCE"/>
    <w:rsid w:val="00683DEA"/>
    <w:rsid w:val="00683F05"/>
    <w:rsid w:val="006843EE"/>
    <w:rsid w:val="00684B43"/>
    <w:rsid w:val="00684D70"/>
    <w:rsid w:val="0068510C"/>
    <w:rsid w:val="006858F0"/>
    <w:rsid w:val="00685937"/>
    <w:rsid w:val="00685DBD"/>
    <w:rsid w:val="0068612F"/>
    <w:rsid w:val="00686EF0"/>
    <w:rsid w:val="00687B93"/>
    <w:rsid w:val="00687E4C"/>
    <w:rsid w:val="00687F21"/>
    <w:rsid w:val="0069072A"/>
    <w:rsid w:val="00690A36"/>
    <w:rsid w:val="00690B2B"/>
    <w:rsid w:val="00690C85"/>
    <w:rsid w:val="0069106C"/>
    <w:rsid w:val="0069113C"/>
    <w:rsid w:val="00691433"/>
    <w:rsid w:val="006914E7"/>
    <w:rsid w:val="006916AA"/>
    <w:rsid w:val="00691C48"/>
    <w:rsid w:val="00691D6E"/>
    <w:rsid w:val="00692436"/>
    <w:rsid w:val="00692D16"/>
    <w:rsid w:val="00692FF7"/>
    <w:rsid w:val="006930BD"/>
    <w:rsid w:val="0069324C"/>
    <w:rsid w:val="006932EF"/>
    <w:rsid w:val="006935B3"/>
    <w:rsid w:val="0069394E"/>
    <w:rsid w:val="006943A2"/>
    <w:rsid w:val="00694761"/>
    <w:rsid w:val="00694840"/>
    <w:rsid w:val="00694B05"/>
    <w:rsid w:val="00694DF8"/>
    <w:rsid w:val="0069509B"/>
    <w:rsid w:val="006951E2"/>
    <w:rsid w:val="00695A32"/>
    <w:rsid w:val="006960FC"/>
    <w:rsid w:val="006964C6"/>
    <w:rsid w:val="00696852"/>
    <w:rsid w:val="00697379"/>
    <w:rsid w:val="00697393"/>
    <w:rsid w:val="006976BB"/>
    <w:rsid w:val="006977BF"/>
    <w:rsid w:val="006978ED"/>
    <w:rsid w:val="00697AF3"/>
    <w:rsid w:val="006A015F"/>
    <w:rsid w:val="006A114F"/>
    <w:rsid w:val="006A1624"/>
    <w:rsid w:val="006A184C"/>
    <w:rsid w:val="006A2C78"/>
    <w:rsid w:val="006A3481"/>
    <w:rsid w:val="006A361D"/>
    <w:rsid w:val="006A3870"/>
    <w:rsid w:val="006A3AF9"/>
    <w:rsid w:val="006A433E"/>
    <w:rsid w:val="006A454B"/>
    <w:rsid w:val="006A46C0"/>
    <w:rsid w:val="006A4D83"/>
    <w:rsid w:val="006A4E72"/>
    <w:rsid w:val="006A4F97"/>
    <w:rsid w:val="006A52EE"/>
    <w:rsid w:val="006A6E5D"/>
    <w:rsid w:val="006A756A"/>
    <w:rsid w:val="006A7E3F"/>
    <w:rsid w:val="006B020C"/>
    <w:rsid w:val="006B07A9"/>
    <w:rsid w:val="006B1105"/>
    <w:rsid w:val="006B1158"/>
    <w:rsid w:val="006B15AD"/>
    <w:rsid w:val="006B1B76"/>
    <w:rsid w:val="006B21C9"/>
    <w:rsid w:val="006B3446"/>
    <w:rsid w:val="006B38BE"/>
    <w:rsid w:val="006B3921"/>
    <w:rsid w:val="006B3D8C"/>
    <w:rsid w:val="006B4618"/>
    <w:rsid w:val="006B4AFB"/>
    <w:rsid w:val="006B4F01"/>
    <w:rsid w:val="006B58A1"/>
    <w:rsid w:val="006B5C2D"/>
    <w:rsid w:val="006B618C"/>
    <w:rsid w:val="006B70F4"/>
    <w:rsid w:val="006B7470"/>
    <w:rsid w:val="006B74D3"/>
    <w:rsid w:val="006B7656"/>
    <w:rsid w:val="006B7810"/>
    <w:rsid w:val="006B7845"/>
    <w:rsid w:val="006B7867"/>
    <w:rsid w:val="006C00BB"/>
    <w:rsid w:val="006C0638"/>
    <w:rsid w:val="006C09E4"/>
    <w:rsid w:val="006C0B2A"/>
    <w:rsid w:val="006C0ED8"/>
    <w:rsid w:val="006C102B"/>
    <w:rsid w:val="006C1144"/>
    <w:rsid w:val="006C1185"/>
    <w:rsid w:val="006C16F4"/>
    <w:rsid w:val="006C1B63"/>
    <w:rsid w:val="006C1F97"/>
    <w:rsid w:val="006C2872"/>
    <w:rsid w:val="006C2881"/>
    <w:rsid w:val="006C3181"/>
    <w:rsid w:val="006C3DDE"/>
    <w:rsid w:val="006C4C5E"/>
    <w:rsid w:val="006C57B2"/>
    <w:rsid w:val="006C6B6F"/>
    <w:rsid w:val="006C722C"/>
    <w:rsid w:val="006C7528"/>
    <w:rsid w:val="006C77ED"/>
    <w:rsid w:val="006C783F"/>
    <w:rsid w:val="006C798A"/>
    <w:rsid w:val="006C7A48"/>
    <w:rsid w:val="006C7E40"/>
    <w:rsid w:val="006D05DB"/>
    <w:rsid w:val="006D0894"/>
    <w:rsid w:val="006D1564"/>
    <w:rsid w:val="006D179A"/>
    <w:rsid w:val="006D1C4F"/>
    <w:rsid w:val="006D1EAB"/>
    <w:rsid w:val="006D21E9"/>
    <w:rsid w:val="006D22F6"/>
    <w:rsid w:val="006D257F"/>
    <w:rsid w:val="006D311A"/>
    <w:rsid w:val="006D341F"/>
    <w:rsid w:val="006D35EA"/>
    <w:rsid w:val="006D37AF"/>
    <w:rsid w:val="006D3A1F"/>
    <w:rsid w:val="006D3A52"/>
    <w:rsid w:val="006D4177"/>
    <w:rsid w:val="006D4403"/>
    <w:rsid w:val="006D4720"/>
    <w:rsid w:val="006D47E1"/>
    <w:rsid w:val="006D4DF2"/>
    <w:rsid w:val="006D4EC7"/>
    <w:rsid w:val="006D4FA9"/>
    <w:rsid w:val="006D5019"/>
    <w:rsid w:val="006D501E"/>
    <w:rsid w:val="006D50CD"/>
    <w:rsid w:val="006D5274"/>
    <w:rsid w:val="006D5A63"/>
    <w:rsid w:val="006D5B26"/>
    <w:rsid w:val="006D5D56"/>
    <w:rsid w:val="006D66F4"/>
    <w:rsid w:val="006D6D49"/>
    <w:rsid w:val="006D6DB7"/>
    <w:rsid w:val="006D70E0"/>
    <w:rsid w:val="006D7856"/>
    <w:rsid w:val="006D7A8B"/>
    <w:rsid w:val="006E0181"/>
    <w:rsid w:val="006E0F71"/>
    <w:rsid w:val="006E13AE"/>
    <w:rsid w:val="006E16AA"/>
    <w:rsid w:val="006E1F6D"/>
    <w:rsid w:val="006E1F92"/>
    <w:rsid w:val="006E2A14"/>
    <w:rsid w:val="006E3227"/>
    <w:rsid w:val="006E3498"/>
    <w:rsid w:val="006E3841"/>
    <w:rsid w:val="006E3C64"/>
    <w:rsid w:val="006E3D8A"/>
    <w:rsid w:val="006E4199"/>
    <w:rsid w:val="006E43F6"/>
    <w:rsid w:val="006E450A"/>
    <w:rsid w:val="006E46D5"/>
    <w:rsid w:val="006E4CA2"/>
    <w:rsid w:val="006E4D80"/>
    <w:rsid w:val="006E4E3E"/>
    <w:rsid w:val="006E50B6"/>
    <w:rsid w:val="006E532B"/>
    <w:rsid w:val="006E5464"/>
    <w:rsid w:val="006E5EE8"/>
    <w:rsid w:val="006E6B3E"/>
    <w:rsid w:val="006E6D3C"/>
    <w:rsid w:val="006E6E49"/>
    <w:rsid w:val="006E7108"/>
    <w:rsid w:val="006E718A"/>
    <w:rsid w:val="006E71F1"/>
    <w:rsid w:val="006E78A2"/>
    <w:rsid w:val="006E7D1E"/>
    <w:rsid w:val="006F061A"/>
    <w:rsid w:val="006F0766"/>
    <w:rsid w:val="006F0B1D"/>
    <w:rsid w:val="006F0F53"/>
    <w:rsid w:val="006F195F"/>
    <w:rsid w:val="006F1CEE"/>
    <w:rsid w:val="006F1F96"/>
    <w:rsid w:val="006F21DA"/>
    <w:rsid w:val="006F2870"/>
    <w:rsid w:val="006F28CA"/>
    <w:rsid w:val="006F2D05"/>
    <w:rsid w:val="006F2DD0"/>
    <w:rsid w:val="006F3552"/>
    <w:rsid w:val="006F3AED"/>
    <w:rsid w:val="006F434D"/>
    <w:rsid w:val="006F5A43"/>
    <w:rsid w:val="006F618D"/>
    <w:rsid w:val="006F61DF"/>
    <w:rsid w:val="006F650B"/>
    <w:rsid w:val="006F67AF"/>
    <w:rsid w:val="006F69CF"/>
    <w:rsid w:val="006F70EF"/>
    <w:rsid w:val="007014EC"/>
    <w:rsid w:val="007018F0"/>
    <w:rsid w:val="007019F6"/>
    <w:rsid w:val="00701F04"/>
    <w:rsid w:val="007024FD"/>
    <w:rsid w:val="0070267F"/>
    <w:rsid w:val="00702733"/>
    <w:rsid w:val="00702CAB"/>
    <w:rsid w:val="00703521"/>
    <w:rsid w:val="00703732"/>
    <w:rsid w:val="0070383F"/>
    <w:rsid w:val="00703DA0"/>
    <w:rsid w:val="0070438D"/>
    <w:rsid w:val="00704407"/>
    <w:rsid w:val="00704D58"/>
    <w:rsid w:val="00704FF7"/>
    <w:rsid w:val="007052B0"/>
    <w:rsid w:val="00705558"/>
    <w:rsid w:val="00705B86"/>
    <w:rsid w:val="00705E27"/>
    <w:rsid w:val="00705F5D"/>
    <w:rsid w:val="007061E9"/>
    <w:rsid w:val="007064D2"/>
    <w:rsid w:val="00706583"/>
    <w:rsid w:val="007069ED"/>
    <w:rsid w:val="00707AA3"/>
    <w:rsid w:val="007102A7"/>
    <w:rsid w:val="007103DD"/>
    <w:rsid w:val="007107DF"/>
    <w:rsid w:val="007108F1"/>
    <w:rsid w:val="00710FA6"/>
    <w:rsid w:val="00710FBC"/>
    <w:rsid w:val="007110D8"/>
    <w:rsid w:val="00711275"/>
    <w:rsid w:val="0071162B"/>
    <w:rsid w:val="0071251B"/>
    <w:rsid w:val="007125DE"/>
    <w:rsid w:val="00712750"/>
    <w:rsid w:val="00712967"/>
    <w:rsid w:val="00712E4D"/>
    <w:rsid w:val="0071312F"/>
    <w:rsid w:val="0071384D"/>
    <w:rsid w:val="00713A49"/>
    <w:rsid w:val="00713A52"/>
    <w:rsid w:val="00713B49"/>
    <w:rsid w:val="00713BA4"/>
    <w:rsid w:val="00713BAD"/>
    <w:rsid w:val="00713CCA"/>
    <w:rsid w:val="00713ED4"/>
    <w:rsid w:val="00713EF8"/>
    <w:rsid w:val="00714427"/>
    <w:rsid w:val="00714741"/>
    <w:rsid w:val="00714C37"/>
    <w:rsid w:val="00714C8E"/>
    <w:rsid w:val="007156A6"/>
    <w:rsid w:val="0071574D"/>
    <w:rsid w:val="00715DF7"/>
    <w:rsid w:val="00715E0F"/>
    <w:rsid w:val="00716567"/>
    <w:rsid w:val="00716847"/>
    <w:rsid w:val="00716F33"/>
    <w:rsid w:val="0071747F"/>
    <w:rsid w:val="00717754"/>
    <w:rsid w:val="00717B7A"/>
    <w:rsid w:val="00720327"/>
    <w:rsid w:val="00720BDD"/>
    <w:rsid w:val="0072101F"/>
    <w:rsid w:val="007212CB"/>
    <w:rsid w:val="0072166A"/>
    <w:rsid w:val="00721EE9"/>
    <w:rsid w:val="00721FB6"/>
    <w:rsid w:val="00722732"/>
    <w:rsid w:val="0072369E"/>
    <w:rsid w:val="007238A9"/>
    <w:rsid w:val="00723B94"/>
    <w:rsid w:val="00723E43"/>
    <w:rsid w:val="00724089"/>
    <w:rsid w:val="007240EE"/>
    <w:rsid w:val="007243FC"/>
    <w:rsid w:val="00724512"/>
    <w:rsid w:val="00724D36"/>
    <w:rsid w:val="00724E80"/>
    <w:rsid w:val="00724F48"/>
    <w:rsid w:val="00724FD0"/>
    <w:rsid w:val="00725400"/>
    <w:rsid w:val="0072547C"/>
    <w:rsid w:val="00725EF0"/>
    <w:rsid w:val="0072604F"/>
    <w:rsid w:val="007263D3"/>
    <w:rsid w:val="00726BFF"/>
    <w:rsid w:val="00727213"/>
    <w:rsid w:val="0072742F"/>
    <w:rsid w:val="00727F78"/>
    <w:rsid w:val="00730E54"/>
    <w:rsid w:val="0073139C"/>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2AC"/>
    <w:rsid w:val="00734713"/>
    <w:rsid w:val="00734D2F"/>
    <w:rsid w:val="00734F0F"/>
    <w:rsid w:val="0073510D"/>
    <w:rsid w:val="0073518A"/>
    <w:rsid w:val="00735226"/>
    <w:rsid w:val="00735609"/>
    <w:rsid w:val="00735BBB"/>
    <w:rsid w:val="00735C53"/>
    <w:rsid w:val="00736743"/>
    <w:rsid w:val="00736E50"/>
    <w:rsid w:val="007373FD"/>
    <w:rsid w:val="00737A7A"/>
    <w:rsid w:val="00737BBE"/>
    <w:rsid w:val="00737FE5"/>
    <w:rsid w:val="007401D9"/>
    <w:rsid w:val="00740460"/>
    <w:rsid w:val="0074051D"/>
    <w:rsid w:val="00740F24"/>
    <w:rsid w:val="00741B45"/>
    <w:rsid w:val="00741D80"/>
    <w:rsid w:val="00741E2F"/>
    <w:rsid w:val="00741EC9"/>
    <w:rsid w:val="00742082"/>
    <w:rsid w:val="0074246F"/>
    <w:rsid w:val="007429ED"/>
    <w:rsid w:val="00742A67"/>
    <w:rsid w:val="007430CA"/>
    <w:rsid w:val="007436A4"/>
    <w:rsid w:val="00743DC3"/>
    <w:rsid w:val="00743F94"/>
    <w:rsid w:val="007443B6"/>
    <w:rsid w:val="00744E39"/>
    <w:rsid w:val="007450A7"/>
    <w:rsid w:val="00745692"/>
    <w:rsid w:val="007464FB"/>
    <w:rsid w:val="0074704B"/>
    <w:rsid w:val="007474DC"/>
    <w:rsid w:val="00747741"/>
    <w:rsid w:val="00747A9B"/>
    <w:rsid w:val="00747C42"/>
    <w:rsid w:val="00747D86"/>
    <w:rsid w:val="007501D2"/>
    <w:rsid w:val="0075064B"/>
    <w:rsid w:val="00750C6B"/>
    <w:rsid w:val="00750DF9"/>
    <w:rsid w:val="00750EB3"/>
    <w:rsid w:val="00751212"/>
    <w:rsid w:val="0075198E"/>
    <w:rsid w:val="00752066"/>
    <w:rsid w:val="00752071"/>
    <w:rsid w:val="007529C8"/>
    <w:rsid w:val="00753B48"/>
    <w:rsid w:val="00753EB2"/>
    <w:rsid w:val="0075428E"/>
    <w:rsid w:val="007542B0"/>
    <w:rsid w:val="00754429"/>
    <w:rsid w:val="00754696"/>
    <w:rsid w:val="00754B16"/>
    <w:rsid w:val="00754D0A"/>
    <w:rsid w:val="007553B1"/>
    <w:rsid w:val="00756A0A"/>
    <w:rsid w:val="0075719C"/>
    <w:rsid w:val="0075766C"/>
    <w:rsid w:val="007577CE"/>
    <w:rsid w:val="007579E1"/>
    <w:rsid w:val="00757B91"/>
    <w:rsid w:val="007607CE"/>
    <w:rsid w:val="00760AD3"/>
    <w:rsid w:val="00760DF0"/>
    <w:rsid w:val="00760F06"/>
    <w:rsid w:val="007615E4"/>
    <w:rsid w:val="0076186B"/>
    <w:rsid w:val="00761E0D"/>
    <w:rsid w:val="00762133"/>
    <w:rsid w:val="0076230C"/>
    <w:rsid w:val="00762DD6"/>
    <w:rsid w:val="00762F71"/>
    <w:rsid w:val="00762FDB"/>
    <w:rsid w:val="00763152"/>
    <w:rsid w:val="00763529"/>
    <w:rsid w:val="00763648"/>
    <w:rsid w:val="00763693"/>
    <w:rsid w:val="00763A62"/>
    <w:rsid w:val="007640A5"/>
    <w:rsid w:val="007642FF"/>
    <w:rsid w:val="0076489E"/>
    <w:rsid w:val="007648E6"/>
    <w:rsid w:val="007650A2"/>
    <w:rsid w:val="00765995"/>
    <w:rsid w:val="00765E01"/>
    <w:rsid w:val="00765E98"/>
    <w:rsid w:val="00766416"/>
    <w:rsid w:val="00766422"/>
    <w:rsid w:val="00766B23"/>
    <w:rsid w:val="00766B5F"/>
    <w:rsid w:val="00766CA5"/>
    <w:rsid w:val="00767582"/>
    <w:rsid w:val="00767D7B"/>
    <w:rsid w:val="00767F3E"/>
    <w:rsid w:val="00770427"/>
    <w:rsid w:val="0077045B"/>
    <w:rsid w:val="00770887"/>
    <w:rsid w:val="007708DC"/>
    <w:rsid w:val="00770982"/>
    <w:rsid w:val="00771C2B"/>
    <w:rsid w:val="007727F1"/>
    <w:rsid w:val="00772CAA"/>
    <w:rsid w:val="00772D55"/>
    <w:rsid w:val="00772EF8"/>
    <w:rsid w:val="007730CC"/>
    <w:rsid w:val="0077322E"/>
    <w:rsid w:val="00773772"/>
    <w:rsid w:val="00774716"/>
    <w:rsid w:val="0077484D"/>
    <w:rsid w:val="00774DE7"/>
    <w:rsid w:val="007752F8"/>
    <w:rsid w:val="007759E0"/>
    <w:rsid w:val="00775AF6"/>
    <w:rsid w:val="00776409"/>
    <w:rsid w:val="007766A4"/>
    <w:rsid w:val="00776784"/>
    <w:rsid w:val="007767C5"/>
    <w:rsid w:val="00776B05"/>
    <w:rsid w:val="007770A7"/>
    <w:rsid w:val="0077785A"/>
    <w:rsid w:val="00777E17"/>
    <w:rsid w:val="00780319"/>
    <w:rsid w:val="007803D0"/>
    <w:rsid w:val="00780ABC"/>
    <w:rsid w:val="00780C15"/>
    <w:rsid w:val="00780EBC"/>
    <w:rsid w:val="0078138E"/>
    <w:rsid w:val="007815EB"/>
    <w:rsid w:val="00781659"/>
    <w:rsid w:val="0078251F"/>
    <w:rsid w:val="00783029"/>
    <w:rsid w:val="007830F5"/>
    <w:rsid w:val="007832BD"/>
    <w:rsid w:val="0078359E"/>
    <w:rsid w:val="007837AB"/>
    <w:rsid w:val="007841D6"/>
    <w:rsid w:val="00784A2F"/>
    <w:rsid w:val="00784D35"/>
    <w:rsid w:val="00784E3D"/>
    <w:rsid w:val="007850B5"/>
    <w:rsid w:val="00785EEE"/>
    <w:rsid w:val="00786292"/>
    <w:rsid w:val="00786515"/>
    <w:rsid w:val="007866E5"/>
    <w:rsid w:val="00786C75"/>
    <w:rsid w:val="00787276"/>
    <w:rsid w:val="0078727E"/>
    <w:rsid w:val="00787CCA"/>
    <w:rsid w:val="00790251"/>
    <w:rsid w:val="00790C39"/>
    <w:rsid w:val="00791101"/>
    <w:rsid w:val="00791215"/>
    <w:rsid w:val="0079130C"/>
    <w:rsid w:val="007919BA"/>
    <w:rsid w:val="00791A2F"/>
    <w:rsid w:val="00791EE4"/>
    <w:rsid w:val="00792348"/>
    <w:rsid w:val="00792849"/>
    <w:rsid w:val="00792BF4"/>
    <w:rsid w:val="00792C85"/>
    <w:rsid w:val="00792F8D"/>
    <w:rsid w:val="00793281"/>
    <w:rsid w:val="007950CE"/>
    <w:rsid w:val="007957B6"/>
    <w:rsid w:val="007961AA"/>
    <w:rsid w:val="0079645D"/>
    <w:rsid w:val="00796BDD"/>
    <w:rsid w:val="00796C8D"/>
    <w:rsid w:val="00797250"/>
    <w:rsid w:val="007977B0"/>
    <w:rsid w:val="00797848"/>
    <w:rsid w:val="00797A1F"/>
    <w:rsid w:val="007A098C"/>
    <w:rsid w:val="007A0DF3"/>
    <w:rsid w:val="007A10A3"/>
    <w:rsid w:val="007A126F"/>
    <w:rsid w:val="007A12F9"/>
    <w:rsid w:val="007A1642"/>
    <w:rsid w:val="007A2B3E"/>
    <w:rsid w:val="007A3260"/>
    <w:rsid w:val="007A3376"/>
    <w:rsid w:val="007A34B2"/>
    <w:rsid w:val="007A38E9"/>
    <w:rsid w:val="007A41D4"/>
    <w:rsid w:val="007A4208"/>
    <w:rsid w:val="007A445E"/>
    <w:rsid w:val="007A4A89"/>
    <w:rsid w:val="007A4EC2"/>
    <w:rsid w:val="007A50B2"/>
    <w:rsid w:val="007A62E3"/>
    <w:rsid w:val="007A6B37"/>
    <w:rsid w:val="007A7191"/>
    <w:rsid w:val="007A7205"/>
    <w:rsid w:val="007A7314"/>
    <w:rsid w:val="007A78EA"/>
    <w:rsid w:val="007B008F"/>
    <w:rsid w:val="007B04F5"/>
    <w:rsid w:val="007B10F3"/>
    <w:rsid w:val="007B110E"/>
    <w:rsid w:val="007B3315"/>
    <w:rsid w:val="007B3369"/>
    <w:rsid w:val="007B3549"/>
    <w:rsid w:val="007B3621"/>
    <w:rsid w:val="007B36EF"/>
    <w:rsid w:val="007B442C"/>
    <w:rsid w:val="007B4A82"/>
    <w:rsid w:val="007B523F"/>
    <w:rsid w:val="007B52A7"/>
    <w:rsid w:val="007B6007"/>
    <w:rsid w:val="007B626B"/>
    <w:rsid w:val="007B64AA"/>
    <w:rsid w:val="007B7198"/>
    <w:rsid w:val="007B7302"/>
    <w:rsid w:val="007B7451"/>
    <w:rsid w:val="007B7497"/>
    <w:rsid w:val="007B776B"/>
    <w:rsid w:val="007B7D81"/>
    <w:rsid w:val="007B7F69"/>
    <w:rsid w:val="007C1025"/>
    <w:rsid w:val="007C1321"/>
    <w:rsid w:val="007C1790"/>
    <w:rsid w:val="007C18CB"/>
    <w:rsid w:val="007C1FFB"/>
    <w:rsid w:val="007C2392"/>
    <w:rsid w:val="007C24EE"/>
    <w:rsid w:val="007C2A25"/>
    <w:rsid w:val="007C2E28"/>
    <w:rsid w:val="007C3B8A"/>
    <w:rsid w:val="007C4568"/>
    <w:rsid w:val="007C4657"/>
    <w:rsid w:val="007C5910"/>
    <w:rsid w:val="007C5951"/>
    <w:rsid w:val="007C59F7"/>
    <w:rsid w:val="007C618E"/>
    <w:rsid w:val="007C6C83"/>
    <w:rsid w:val="007C6DCF"/>
    <w:rsid w:val="007C6E65"/>
    <w:rsid w:val="007C73AC"/>
    <w:rsid w:val="007C7737"/>
    <w:rsid w:val="007C7BB9"/>
    <w:rsid w:val="007C7C33"/>
    <w:rsid w:val="007C7F1F"/>
    <w:rsid w:val="007D0044"/>
    <w:rsid w:val="007D06F4"/>
    <w:rsid w:val="007D18FE"/>
    <w:rsid w:val="007D2455"/>
    <w:rsid w:val="007D32B4"/>
    <w:rsid w:val="007D3AF7"/>
    <w:rsid w:val="007D434E"/>
    <w:rsid w:val="007D45C8"/>
    <w:rsid w:val="007D4BA8"/>
    <w:rsid w:val="007D4C28"/>
    <w:rsid w:val="007D4DEE"/>
    <w:rsid w:val="007D569F"/>
    <w:rsid w:val="007D59BC"/>
    <w:rsid w:val="007D5B05"/>
    <w:rsid w:val="007D653F"/>
    <w:rsid w:val="007D6A22"/>
    <w:rsid w:val="007D6F9A"/>
    <w:rsid w:val="007D716C"/>
    <w:rsid w:val="007D79D5"/>
    <w:rsid w:val="007E00E9"/>
    <w:rsid w:val="007E04BF"/>
    <w:rsid w:val="007E0DBB"/>
    <w:rsid w:val="007E0F97"/>
    <w:rsid w:val="007E100E"/>
    <w:rsid w:val="007E127A"/>
    <w:rsid w:val="007E1753"/>
    <w:rsid w:val="007E1904"/>
    <w:rsid w:val="007E1B84"/>
    <w:rsid w:val="007E1DD6"/>
    <w:rsid w:val="007E1F9F"/>
    <w:rsid w:val="007E2108"/>
    <w:rsid w:val="007E22C2"/>
    <w:rsid w:val="007E28C4"/>
    <w:rsid w:val="007E2B0A"/>
    <w:rsid w:val="007E2F61"/>
    <w:rsid w:val="007E301B"/>
    <w:rsid w:val="007E323F"/>
    <w:rsid w:val="007E35E4"/>
    <w:rsid w:val="007E376B"/>
    <w:rsid w:val="007E3A9E"/>
    <w:rsid w:val="007E3CBB"/>
    <w:rsid w:val="007E413C"/>
    <w:rsid w:val="007E41FB"/>
    <w:rsid w:val="007E4B68"/>
    <w:rsid w:val="007E4CC0"/>
    <w:rsid w:val="007E4DD3"/>
    <w:rsid w:val="007E56AE"/>
    <w:rsid w:val="007E59CA"/>
    <w:rsid w:val="007E5F7B"/>
    <w:rsid w:val="007E66D8"/>
    <w:rsid w:val="007E75C0"/>
    <w:rsid w:val="007E786E"/>
    <w:rsid w:val="007F052C"/>
    <w:rsid w:val="007F07F3"/>
    <w:rsid w:val="007F1203"/>
    <w:rsid w:val="007F1230"/>
    <w:rsid w:val="007F178D"/>
    <w:rsid w:val="007F1A1F"/>
    <w:rsid w:val="007F1D41"/>
    <w:rsid w:val="007F1F03"/>
    <w:rsid w:val="007F24B0"/>
    <w:rsid w:val="007F2625"/>
    <w:rsid w:val="007F2F76"/>
    <w:rsid w:val="007F35DF"/>
    <w:rsid w:val="007F3E5C"/>
    <w:rsid w:val="007F406A"/>
    <w:rsid w:val="007F45BC"/>
    <w:rsid w:val="007F5114"/>
    <w:rsid w:val="007F54B2"/>
    <w:rsid w:val="007F54DE"/>
    <w:rsid w:val="007F5506"/>
    <w:rsid w:val="007F5609"/>
    <w:rsid w:val="007F59DB"/>
    <w:rsid w:val="007F6592"/>
    <w:rsid w:val="007F65F9"/>
    <w:rsid w:val="007F65FF"/>
    <w:rsid w:val="007F68B7"/>
    <w:rsid w:val="007F6C61"/>
    <w:rsid w:val="007F78D5"/>
    <w:rsid w:val="007F7902"/>
    <w:rsid w:val="007F7CD3"/>
    <w:rsid w:val="007F7F48"/>
    <w:rsid w:val="0080016B"/>
    <w:rsid w:val="00801259"/>
    <w:rsid w:val="00801265"/>
    <w:rsid w:val="00801843"/>
    <w:rsid w:val="00801A73"/>
    <w:rsid w:val="008024AE"/>
    <w:rsid w:val="00802E04"/>
    <w:rsid w:val="0080396D"/>
    <w:rsid w:val="00803CEE"/>
    <w:rsid w:val="00803F6D"/>
    <w:rsid w:val="00803F9C"/>
    <w:rsid w:val="00804350"/>
    <w:rsid w:val="0080444A"/>
    <w:rsid w:val="008045CF"/>
    <w:rsid w:val="008045ED"/>
    <w:rsid w:val="00805103"/>
    <w:rsid w:val="008051F0"/>
    <w:rsid w:val="00805E97"/>
    <w:rsid w:val="00805FD3"/>
    <w:rsid w:val="00805FFE"/>
    <w:rsid w:val="00806119"/>
    <w:rsid w:val="00806131"/>
    <w:rsid w:val="008069A6"/>
    <w:rsid w:val="00806CC1"/>
    <w:rsid w:val="00807560"/>
    <w:rsid w:val="00810546"/>
    <w:rsid w:val="00810653"/>
    <w:rsid w:val="00810935"/>
    <w:rsid w:val="00810D7B"/>
    <w:rsid w:val="00810DC0"/>
    <w:rsid w:val="00810E3C"/>
    <w:rsid w:val="00811441"/>
    <w:rsid w:val="00811799"/>
    <w:rsid w:val="00812597"/>
    <w:rsid w:val="00812786"/>
    <w:rsid w:val="008128C4"/>
    <w:rsid w:val="00813038"/>
    <w:rsid w:val="008134F1"/>
    <w:rsid w:val="008138E4"/>
    <w:rsid w:val="00813BBB"/>
    <w:rsid w:val="00815198"/>
    <w:rsid w:val="00815CEC"/>
    <w:rsid w:val="008168A5"/>
    <w:rsid w:val="00816D7C"/>
    <w:rsid w:val="00817036"/>
    <w:rsid w:val="008170E9"/>
    <w:rsid w:val="00817314"/>
    <w:rsid w:val="00817AEB"/>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749"/>
    <w:rsid w:val="00821B89"/>
    <w:rsid w:val="0082235A"/>
    <w:rsid w:val="00822B95"/>
    <w:rsid w:val="00822EDB"/>
    <w:rsid w:val="008234DD"/>
    <w:rsid w:val="00823976"/>
    <w:rsid w:val="00823B36"/>
    <w:rsid w:val="00823C82"/>
    <w:rsid w:val="00823E43"/>
    <w:rsid w:val="00823F07"/>
    <w:rsid w:val="00824070"/>
    <w:rsid w:val="008241D8"/>
    <w:rsid w:val="008242AC"/>
    <w:rsid w:val="0082454A"/>
    <w:rsid w:val="00826094"/>
    <w:rsid w:val="008262D2"/>
    <w:rsid w:val="0082661D"/>
    <w:rsid w:val="00830151"/>
    <w:rsid w:val="0083023D"/>
    <w:rsid w:val="00830423"/>
    <w:rsid w:val="008306CF"/>
    <w:rsid w:val="0083082F"/>
    <w:rsid w:val="00830D15"/>
    <w:rsid w:val="008314D1"/>
    <w:rsid w:val="0083168F"/>
    <w:rsid w:val="00831EED"/>
    <w:rsid w:val="00832056"/>
    <w:rsid w:val="00832190"/>
    <w:rsid w:val="008326E7"/>
    <w:rsid w:val="008328E3"/>
    <w:rsid w:val="00832DEB"/>
    <w:rsid w:val="00833836"/>
    <w:rsid w:val="00834161"/>
    <w:rsid w:val="00834BCD"/>
    <w:rsid w:val="00834FB3"/>
    <w:rsid w:val="00835288"/>
    <w:rsid w:val="008354B6"/>
    <w:rsid w:val="00835CC8"/>
    <w:rsid w:val="00835DBD"/>
    <w:rsid w:val="0083601A"/>
    <w:rsid w:val="00836054"/>
    <w:rsid w:val="008360FD"/>
    <w:rsid w:val="00836272"/>
    <w:rsid w:val="008362B6"/>
    <w:rsid w:val="00836D0F"/>
    <w:rsid w:val="008374FC"/>
    <w:rsid w:val="00837BEB"/>
    <w:rsid w:val="00840198"/>
    <w:rsid w:val="00840441"/>
    <w:rsid w:val="008405E0"/>
    <w:rsid w:val="00840BC5"/>
    <w:rsid w:val="00840C3C"/>
    <w:rsid w:val="00840F7F"/>
    <w:rsid w:val="00841150"/>
    <w:rsid w:val="0084199D"/>
    <w:rsid w:val="00841D85"/>
    <w:rsid w:val="00842771"/>
    <w:rsid w:val="00842B7D"/>
    <w:rsid w:val="00842ECE"/>
    <w:rsid w:val="00843CBA"/>
    <w:rsid w:val="00843EAC"/>
    <w:rsid w:val="008442D2"/>
    <w:rsid w:val="00844697"/>
    <w:rsid w:val="00844985"/>
    <w:rsid w:val="00844A9F"/>
    <w:rsid w:val="00844E9A"/>
    <w:rsid w:val="00845606"/>
    <w:rsid w:val="0084568A"/>
    <w:rsid w:val="00845BDB"/>
    <w:rsid w:val="008461BF"/>
    <w:rsid w:val="008461C8"/>
    <w:rsid w:val="008469B1"/>
    <w:rsid w:val="00846A1C"/>
    <w:rsid w:val="00846E82"/>
    <w:rsid w:val="00846F2F"/>
    <w:rsid w:val="00847A74"/>
    <w:rsid w:val="00847E54"/>
    <w:rsid w:val="00850A7B"/>
    <w:rsid w:val="00850E23"/>
    <w:rsid w:val="00850FB1"/>
    <w:rsid w:val="00850FB2"/>
    <w:rsid w:val="00851388"/>
    <w:rsid w:val="008519BC"/>
    <w:rsid w:val="00851BF8"/>
    <w:rsid w:val="00852345"/>
    <w:rsid w:val="00852638"/>
    <w:rsid w:val="00852D5C"/>
    <w:rsid w:val="00852F05"/>
    <w:rsid w:val="00853090"/>
    <w:rsid w:val="00853329"/>
    <w:rsid w:val="00853509"/>
    <w:rsid w:val="00853AF2"/>
    <w:rsid w:val="00853B02"/>
    <w:rsid w:val="00853BC8"/>
    <w:rsid w:val="0085437C"/>
    <w:rsid w:val="008549B5"/>
    <w:rsid w:val="00854CCB"/>
    <w:rsid w:val="0085580B"/>
    <w:rsid w:val="00855C1C"/>
    <w:rsid w:val="00856043"/>
    <w:rsid w:val="008562F6"/>
    <w:rsid w:val="00856595"/>
    <w:rsid w:val="00856D8A"/>
    <w:rsid w:val="00856FC6"/>
    <w:rsid w:val="0085756E"/>
    <w:rsid w:val="008575D8"/>
    <w:rsid w:val="00860156"/>
    <w:rsid w:val="00860F01"/>
    <w:rsid w:val="00860F36"/>
    <w:rsid w:val="00861072"/>
    <w:rsid w:val="008612A8"/>
    <w:rsid w:val="008625C0"/>
    <w:rsid w:val="008629B1"/>
    <w:rsid w:val="00862B00"/>
    <w:rsid w:val="00863FA2"/>
    <w:rsid w:val="00864133"/>
    <w:rsid w:val="0086438A"/>
    <w:rsid w:val="00864BAC"/>
    <w:rsid w:val="00865223"/>
    <w:rsid w:val="00865250"/>
    <w:rsid w:val="00865264"/>
    <w:rsid w:val="0086592B"/>
    <w:rsid w:val="00865D8C"/>
    <w:rsid w:val="00866142"/>
    <w:rsid w:val="0086660F"/>
    <w:rsid w:val="00866972"/>
    <w:rsid w:val="00867040"/>
    <w:rsid w:val="00867071"/>
    <w:rsid w:val="00867198"/>
    <w:rsid w:val="0086751D"/>
    <w:rsid w:val="00867903"/>
    <w:rsid w:val="00867EE1"/>
    <w:rsid w:val="00870084"/>
    <w:rsid w:val="00870638"/>
    <w:rsid w:val="00870888"/>
    <w:rsid w:val="00870FA2"/>
    <w:rsid w:val="00871528"/>
    <w:rsid w:val="008715A1"/>
    <w:rsid w:val="0087193A"/>
    <w:rsid w:val="00871B9F"/>
    <w:rsid w:val="00871CA8"/>
    <w:rsid w:val="008722DD"/>
    <w:rsid w:val="00872D49"/>
    <w:rsid w:val="008734C1"/>
    <w:rsid w:val="00874500"/>
    <w:rsid w:val="0087488B"/>
    <w:rsid w:val="00874A2B"/>
    <w:rsid w:val="00874B1E"/>
    <w:rsid w:val="00874BAA"/>
    <w:rsid w:val="00875CB8"/>
    <w:rsid w:val="00876531"/>
    <w:rsid w:val="00876987"/>
    <w:rsid w:val="008777AC"/>
    <w:rsid w:val="00877A4E"/>
    <w:rsid w:val="00877F55"/>
    <w:rsid w:val="00880721"/>
    <w:rsid w:val="00880CE6"/>
    <w:rsid w:val="008811AC"/>
    <w:rsid w:val="00881978"/>
    <w:rsid w:val="00881C12"/>
    <w:rsid w:val="00881DA0"/>
    <w:rsid w:val="008828B3"/>
    <w:rsid w:val="00882DCD"/>
    <w:rsid w:val="00883399"/>
    <w:rsid w:val="0088368D"/>
    <w:rsid w:val="00883A3D"/>
    <w:rsid w:val="00883A43"/>
    <w:rsid w:val="00884394"/>
    <w:rsid w:val="0088475C"/>
    <w:rsid w:val="00884DE1"/>
    <w:rsid w:val="008856FD"/>
    <w:rsid w:val="00885C38"/>
    <w:rsid w:val="00886D08"/>
    <w:rsid w:val="00887157"/>
    <w:rsid w:val="00887FDF"/>
    <w:rsid w:val="00891B29"/>
    <w:rsid w:val="00892422"/>
    <w:rsid w:val="0089296D"/>
    <w:rsid w:val="008930F0"/>
    <w:rsid w:val="00893D2C"/>
    <w:rsid w:val="00893F6D"/>
    <w:rsid w:val="008943A7"/>
    <w:rsid w:val="008947AD"/>
    <w:rsid w:val="00895BF3"/>
    <w:rsid w:val="008967D5"/>
    <w:rsid w:val="00896B3C"/>
    <w:rsid w:val="00896D37"/>
    <w:rsid w:val="008971B1"/>
    <w:rsid w:val="00897432"/>
    <w:rsid w:val="00897E53"/>
    <w:rsid w:val="008A0382"/>
    <w:rsid w:val="008A0A31"/>
    <w:rsid w:val="008A0DA6"/>
    <w:rsid w:val="008A10A4"/>
    <w:rsid w:val="008A1600"/>
    <w:rsid w:val="008A1EBC"/>
    <w:rsid w:val="008A1FA2"/>
    <w:rsid w:val="008A2E6F"/>
    <w:rsid w:val="008A3859"/>
    <w:rsid w:val="008A40CE"/>
    <w:rsid w:val="008A443A"/>
    <w:rsid w:val="008A4C9D"/>
    <w:rsid w:val="008A4FD2"/>
    <w:rsid w:val="008A50AB"/>
    <w:rsid w:val="008A5701"/>
    <w:rsid w:val="008A5DC0"/>
    <w:rsid w:val="008A680B"/>
    <w:rsid w:val="008A68CE"/>
    <w:rsid w:val="008A6F20"/>
    <w:rsid w:val="008A7090"/>
    <w:rsid w:val="008B0190"/>
    <w:rsid w:val="008B041F"/>
    <w:rsid w:val="008B0629"/>
    <w:rsid w:val="008B07BC"/>
    <w:rsid w:val="008B1242"/>
    <w:rsid w:val="008B165E"/>
    <w:rsid w:val="008B16CD"/>
    <w:rsid w:val="008B173A"/>
    <w:rsid w:val="008B19FD"/>
    <w:rsid w:val="008B21AD"/>
    <w:rsid w:val="008B2795"/>
    <w:rsid w:val="008B27CF"/>
    <w:rsid w:val="008B2B3C"/>
    <w:rsid w:val="008B320A"/>
    <w:rsid w:val="008B327D"/>
    <w:rsid w:val="008B3C26"/>
    <w:rsid w:val="008B44A8"/>
    <w:rsid w:val="008B4705"/>
    <w:rsid w:val="008B4957"/>
    <w:rsid w:val="008B5D4B"/>
    <w:rsid w:val="008B6A86"/>
    <w:rsid w:val="008B70EF"/>
    <w:rsid w:val="008B7125"/>
    <w:rsid w:val="008C01D1"/>
    <w:rsid w:val="008C022C"/>
    <w:rsid w:val="008C0A2D"/>
    <w:rsid w:val="008C0F0C"/>
    <w:rsid w:val="008C1E94"/>
    <w:rsid w:val="008C248C"/>
    <w:rsid w:val="008C298A"/>
    <w:rsid w:val="008C2C08"/>
    <w:rsid w:val="008C2F0D"/>
    <w:rsid w:val="008C30EB"/>
    <w:rsid w:val="008C326F"/>
    <w:rsid w:val="008C34B2"/>
    <w:rsid w:val="008C3788"/>
    <w:rsid w:val="008C3C39"/>
    <w:rsid w:val="008C46BF"/>
    <w:rsid w:val="008C48B0"/>
    <w:rsid w:val="008C50E6"/>
    <w:rsid w:val="008C541E"/>
    <w:rsid w:val="008C57A8"/>
    <w:rsid w:val="008C635B"/>
    <w:rsid w:val="008C6976"/>
    <w:rsid w:val="008C6B7D"/>
    <w:rsid w:val="008C7074"/>
    <w:rsid w:val="008C73F7"/>
    <w:rsid w:val="008C750D"/>
    <w:rsid w:val="008C7604"/>
    <w:rsid w:val="008D006B"/>
    <w:rsid w:val="008D02CD"/>
    <w:rsid w:val="008D0DFE"/>
    <w:rsid w:val="008D1038"/>
    <w:rsid w:val="008D1112"/>
    <w:rsid w:val="008D14BB"/>
    <w:rsid w:val="008D176B"/>
    <w:rsid w:val="008D196A"/>
    <w:rsid w:val="008D1A01"/>
    <w:rsid w:val="008D1F29"/>
    <w:rsid w:val="008D25B4"/>
    <w:rsid w:val="008D2835"/>
    <w:rsid w:val="008D3836"/>
    <w:rsid w:val="008D3DDA"/>
    <w:rsid w:val="008D3FF4"/>
    <w:rsid w:val="008D4678"/>
    <w:rsid w:val="008D4831"/>
    <w:rsid w:val="008D48C6"/>
    <w:rsid w:val="008D53C2"/>
    <w:rsid w:val="008D53D8"/>
    <w:rsid w:val="008D5C9C"/>
    <w:rsid w:val="008D60BA"/>
    <w:rsid w:val="008D653F"/>
    <w:rsid w:val="008D67E9"/>
    <w:rsid w:val="008D73C3"/>
    <w:rsid w:val="008D73D2"/>
    <w:rsid w:val="008D78AA"/>
    <w:rsid w:val="008E09C3"/>
    <w:rsid w:val="008E0ACA"/>
    <w:rsid w:val="008E0C42"/>
    <w:rsid w:val="008E1192"/>
    <w:rsid w:val="008E13BD"/>
    <w:rsid w:val="008E182C"/>
    <w:rsid w:val="008E1C6A"/>
    <w:rsid w:val="008E20FF"/>
    <w:rsid w:val="008E272A"/>
    <w:rsid w:val="008E3521"/>
    <w:rsid w:val="008E3A2F"/>
    <w:rsid w:val="008E3AED"/>
    <w:rsid w:val="008E3C48"/>
    <w:rsid w:val="008E3CF5"/>
    <w:rsid w:val="008E3DEE"/>
    <w:rsid w:val="008E4C75"/>
    <w:rsid w:val="008E513C"/>
    <w:rsid w:val="008E56F4"/>
    <w:rsid w:val="008E69DA"/>
    <w:rsid w:val="008E7038"/>
    <w:rsid w:val="008E72DC"/>
    <w:rsid w:val="008E75BF"/>
    <w:rsid w:val="008F0837"/>
    <w:rsid w:val="008F0D04"/>
    <w:rsid w:val="008F0DD5"/>
    <w:rsid w:val="008F1113"/>
    <w:rsid w:val="008F1134"/>
    <w:rsid w:val="008F1581"/>
    <w:rsid w:val="008F15D8"/>
    <w:rsid w:val="008F160D"/>
    <w:rsid w:val="008F1B20"/>
    <w:rsid w:val="008F1CA8"/>
    <w:rsid w:val="008F1D9B"/>
    <w:rsid w:val="008F1EA8"/>
    <w:rsid w:val="008F1EB5"/>
    <w:rsid w:val="008F209F"/>
    <w:rsid w:val="008F21BA"/>
    <w:rsid w:val="008F222A"/>
    <w:rsid w:val="008F29DC"/>
    <w:rsid w:val="008F2B13"/>
    <w:rsid w:val="008F2C55"/>
    <w:rsid w:val="008F3684"/>
    <w:rsid w:val="008F3E98"/>
    <w:rsid w:val="008F4D07"/>
    <w:rsid w:val="008F4F70"/>
    <w:rsid w:val="008F51BB"/>
    <w:rsid w:val="008F57F6"/>
    <w:rsid w:val="008F5D76"/>
    <w:rsid w:val="008F5E15"/>
    <w:rsid w:val="008F62EF"/>
    <w:rsid w:val="008F6AA6"/>
    <w:rsid w:val="008F6D8B"/>
    <w:rsid w:val="008F6F6F"/>
    <w:rsid w:val="008F7938"/>
    <w:rsid w:val="008F7B9C"/>
    <w:rsid w:val="008F7EBE"/>
    <w:rsid w:val="009006AA"/>
    <w:rsid w:val="009012FB"/>
    <w:rsid w:val="009020AD"/>
    <w:rsid w:val="009020C8"/>
    <w:rsid w:val="0090215C"/>
    <w:rsid w:val="00903093"/>
    <w:rsid w:val="0090310A"/>
    <w:rsid w:val="009039C4"/>
    <w:rsid w:val="00903E34"/>
    <w:rsid w:val="0090512C"/>
    <w:rsid w:val="009051FB"/>
    <w:rsid w:val="0090557C"/>
    <w:rsid w:val="0090562D"/>
    <w:rsid w:val="00905B1C"/>
    <w:rsid w:val="00905E17"/>
    <w:rsid w:val="0090633F"/>
    <w:rsid w:val="0090641A"/>
    <w:rsid w:val="0090737E"/>
    <w:rsid w:val="00907E49"/>
    <w:rsid w:val="009108E1"/>
    <w:rsid w:val="00910E84"/>
    <w:rsid w:val="00911411"/>
    <w:rsid w:val="00911B8C"/>
    <w:rsid w:val="00911DA0"/>
    <w:rsid w:val="0091226D"/>
    <w:rsid w:val="0091286D"/>
    <w:rsid w:val="00913197"/>
    <w:rsid w:val="0091353B"/>
    <w:rsid w:val="0091366D"/>
    <w:rsid w:val="00913C26"/>
    <w:rsid w:val="00914035"/>
    <w:rsid w:val="00914399"/>
    <w:rsid w:val="009144A5"/>
    <w:rsid w:val="009145A3"/>
    <w:rsid w:val="00914882"/>
    <w:rsid w:val="009149DD"/>
    <w:rsid w:val="00914A25"/>
    <w:rsid w:val="00914E08"/>
    <w:rsid w:val="0091562C"/>
    <w:rsid w:val="00915C6E"/>
    <w:rsid w:val="00915CB5"/>
    <w:rsid w:val="00915EB0"/>
    <w:rsid w:val="009160C9"/>
    <w:rsid w:val="0091667E"/>
    <w:rsid w:val="009167E2"/>
    <w:rsid w:val="0091680A"/>
    <w:rsid w:val="00916D65"/>
    <w:rsid w:val="00916F6B"/>
    <w:rsid w:val="00917990"/>
    <w:rsid w:val="00917A63"/>
    <w:rsid w:val="00917BC5"/>
    <w:rsid w:val="00920649"/>
    <w:rsid w:val="00921262"/>
    <w:rsid w:val="00921588"/>
    <w:rsid w:val="009223FB"/>
    <w:rsid w:val="00922902"/>
    <w:rsid w:val="00922FE6"/>
    <w:rsid w:val="009231A5"/>
    <w:rsid w:val="0092343F"/>
    <w:rsid w:val="00923559"/>
    <w:rsid w:val="009236A4"/>
    <w:rsid w:val="009240F6"/>
    <w:rsid w:val="0092429A"/>
    <w:rsid w:val="00924745"/>
    <w:rsid w:val="00924C97"/>
    <w:rsid w:val="0092503F"/>
    <w:rsid w:val="00925C80"/>
    <w:rsid w:val="00925E60"/>
    <w:rsid w:val="00926944"/>
    <w:rsid w:val="009269F4"/>
    <w:rsid w:val="00927292"/>
    <w:rsid w:val="009272C0"/>
    <w:rsid w:val="00927717"/>
    <w:rsid w:val="00927E90"/>
    <w:rsid w:val="00927EF1"/>
    <w:rsid w:val="0093004F"/>
    <w:rsid w:val="0093040B"/>
    <w:rsid w:val="00930DB4"/>
    <w:rsid w:val="00930E6C"/>
    <w:rsid w:val="0093163C"/>
    <w:rsid w:val="00931682"/>
    <w:rsid w:val="0093211F"/>
    <w:rsid w:val="00932186"/>
    <w:rsid w:val="00932464"/>
    <w:rsid w:val="009325A8"/>
    <w:rsid w:val="0093296D"/>
    <w:rsid w:val="00932987"/>
    <w:rsid w:val="009333DC"/>
    <w:rsid w:val="009337DB"/>
    <w:rsid w:val="00933BBE"/>
    <w:rsid w:val="00934030"/>
    <w:rsid w:val="009343A4"/>
    <w:rsid w:val="009344DC"/>
    <w:rsid w:val="00934F91"/>
    <w:rsid w:val="00935767"/>
    <w:rsid w:val="00935852"/>
    <w:rsid w:val="0093657A"/>
    <w:rsid w:val="0093667C"/>
    <w:rsid w:val="009366D4"/>
    <w:rsid w:val="009367C4"/>
    <w:rsid w:val="00936CD8"/>
    <w:rsid w:val="00937069"/>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40AF"/>
    <w:rsid w:val="00944627"/>
    <w:rsid w:val="00944890"/>
    <w:rsid w:val="009448F8"/>
    <w:rsid w:val="00944B8F"/>
    <w:rsid w:val="0094633A"/>
    <w:rsid w:val="009463C3"/>
    <w:rsid w:val="00946883"/>
    <w:rsid w:val="009474E7"/>
    <w:rsid w:val="00947D06"/>
    <w:rsid w:val="009501B4"/>
    <w:rsid w:val="0095039D"/>
    <w:rsid w:val="009507B3"/>
    <w:rsid w:val="0095090A"/>
    <w:rsid w:val="00950CAC"/>
    <w:rsid w:val="00951176"/>
    <w:rsid w:val="00951C14"/>
    <w:rsid w:val="00951D98"/>
    <w:rsid w:val="00951E83"/>
    <w:rsid w:val="0095270C"/>
    <w:rsid w:val="00952D62"/>
    <w:rsid w:val="00953AB5"/>
    <w:rsid w:val="00953E5F"/>
    <w:rsid w:val="009544DF"/>
    <w:rsid w:val="00954BBF"/>
    <w:rsid w:val="00954CB6"/>
    <w:rsid w:val="00954CE2"/>
    <w:rsid w:val="009556AA"/>
    <w:rsid w:val="009557AE"/>
    <w:rsid w:val="009557EA"/>
    <w:rsid w:val="00955A05"/>
    <w:rsid w:val="00955C91"/>
    <w:rsid w:val="00955DC8"/>
    <w:rsid w:val="00955F7B"/>
    <w:rsid w:val="009567AC"/>
    <w:rsid w:val="00956CC1"/>
    <w:rsid w:val="00956E59"/>
    <w:rsid w:val="00957AC8"/>
    <w:rsid w:val="0096006A"/>
    <w:rsid w:val="009606FD"/>
    <w:rsid w:val="009608C9"/>
    <w:rsid w:val="00960E05"/>
    <w:rsid w:val="00961073"/>
    <w:rsid w:val="0096184C"/>
    <w:rsid w:val="009619E6"/>
    <w:rsid w:val="00961C92"/>
    <w:rsid w:val="00961D25"/>
    <w:rsid w:val="00962004"/>
    <w:rsid w:val="00962749"/>
    <w:rsid w:val="0096283A"/>
    <w:rsid w:val="00962D3D"/>
    <w:rsid w:val="00962F63"/>
    <w:rsid w:val="00962FD6"/>
    <w:rsid w:val="009635FF"/>
    <w:rsid w:val="00963633"/>
    <w:rsid w:val="00963799"/>
    <w:rsid w:val="00963E5A"/>
    <w:rsid w:val="009645CF"/>
    <w:rsid w:val="00964A12"/>
    <w:rsid w:val="009660E5"/>
    <w:rsid w:val="0096612D"/>
    <w:rsid w:val="009661FC"/>
    <w:rsid w:val="0096631B"/>
    <w:rsid w:val="00966977"/>
    <w:rsid w:val="00966F1B"/>
    <w:rsid w:val="009672EC"/>
    <w:rsid w:val="00967BB9"/>
    <w:rsid w:val="00967E84"/>
    <w:rsid w:val="00970EB8"/>
    <w:rsid w:val="00970FB3"/>
    <w:rsid w:val="00971228"/>
    <w:rsid w:val="00971857"/>
    <w:rsid w:val="00971C40"/>
    <w:rsid w:val="0097264F"/>
    <w:rsid w:val="009727C2"/>
    <w:rsid w:val="00972B22"/>
    <w:rsid w:val="00973445"/>
    <w:rsid w:val="00973733"/>
    <w:rsid w:val="0097384D"/>
    <w:rsid w:val="009749AD"/>
    <w:rsid w:val="009750CE"/>
    <w:rsid w:val="00975816"/>
    <w:rsid w:val="00975E09"/>
    <w:rsid w:val="00976910"/>
    <w:rsid w:val="00976DCD"/>
    <w:rsid w:val="00976EDA"/>
    <w:rsid w:val="009772CA"/>
    <w:rsid w:val="009772D1"/>
    <w:rsid w:val="0097747C"/>
    <w:rsid w:val="0098069D"/>
    <w:rsid w:val="00980A59"/>
    <w:rsid w:val="00980BA8"/>
    <w:rsid w:val="009810FB"/>
    <w:rsid w:val="00981316"/>
    <w:rsid w:val="009814F8"/>
    <w:rsid w:val="009819FE"/>
    <w:rsid w:val="00982109"/>
    <w:rsid w:val="00982E94"/>
    <w:rsid w:val="0098306A"/>
    <w:rsid w:val="00983265"/>
    <w:rsid w:val="00983505"/>
    <w:rsid w:val="0098489A"/>
    <w:rsid w:val="0098490F"/>
    <w:rsid w:val="0098552E"/>
    <w:rsid w:val="00985622"/>
    <w:rsid w:val="00986786"/>
    <w:rsid w:val="00986D0F"/>
    <w:rsid w:val="00986FE2"/>
    <w:rsid w:val="009875A2"/>
    <w:rsid w:val="00987A25"/>
    <w:rsid w:val="00987A4B"/>
    <w:rsid w:val="00987AE4"/>
    <w:rsid w:val="00987CE4"/>
    <w:rsid w:val="00987D06"/>
    <w:rsid w:val="00987F6E"/>
    <w:rsid w:val="00990210"/>
    <w:rsid w:val="00990212"/>
    <w:rsid w:val="00990A2E"/>
    <w:rsid w:val="00990D38"/>
    <w:rsid w:val="00991234"/>
    <w:rsid w:val="00991448"/>
    <w:rsid w:val="00991AB2"/>
    <w:rsid w:val="00991CB3"/>
    <w:rsid w:val="0099209A"/>
    <w:rsid w:val="00992478"/>
    <w:rsid w:val="009926DE"/>
    <w:rsid w:val="00992FD7"/>
    <w:rsid w:val="0099311B"/>
    <w:rsid w:val="009931B5"/>
    <w:rsid w:val="009933E4"/>
    <w:rsid w:val="0099382C"/>
    <w:rsid w:val="00994293"/>
    <w:rsid w:val="009947C7"/>
    <w:rsid w:val="00994F58"/>
    <w:rsid w:val="009953A7"/>
    <w:rsid w:val="009955F2"/>
    <w:rsid w:val="00995B87"/>
    <w:rsid w:val="00995EA7"/>
    <w:rsid w:val="00995F2D"/>
    <w:rsid w:val="00996230"/>
    <w:rsid w:val="00996BA8"/>
    <w:rsid w:val="00996FC9"/>
    <w:rsid w:val="009970F9"/>
    <w:rsid w:val="00997295"/>
    <w:rsid w:val="009973BB"/>
    <w:rsid w:val="009975EC"/>
    <w:rsid w:val="00997A43"/>
    <w:rsid w:val="00997C45"/>
    <w:rsid w:val="009A03A7"/>
    <w:rsid w:val="009A044E"/>
    <w:rsid w:val="009A067C"/>
    <w:rsid w:val="009A1227"/>
    <w:rsid w:val="009A1307"/>
    <w:rsid w:val="009A158A"/>
    <w:rsid w:val="009A1E9B"/>
    <w:rsid w:val="009A2220"/>
    <w:rsid w:val="009A2248"/>
    <w:rsid w:val="009A269C"/>
    <w:rsid w:val="009A2AD3"/>
    <w:rsid w:val="009A2D3C"/>
    <w:rsid w:val="009A36B2"/>
    <w:rsid w:val="009A38EA"/>
    <w:rsid w:val="009A3E8B"/>
    <w:rsid w:val="009A3FA1"/>
    <w:rsid w:val="009A407E"/>
    <w:rsid w:val="009A4373"/>
    <w:rsid w:val="009A4971"/>
    <w:rsid w:val="009A4AC9"/>
    <w:rsid w:val="009A4D08"/>
    <w:rsid w:val="009A50B6"/>
    <w:rsid w:val="009A5168"/>
    <w:rsid w:val="009A52F8"/>
    <w:rsid w:val="009A55D4"/>
    <w:rsid w:val="009A57DC"/>
    <w:rsid w:val="009A5BBF"/>
    <w:rsid w:val="009A5BCC"/>
    <w:rsid w:val="009A5D58"/>
    <w:rsid w:val="009A5E4F"/>
    <w:rsid w:val="009A6453"/>
    <w:rsid w:val="009A7350"/>
    <w:rsid w:val="009A76FE"/>
    <w:rsid w:val="009A7BBC"/>
    <w:rsid w:val="009A7CDC"/>
    <w:rsid w:val="009B0036"/>
    <w:rsid w:val="009B02F4"/>
    <w:rsid w:val="009B0519"/>
    <w:rsid w:val="009B051D"/>
    <w:rsid w:val="009B0738"/>
    <w:rsid w:val="009B08E4"/>
    <w:rsid w:val="009B0977"/>
    <w:rsid w:val="009B09EA"/>
    <w:rsid w:val="009B15F6"/>
    <w:rsid w:val="009B1713"/>
    <w:rsid w:val="009B1721"/>
    <w:rsid w:val="009B18F4"/>
    <w:rsid w:val="009B1E96"/>
    <w:rsid w:val="009B23DC"/>
    <w:rsid w:val="009B25F5"/>
    <w:rsid w:val="009B27F7"/>
    <w:rsid w:val="009B2E77"/>
    <w:rsid w:val="009B2FC4"/>
    <w:rsid w:val="009B3383"/>
    <w:rsid w:val="009B367E"/>
    <w:rsid w:val="009B3F96"/>
    <w:rsid w:val="009B45A3"/>
    <w:rsid w:val="009B462D"/>
    <w:rsid w:val="009B46C0"/>
    <w:rsid w:val="009B479F"/>
    <w:rsid w:val="009B4DFD"/>
    <w:rsid w:val="009B50FB"/>
    <w:rsid w:val="009B536C"/>
    <w:rsid w:val="009B62F2"/>
    <w:rsid w:val="009B6D9A"/>
    <w:rsid w:val="009B753E"/>
    <w:rsid w:val="009B78BC"/>
    <w:rsid w:val="009C0765"/>
    <w:rsid w:val="009C0F63"/>
    <w:rsid w:val="009C114E"/>
    <w:rsid w:val="009C12E9"/>
    <w:rsid w:val="009C1784"/>
    <w:rsid w:val="009C2054"/>
    <w:rsid w:val="009C24EB"/>
    <w:rsid w:val="009C2594"/>
    <w:rsid w:val="009C2A6B"/>
    <w:rsid w:val="009C2C3F"/>
    <w:rsid w:val="009C2DE0"/>
    <w:rsid w:val="009C2E5A"/>
    <w:rsid w:val="009C30A3"/>
    <w:rsid w:val="009C318D"/>
    <w:rsid w:val="009C341D"/>
    <w:rsid w:val="009C3B6A"/>
    <w:rsid w:val="009C3FD0"/>
    <w:rsid w:val="009C451B"/>
    <w:rsid w:val="009C547C"/>
    <w:rsid w:val="009C5806"/>
    <w:rsid w:val="009C5F2F"/>
    <w:rsid w:val="009C6341"/>
    <w:rsid w:val="009C653D"/>
    <w:rsid w:val="009C68D1"/>
    <w:rsid w:val="009C6A9E"/>
    <w:rsid w:val="009C6C06"/>
    <w:rsid w:val="009C721E"/>
    <w:rsid w:val="009C7B7E"/>
    <w:rsid w:val="009C7E43"/>
    <w:rsid w:val="009D0188"/>
    <w:rsid w:val="009D06E2"/>
    <w:rsid w:val="009D0ADA"/>
    <w:rsid w:val="009D0CF2"/>
    <w:rsid w:val="009D1292"/>
    <w:rsid w:val="009D192F"/>
    <w:rsid w:val="009D1F8D"/>
    <w:rsid w:val="009D1FAB"/>
    <w:rsid w:val="009D2787"/>
    <w:rsid w:val="009D2C24"/>
    <w:rsid w:val="009D3E39"/>
    <w:rsid w:val="009D4399"/>
    <w:rsid w:val="009D444A"/>
    <w:rsid w:val="009D464E"/>
    <w:rsid w:val="009D4E74"/>
    <w:rsid w:val="009D4F20"/>
    <w:rsid w:val="009D4F9E"/>
    <w:rsid w:val="009D56E3"/>
    <w:rsid w:val="009D59A8"/>
    <w:rsid w:val="009D5B81"/>
    <w:rsid w:val="009D62F2"/>
    <w:rsid w:val="009D6BBC"/>
    <w:rsid w:val="009D7B2B"/>
    <w:rsid w:val="009E0201"/>
    <w:rsid w:val="009E05D6"/>
    <w:rsid w:val="009E0DD4"/>
    <w:rsid w:val="009E12C8"/>
    <w:rsid w:val="009E13D7"/>
    <w:rsid w:val="009E1E3D"/>
    <w:rsid w:val="009E202C"/>
    <w:rsid w:val="009E28B9"/>
    <w:rsid w:val="009E2E3B"/>
    <w:rsid w:val="009E3980"/>
    <w:rsid w:val="009E3B55"/>
    <w:rsid w:val="009E43F8"/>
    <w:rsid w:val="009E4599"/>
    <w:rsid w:val="009E469A"/>
    <w:rsid w:val="009E5646"/>
    <w:rsid w:val="009E5682"/>
    <w:rsid w:val="009E5806"/>
    <w:rsid w:val="009E6012"/>
    <w:rsid w:val="009E6B24"/>
    <w:rsid w:val="009E7B1F"/>
    <w:rsid w:val="009E7C7C"/>
    <w:rsid w:val="009E7EDD"/>
    <w:rsid w:val="009F0907"/>
    <w:rsid w:val="009F0AA2"/>
    <w:rsid w:val="009F1097"/>
    <w:rsid w:val="009F1983"/>
    <w:rsid w:val="009F1F41"/>
    <w:rsid w:val="009F23BD"/>
    <w:rsid w:val="009F24FC"/>
    <w:rsid w:val="009F28DA"/>
    <w:rsid w:val="009F2913"/>
    <w:rsid w:val="009F2F16"/>
    <w:rsid w:val="009F38CE"/>
    <w:rsid w:val="009F3C50"/>
    <w:rsid w:val="009F3FDB"/>
    <w:rsid w:val="009F421A"/>
    <w:rsid w:val="009F425D"/>
    <w:rsid w:val="009F42B3"/>
    <w:rsid w:val="009F48AA"/>
    <w:rsid w:val="009F4E34"/>
    <w:rsid w:val="009F532D"/>
    <w:rsid w:val="009F583B"/>
    <w:rsid w:val="009F5ABB"/>
    <w:rsid w:val="009F6253"/>
    <w:rsid w:val="009F6ACC"/>
    <w:rsid w:val="009F6B67"/>
    <w:rsid w:val="009F7087"/>
    <w:rsid w:val="009F76C4"/>
    <w:rsid w:val="009F7DA5"/>
    <w:rsid w:val="009F7F00"/>
    <w:rsid w:val="00A00672"/>
    <w:rsid w:val="00A00F9E"/>
    <w:rsid w:val="00A012DB"/>
    <w:rsid w:val="00A01594"/>
    <w:rsid w:val="00A01A2C"/>
    <w:rsid w:val="00A01B11"/>
    <w:rsid w:val="00A0283A"/>
    <w:rsid w:val="00A02887"/>
    <w:rsid w:val="00A02FCC"/>
    <w:rsid w:val="00A03F4D"/>
    <w:rsid w:val="00A04318"/>
    <w:rsid w:val="00A0457F"/>
    <w:rsid w:val="00A04927"/>
    <w:rsid w:val="00A0497C"/>
    <w:rsid w:val="00A04BBC"/>
    <w:rsid w:val="00A04BE9"/>
    <w:rsid w:val="00A04F4B"/>
    <w:rsid w:val="00A04FFB"/>
    <w:rsid w:val="00A0585A"/>
    <w:rsid w:val="00A05CBF"/>
    <w:rsid w:val="00A05E5A"/>
    <w:rsid w:val="00A0695D"/>
    <w:rsid w:val="00A06E12"/>
    <w:rsid w:val="00A10AC7"/>
    <w:rsid w:val="00A10AEE"/>
    <w:rsid w:val="00A10D9D"/>
    <w:rsid w:val="00A10DA5"/>
    <w:rsid w:val="00A11319"/>
    <w:rsid w:val="00A11A60"/>
    <w:rsid w:val="00A1248A"/>
    <w:rsid w:val="00A12A2D"/>
    <w:rsid w:val="00A12E81"/>
    <w:rsid w:val="00A13915"/>
    <w:rsid w:val="00A13C4E"/>
    <w:rsid w:val="00A13F87"/>
    <w:rsid w:val="00A14560"/>
    <w:rsid w:val="00A14628"/>
    <w:rsid w:val="00A14D7C"/>
    <w:rsid w:val="00A14E53"/>
    <w:rsid w:val="00A15418"/>
    <w:rsid w:val="00A16B7B"/>
    <w:rsid w:val="00A178E7"/>
    <w:rsid w:val="00A178FD"/>
    <w:rsid w:val="00A17F7B"/>
    <w:rsid w:val="00A20195"/>
    <w:rsid w:val="00A2025F"/>
    <w:rsid w:val="00A20303"/>
    <w:rsid w:val="00A2032E"/>
    <w:rsid w:val="00A20829"/>
    <w:rsid w:val="00A20C72"/>
    <w:rsid w:val="00A225C6"/>
    <w:rsid w:val="00A23B92"/>
    <w:rsid w:val="00A23F13"/>
    <w:rsid w:val="00A240BF"/>
    <w:rsid w:val="00A242E1"/>
    <w:rsid w:val="00A24643"/>
    <w:rsid w:val="00A249A0"/>
    <w:rsid w:val="00A249F7"/>
    <w:rsid w:val="00A24B24"/>
    <w:rsid w:val="00A24B51"/>
    <w:rsid w:val="00A24C80"/>
    <w:rsid w:val="00A24E4F"/>
    <w:rsid w:val="00A252C3"/>
    <w:rsid w:val="00A26FE8"/>
    <w:rsid w:val="00A2728D"/>
    <w:rsid w:val="00A27F83"/>
    <w:rsid w:val="00A3027C"/>
    <w:rsid w:val="00A30A76"/>
    <w:rsid w:val="00A30E02"/>
    <w:rsid w:val="00A30EB9"/>
    <w:rsid w:val="00A31367"/>
    <w:rsid w:val="00A3186F"/>
    <w:rsid w:val="00A32CAE"/>
    <w:rsid w:val="00A3371D"/>
    <w:rsid w:val="00A33C2B"/>
    <w:rsid w:val="00A341C0"/>
    <w:rsid w:val="00A348D3"/>
    <w:rsid w:val="00A3523E"/>
    <w:rsid w:val="00A352BC"/>
    <w:rsid w:val="00A35C4E"/>
    <w:rsid w:val="00A3673A"/>
    <w:rsid w:val="00A36884"/>
    <w:rsid w:val="00A3707D"/>
    <w:rsid w:val="00A37822"/>
    <w:rsid w:val="00A37C8C"/>
    <w:rsid w:val="00A37DB5"/>
    <w:rsid w:val="00A37E59"/>
    <w:rsid w:val="00A37FEC"/>
    <w:rsid w:val="00A40757"/>
    <w:rsid w:val="00A4079A"/>
    <w:rsid w:val="00A40A62"/>
    <w:rsid w:val="00A40BF6"/>
    <w:rsid w:val="00A40C5B"/>
    <w:rsid w:val="00A40D9E"/>
    <w:rsid w:val="00A40E17"/>
    <w:rsid w:val="00A40FEF"/>
    <w:rsid w:val="00A412B4"/>
    <w:rsid w:val="00A415A9"/>
    <w:rsid w:val="00A41767"/>
    <w:rsid w:val="00A417AF"/>
    <w:rsid w:val="00A42538"/>
    <w:rsid w:val="00A42AAE"/>
    <w:rsid w:val="00A42BE2"/>
    <w:rsid w:val="00A43680"/>
    <w:rsid w:val="00A43CB2"/>
    <w:rsid w:val="00A44286"/>
    <w:rsid w:val="00A4460E"/>
    <w:rsid w:val="00A446ED"/>
    <w:rsid w:val="00A44794"/>
    <w:rsid w:val="00A448EF"/>
    <w:rsid w:val="00A44E0A"/>
    <w:rsid w:val="00A44F16"/>
    <w:rsid w:val="00A4514A"/>
    <w:rsid w:val="00A4544B"/>
    <w:rsid w:val="00A45793"/>
    <w:rsid w:val="00A45AAA"/>
    <w:rsid w:val="00A4612A"/>
    <w:rsid w:val="00A461A9"/>
    <w:rsid w:val="00A463B8"/>
    <w:rsid w:val="00A46541"/>
    <w:rsid w:val="00A473A0"/>
    <w:rsid w:val="00A47613"/>
    <w:rsid w:val="00A50017"/>
    <w:rsid w:val="00A5097F"/>
    <w:rsid w:val="00A50A2F"/>
    <w:rsid w:val="00A517D9"/>
    <w:rsid w:val="00A51A64"/>
    <w:rsid w:val="00A51A85"/>
    <w:rsid w:val="00A53E27"/>
    <w:rsid w:val="00A543EB"/>
    <w:rsid w:val="00A54707"/>
    <w:rsid w:val="00A5527F"/>
    <w:rsid w:val="00A555A6"/>
    <w:rsid w:val="00A555DC"/>
    <w:rsid w:val="00A556DE"/>
    <w:rsid w:val="00A55B03"/>
    <w:rsid w:val="00A55DC7"/>
    <w:rsid w:val="00A56028"/>
    <w:rsid w:val="00A562E6"/>
    <w:rsid w:val="00A56DCA"/>
    <w:rsid w:val="00A56EB0"/>
    <w:rsid w:val="00A57135"/>
    <w:rsid w:val="00A57514"/>
    <w:rsid w:val="00A57824"/>
    <w:rsid w:val="00A606AE"/>
    <w:rsid w:val="00A608D2"/>
    <w:rsid w:val="00A60A7C"/>
    <w:rsid w:val="00A60AD2"/>
    <w:rsid w:val="00A60DB5"/>
    <w:rsid w:val="00A60DE3"/>
    <w:rsid w:val="00A60EDD"/>
    <w:rsid w:val="00A62F1B"/>
    <w:rsid w:val="00A63118"/>
    <w:rsid w:val="00A63947"/>
    <w:rsid w:val="00A63F11"/>
    <w:rsid w:val="00A64063"/>
    <w:rsid w:val="00A64B40"/>
    <w:rsid w:val="00A64DD4"/>
    <w:rsid w:val="00A6526E"/>
    <w:rsid w:val="00A6574A"/>
    <w:rsid w:val="00A66962"/>
    <w:rsid w:val="00A66988"/>
    <w:rsid w:val="00A66C6F"/>
    <w:rsid w:val="00A66F0B"/>
    <w:rsid w:val="00A67BA0"/>
    <w:rsid w:val="00A70049"/>
    <w:rsid w:val="00A700D2"/>
    <w:rsid w:val="00A71831"/>
    <w:rsid w:val="00A72295"/>
    <w:rsid w:val="00A72310"/>
    <w:rsid w:val="00A72611"/>
    <w:rsid w:val="00A72FE5"/>
    <w:rsid w:val="00A73091"/>
    <w:rsid w:val="00A73156"/>
    <w:rsid w:val="00A7328B"/>
    <w:rsid w:val="00A73DA1"/>
    <w:rsid w:val="00A73EF0"/>
    <w:rsid w:val="00A74112"/>
    <w:rsid w:val="00A74B3D"/>
    <w:rsid w:val="00A7504B"/>
    <w:rsid w:val="00A75A7C"/>
    <w:rsid w:val="00A76160"/>
    <w:rsid w:val="00A76521"/>
    <w:rsid w:val="00A77154"/>
    <w:rsid w:val="00A77462"/>
    <w:rsid w:val="00A775F1"/>
    <w:rsid w:val="00A7792B"/>
    <w:rsid w:val="00A77E37"/>
    <w:rsid w:val="00A8034E"/>
    <w:rsid w:val="00A80774"/>
    <w:rsid w:val="00A80BD2"/>
    <w:rsid w:val="00A80E6F"/>
    <w:rsid w:val="00A81005"/>
    <w:rsid w:val="00A81543"/>
    <w:rsid w:val="00A81A39"/>
    <w:rsid w:val="00A825FF"/>
    <w:rsid w:val="00A8294F"/>
    <w:rsid w:val="00A8297B"/>
    <w:rsid w:val="00A8413F"/>
    <w:rsid w:val="00A841C9"/>
    <w:rsid w:val="00A84E08"/>
    <w:rsid w:val="00A851FA"/>
    <w:rsid w:val="00A85204"/>
    <w:rsid w:val="00A85602"/>
    <w:rsid w:val="00A85A19"/>
    <w:rsid w:val="00A8631F"/>
    <w:rsid w:val="00A86452"/>
    <w:rsid w:val="00A87611"/>
    <w:rsid w:val="00A87D49"/>
    <w:rsid w:val="00A90030"/>
    <w:rsid w:val="00A90046"/>
    <w:rsid w:val="00A90542"/>
    <w:rsid w:val="00A909B5"/>
    <w:rsid w:val="00A90A3E"/>
    <w:rsid w:val="00A90AD0"/>
    <w:rsid w:val="00A9101B"/>
    <w:rsid w:val="00A91662"/>
    <w:rsid w:val="00A91A56"/>
    <w:rsid w:val="00A91A5F"/>
    <w:rsid w:val="00A91FD2"/>
    <w:rsid w:val="00A93845"/>
    <w:rsid w:val="00A93DD6"/>
    <w:rsid w:val="00A93E60"/>
    <w:rsid w:val="00A94AD1"/>
    <w:rsid w:val="00A94ED5"/>
    <w:rsid w:val="00A9525F"/>
    <w:rsid w:val="00A953AC"/>
    <w:rsid w:val="00A95437"/>
    <w:rsid w:val="00A95523"/>
    <w:rsid w:val="00A95852"/>
    <w:rsid w:val="00A95BDD"/>
    <w:rsid w:val="00A96705"/>
    <w:rsid w:val="00A968C9"/>
    <w:rsid w:val="00A9696C"/>
    <w:rsid w:val="00A977AE"/>
    <w:rsid w:val="00A977B0"/>
    <w:rsid w:val="00AA07C3"/>
    <w:rsid w:val="00AA0987"/>
    <w:rsid w:val="00AA1283"/>
    <w:rsid w:val="00AA1E72"/>
    <w:rsid w:val="00AA274A"/>
    <w:rsid w:val="00AA2F11"/>
    <w:rsid w:val="00AA3595"/>
    <w:rsid w:val="00AA3F6D"/>
    <w:rsid w:val="00AA3FD0"/>
    <w:rsid w:val="00AA4582"/>
    <w:rsid w:val="00AA5177"/>
    <w:rsid w:val="00AA54D3"/>
    <w:rsid w:val="00AA55C7"/>
    <w:rsid w:val="00AA5D97"/>
    <w:rsid w:val="00AA6367"/>
    <w:rsid w:val="00AA6792"/>
    <w:rsid w:val="00AA67FF"/>
    <w:rsid w:val="00AA6F87"/>
    <w:rsid w:val="00AA7215"/>
    <w:rsid w:val="00AA7CAF"/>
    <w:rsid w:val="00AB0046"/>
    <w:rsid w:val="00AB08CE"/>
    <w:rsid w:val="00AB0C38"/>
    <w:rsid w:val="00AB1750"/>
    <w:rsid w:val="00AB1878"/>
    <w:rsid w:val="00AB1899"/>
    <w:rsid w:val="00AB1C75"/>
    <w:rsid w:val="00AB1DE7"/>
    <w:rsid w:val="00AB1E7B"/>
    <w:rsid w:val="00AB241B"/>
    <w:rsid w:val="00AB24F1"/>
    <w:rsid w:val="00AB2F28"/>
    <w:rsid w:val="00AB365E"/>
    <w:rsid w:val="00AB443B"/>
    <w:rsid w:val="00AB44CD"/>
    <w:rsid w:val="00AB4667"/>
    <w:rsid w:val="00AB46C3"/>
    <w:rsid w:val="00AB4E1B"/>
    <w:rsid w:val="00AB4EA7"/>
    <w:rsid w:val="00AB4FEF"/>
    <w:rsid w:val="00AB57F6"/>
    <w:rsid w:val="00AB5AF3"/>
    <w:rsid w:val="00AB5DEE"/>
    <w:rsid w:val="00AB5E4E"/>
    <w:rsid w:val="00AB62E6"/>
    <w:rsid w:val="00AB638D"/>
    <w:rsid w:val="00AB6B43"/>
    <w:rsid w:val="00AB6E51"/>
    <w:rsid w:val="00AB76E0"/>
    <w:rsid w:val="00AB7A71"/>
    <w:rsid w:val="00AB7C65"/>
    <w:rsid w:val="00AC0076"/>
    <w:rsid w:val="00AC0A98"/>
    <w:rsid w:val="00AC0D24"/>
    <w:rsid w:val="00AC14EC"/>
    <w:rsid w:val="00AC1729"/>
    <w:rsid w:val="00AC2954"/>
    <w:rsid w:val="00AC2E5B"/>
    <w:rsid w:val="00AC3200"/>
    <w:rsid w:val="00AC3300"/>
    <w:rsid w:val="00AC414B"/>
    <w:rsid w:val="00AC41AA"/>
    <w:rsid w:val="00AC420C"/>
    <w:rsid w:val="00AC4342"/>
    <w:rsid w:val="00AC49A6"/>
    <w:rsid w:val="00AC4BF9"/>
    <w:rsid w:val="00AC50F2"/>
    <w:rsid w:val="00AC535C"/>
    <w:rsid w:val="00AC539F"/>
    <w:rsid w:val="00AC559C"/>
    <w:rsid w:val="00AC563F"/>
    <w:rsid w:val="00AC6147"/>
    <w:rsid w:val="00AC6261"/>
    <w:rsid w:val="00AC63A4"/>
    <w:rsid w:val="00AC645F"/>
    <w:rsid w:val="00AC6DDB"/>
    <w:rsid w:val="00AC779C"/>
    <w:rsid w:val="00AD06C1"/>
    <w:rsid w:val="00AD0B87"/>
    <w:rsid w:val="00AD119D"/>
    <w:rsid w:val="00AD12AC"/>
    <w:rsid w:val="00AD1536"/>
    <w:rsid w:val="00AD1C9E"/>
    <w:rsid w:val="00AD27B4"/>
    <w:rsid w:val="00AD3222"/>
    <w:rsid w:val="00AD32F7"/>
    <w:rsid w:val="00AD3A95"/>
    <w:rsid w:val="00AD3DB0"/>
    <w:rsid w:val="00AD44E5"/>
    <w:rsid w:val="00AD4519"/>
    <w:rsid w:val="00AD481E"/>
    <w:rsid w:val="00AD50E2"/>
    <w:rsid w:val="00AD584B"/>
    <w:rsid w:val="00AD5DC0"/>
    <w:rsid w:val="00AD5ED6"/>
    <w:rsid w:val="00AD5F24"/>
    <w:rsid w:val="00AD5FD7"/>
    <w:rsid w:val="00AD6061"/>
    <w:rsid w:val="00AD63D3"/>
    <w:rsid w:val="00AD65BA"/>
    <w:rsid w:val="00AD6851"/>
    <w:rsid w:val="00AD6B5D"/>
    <w:rsid w:val="00AD7027"/>
    <w:rsid w:val="00AD71D9"/>
    <w:rsid w:val="00AD7E85"/>
    <w:rsid w:val="00AE0B67"/>
    <w:rsid w:val="00AE0EE7"/>
    <w:rsid w:val="00AE11ED"/>
    <w:rsid w:val="00AE120E"/>
    <w:rsid w:val="00AE17A1"/>
    <w:rsid w:val="00AE22BE"/>
    <w:rsid w:val="00AE244F"/>
    <w:rsid w:val="00AE24A2"/>
    <w:rsid w:val="00AE2AD5"/>
    <w:rsid w:val="00AE35CD"/>
    <w:rsid w:val="00AE5544"/>
    <w:rsid w:val="00AE6D16"/>
    <w:rsid w:val="00AE6E66"/>
    <w:rsid w:val="00AE70AA"/>
    <w:rsid w:val="00AE73F3"/>
    <w:rsid w:val="00AF0271"/>
    <w:rsid w:val="00AF099F"/>
    <w:rsid w:val="00AF1218"/>
    <w:rsid w:val="00AF1248"/>
    <w:rsid w:val="00AF12CD"/>
    <w:rsid w:val="00AF164B"/>
    <w:rsid w:val="00AF16F5"/>
    <w:rsid w:val="00AF190A"/>
    <w:rsid w:val="00AF1BD5"/>
    <w:rsid w:val="00AF1CA0"/>
    <w:rsid w:val="00AF1E89"/>
    <w:rsid w:val="00AF1FFD"/>
    <w:rsid w:val="00AF205D"/>
    <w:rsid w:val="00AF242C"/>
    <w:rsid w:val="00AF26D1"/>
    <w:rsid w:val="00AF3022"/>
    <w:rsid w:val="00AF312A"/>
    <w:rsid w:val="00AF3241"/>
    <w:rsid w:val="00AF3A3C"/>
    <w:rsid w:val="00AF3E31"/>
    <w:rsid w:val="00AF4109"/>
    <w:rsid w:val="00AF4235"/>
    <w:rsid w:val="00AF489E"/>
    <w:rsid w:val="00AF4B35"/>
    <w:rsid w:val="00AF5E98"/>
    <w:rsid w:val="00AF5ED0"/>
    <w:rsid w:val="00AF68D2"/>
    <w:rsid w:val="00AF732C"/>
    <w:rsid w:val="00AF74C8"/>
    <w:rsid w:val="00AF7B4A"/>
    <w:rsid w:val="00AF7C95"/>
    <w:rsid w:val="00AF7DE7"/>
    <w:rsid w:val="00B00085"/>
    <w:rsid w:val="00B00966"/>
    <w:rsid w:val="00B00CC1"/>
    <w:rsid w:val="00B00DE8"/>
    <w:rsid w:val="00B010C7"/>
    <w:rsid w:val="00B011F2"/>
    <w:rsid w:val="00B012DD"/>
    <w:rsid w:val="00B019A1"/>
    <w:rsid w:val="00B01EA9"/>
    <w:rsid w:val="00B0214A"/>
    <w:rsid w:val="00B0247F"/>
    <w:rsid w:val="00B02711"/>
    <w:rsid w:val="00B02A41"/>
    <w:rsid w:val="00B02B0D"/>
    <w:rsid w:val="00B0343C"/>
    <w:rsid w:val="00B036E0"/>
    <w:rsid w:val="00B039F0"/>
    <w:rsid w:val="00B03AF2"/>
    <w:rsid w:val="00B03C0C"/>
    <w:rsid w:val="00B03D11"/>
    <w:rsid w:val="00B04268"/>
    <w:rsid w:val="00B049D7"/>
    <w:rsid w:val="00B04A6B"/>
    <w:rsid w:val="00B04F49"/>
    <w:rsid w:val="00B05191"/>
    <w:rsid w:val="00B0527D"/>
    <w:rsid w:val="00B0532B"/>
    <w:rsid w:val="00B05EF9"/>
    <w:rsid w:val="00B067C3"/>
    <w:rsid w:val="00B06952"/>
    <w:rsid w:val="00B06E02"/>
    <w:rsid w:val="00B07348"/>
    <w:rsid w:val="00B0772A"/>
    <w:rsid w:val="00B078A9"/>
    <w:rsid w:val="00B07CFD"/>
    <w:rsid w:val="00B100AC"/>
    <w:rsid w:val="00B103A6"/>
    <w:rsid w:val="00B1053E"/>
    <w:rsid w:val="00B10A61"/>
    <w:rsid w:val="00B10E27"/>
    <w:rsid w:val="00B110AB"/>
    <w:rsid w:val="00B110C1"/>
    <w:rsid w:val="00B110DB"/>
    <w:rsid w:val="00B12935"/>
    <w:rsid w:val="00B129B7"/>
    <w:rsid w:val="00B12B2D"/>
    <w:rsid w:val="00B13128"/>
    <w:rsid w:val="00B13721"/>
    <w:rsid w:val="00B139AE"/>
    <w:rsid w:val="00B13C4B"/>
    <w:rsid w:val="00B14EA1"/>
    <w:rsid w:val="00B16262"/>
    <w:rsid w:val="00B16A1D"/>
    <w:rsid w:val="00B16BE0"/>
    <w:rsid w:val="00B16C80"/>
    <w:rsid w:val="00B16D2E"/>
    <w:rsid w:val="00B170A3"/>
    <w:rsid w:val="00B1783A"/>
    <w:rsid w:val="00B17ADD"/>
    <w:rsid w:val="00B17B02"/>
    <w:rsid w:val="00B17DB6"/>
    <w:rsid w:val="00B20173"/>
    <w:rsid w:val="00B201FA"/>
    <w:rsid w:val="00B20366"/>
    <w:rsid w:val="00B209F4"/>
    <w:rsid w:val="00B20BB9"/>
    <w:rsid w:val="00B20F01"/>
    <w:rsid w:val="00B2122C"/>
    <w:rsid w:val="00B21242"/>
    <w:rsid w:val="00B213AF"/>
    <w:rsid w:val="00B21E9A"/>
    <w:rsid w:val="00B2229F"/>
    <w:rsid w:val="00B223D6"/>
    <w:rsid w:val="00B22D04"/>
    <w:rsid w:val="00B23068"/>
    <w:rsid w:val="00B237FA"/>
    <w:rsid w:val="00B2387C"/>
    <w:rsid w:val="00B23E91"/>
    <w:rsid w:val="00B23FEF"/>
    <w:rsid w:val="00B24250"/>
    <w:rsid w:val="00B2429A"/>
    <w:rsid w:val="00B24950"/>
    <w:rsid w:val="00B24D9B"/>
    <w:rsid w:val="00B24E45"/>
    <w:rsid w:val="00B24EA2"/>
    <w:rsid w:val="00B2623A"/>
    <w:rsid w:val="00B26519"/>
    <w:rsid w:val="00B26E23"/>
    <w:rsid w:val="00B2757E"/>
    <w:rsid w:val="00B27B66"/>
    <w:rsid w:val="00B3002A"/>
    <w:rsid w:val="00B30909"/>
    <w:rsid w:val="00B30A94"/>
    <w:rsid w:val="00B30B56"/>
    <w:rsid w:val="00B30BDE"/>
    <w:rsid w:val="00B30CDD"/>
    <w:rsid w:val="00B30D6F"/>
    <w:rsid w:val="00B30FF5"/>
    <w:rsid w:val="00B31061"/>
    <w:rsid w:val="00B31322"/>
    <w:rsid w:val="00B31606"/>
    <w:rsid w:val="00B31D49"/>
    <w:rsid w:val="00B32126"/>
    <w:rsid w:val="00B329C7"/>
    <w:rsid w:val="00B33729"/>
    <w:rsid w:val="00B33DC4"/>
    <w:rsid w:val="00B34F16"/>
    <w:rsid w:val="00B35DC3"/>
    <w:rsid w:val="00B3677B"/>
    <w:rsid w:val="00B369D3"/>
    <w:rsid w:val="00B36A14"/>
    <w:rsid w:val="00B3738D"/>
    <w:rsid w:val="00B378BA"/>
    <w:rsid w:val="00B378F9"/>
    <w:rsid w:val="00B37E05"/>
    <w:rsid w:val="00B37E10"/>
    <w:rsid w:val="00B37F65"/>
    <w:rsid w:val="00B37F8A"/>
    <w:rsid w:val="00B40B2F"/>
    <w:rsid w:val="00B40BE5"/>
    <w:rsid w:val="00B40C9B"/>
    <w:rsid w:val="00B40E29"/>
    <w:rsid w:val="00B40E83"/>
    <w:rsid w:val="00B414B6"/>
    <w:rsid w:val="00B4152F"/>
    <w:rsid w:val="00B417F7"/>
    <w:rsid w:val="00B418FB"/>
    <w:rsid w:val="00B41A74"/>
    <w:rsid w:val="00B41DDD"/>
    <w:rsid w:val="00B41FED"/>
    <w:rsid w:val="00B421CC"/>
    <w:rsid w:val="00B42914"/>
    <w:rsid w:val="00B42F86"/>
    <w:rsid w:val="00B432B9"/>
    <w:rsid w:val="00B4333D"/>
    <w:rsid w:val="00B43A5C"/>
    <w:rsid w:val="00B43CE3"/>
    <w:rsid w:val="00B43E7F"/>
    <w:rsid w:val="00B43EAE"/>
    <w:rsid w:val="00B44C1C"/>
    <w:rsid w:val="00B44D0D"/>
    <w:rsid w:val="00B45BCB"/>
    <w:rsid w:val="00B45C7E"/>
    <w:rsid w:val="00B45D1C"/>
    <w:rsid w:val="00B46240"/>
    <w:rsid w:val="00B4647C"/>
    <w:rsid w:val="00B466BC"/>
    <w:rsid w:val="00B47048"/>
    <w:rsid w:val="00B4726C"/>
    <w:rsid w:val="00B47270"/>
    <w:rsid w:val="00B476DE"/>
    <w:rsid w:val="00B47730"/>
    <w:rsid w:val="00B50E5D"/>
    <w:rsid w:val="00B50F25"/>
    <w:rsid w:val="00B51846"/>
    <w:rsid w:val="00B5196B"/>
    <w:rsid w:val="00B5197A"/>
    <w:rsid w:val="00B51B93"/>
    <w:rsid w:val="00B52123"/>
    <w:rsid w:val="00B52192"/>
    <w:rsid w:val="00B529DF"/>
    <w:rsid w:val="00B529E2"/>
    <w:rsid w:val="00B52E1C"/>
    <w:rsid w:val="00B53232"/>
    <w:rsid w:val="00B534FA"/>
    <w:rsid w:val="00B538A7"/>
    <w:rsid w:val="00B53984"/>
    <w:rsid w:val="00B53EDF"/>
    <w:rsid w:val="00B542CF"/>
    <w:rsid w:val="00B5493B"/>
    <w:rsid w:val="00B5516C"/>
    <w:rsid w:val="00B5559A"/>
    <w:rsid w:val="00B5581C"/>
    <w:rsid w:val="00B55E9E"/>
    <w:rsid w:val="00B565F1"/>
    <w:rsid w:val="00B566E2"/>
    <w:rsid w:val="00B56995"/>
    <w:rsid w:val="00B56C71"/>
    <w:rsid w:val="00B56E2A"/>
    <w:rsid w:val="00B5703E"/>
    <w:rsid w:val="00B573FE"/>
    <w:rsid w:val="00B57DC1"/>
    <w:rsid w:val="00B57EE0"/>
    <w:rsid w:val="00B602EC"/>
    <w:rsid w:val="00B6079A"/>
    <w:rsid w:val="00B608A3"/>
    <w:rsid w:val="00B60FE8"/>
    <w:rsid w:val="00B6108F"/>
    <w:rsid w:val="00B6120B"/>
    <w:rsid w:val="00B61317"/>
    <w:rsid w:val="00B61869"/>
    <w:rsid w:val="00B61C85"/>
    <w:rsid w:val="00B62244"/>
    <w:rsid w:val="00B625C3"/>
    <w:rsid w:val="00B62756"/>
    <w:rsid w:val="00B6277B"/>
    <w:rsid w:val="00B62C37"/>
    <w:rsid w:val="00B63FEA"/>
    <w:rsid w:val="00B64205"/>
    <w:rsid w:val="00B6423F"/>
    <w:rsid w:val="00B64340"/>
    <w:rsid w:val="00B64364"/>
    <w:rsid w:val="00B646BF"/>
    <w:rsid w:val="00B64906"/>
    <w:rsid w:val="00B64941"/>
    <w:rsid w:val="00B654DB"/>
    <w:rsid w:val="00B657E8"/>
    <w:rsid w:val="00B65833"/>
    <w:rsid w:val="00B65A2D"/>
    <w:rsid w:val="00B65BBE"/>
    <w:rsid w:val="00B66261"/>
    <w:rsid w:val="00B66672"/>
    <w:rsid w:val="00B669A6"/>
    <w:rsid w:val="00B67B77"/>
    <w:rsid w:val="00B703AF"/>
    <w:rsid w:val="00B705CF"/>
    <w:rsid w:val="00B708FB"/>
    <w:rsid w:val="00B70BA5"/>
    <w:rsid w:val="00B711C3"/>
    <w:rsid w:val="00B711F0"/>
    <w:rsid w:val="00B714CA"/>
    <w:rsid w:val="00B716C8"/>
    <w:rsid w:val="00B721A5"/>
    <w:rsid w:val="00B721C7"/>
    <w:rsid w:val="00B727AD"/>
    <w:rsid w:val="00B72BCF"/>
    <w:rsid w:val="00B72E9D"/>
    <w:rsid w:val="00B7329D"/>
    <w:rsid w:val="00B73395"/>
    <w:rsid w:val="00B7353A"/>
    <w:rsid w:val="00B73850"/>
    <w:rsid w:val="00B738DC"/>
    <w:rsid w:val="00B7424D"/>
    <w:rsid w:val="00B74475"/>
    <w:rsid w:val="00B74858"/>
    <w:rsid w:val="00B74A09"/>
    <w:rsid w:val="00B74A3A"/>
    <w:rsid w:val="00B74D9E"/>
    <w:rsid w:val="00B75DEF"/>
    <w:rsid w:val="00B76064"/>
    <w:rsid w:val="00B76D84"/>
    <w:rsid w:val="00B77876"/>
    <w:rsid w:val="00B7788E"/>
    <w:rsid w:val="00B80307"/>
    <w:rsid w:val="00B809F2"/>
    <w:rsid w:val="00B80E88"/>
    <w:rsid w:val="00B81096"/>
    <w:rsid w:val="00B81142"/>
    <w:rsid w:val="00B816B8"/>
    <w:rsid w:val="00B81BBB"/>
    <w:rsid w:val="00B82272"/>
    <w:rsid w:val="00B82360"/>
    <w:rsid w:val="00B82B4F"/>
    <w:rsid w:val="00B82B78"/>
    <w:rsid w:val="00B82EDC"/>
    <w:rsid w:val="00B832B4"/>
    <w:rsid w:val="00B834AF"/>
    <w:rsid w:val="00B83D67"/>
    <w:rsid w:val="00B83E74"/>
    <w:rsid w:val="00B843FE"/>
    <w:rsid w:val="00B849FA"/>
    <w:rsid w:val="00B84D8D"/>
    <w:rsid w:val="00B84E02"/>
    <w:rsid w:val="00B85F9A"/>
    <w:rsid w:val="00B8608B"/>
    <w:rsid w:val="00B86279"/>
    <w:rsid w:val="00B86568"/>
    <w:rsid w:val="00B8675F"/>
    <w:rsid w:val="00B86928"/>
    <w:rsid w:val="00B86B13"/>
    <w:rsid w:val="00B87435"/>
    <w:rsid w:val="00B87481"/>
    <w:rsid w:val="00B87995"/>
    <w:rsid w:val="00B90241"/>
    <w:rsid w:val="00B906CA"/>
    <w:rsid w:val="00B907BB"/>
    <w:rsid w:val="00B90A20"/>
    <w:rsid w:val="00B90D42"/>
    <w:rsid w:val="00B90E95"/>
    <w:rsid w:val="00B9144F"/>
    <w:rsid w:val="00B91922"/>
    <w:rsid w:val="00B9199C"/>
    <w:rsid w:val="00B9248C"/>
    <w:rsid w:val="00B924EC"/>
    <w:rsid w:val="00B92EF5"/>
    <w:rsid w:val="00B93219"/>
    <w:rsid w:val="00B93271"/>
    <w:rsid w:val="00B9341C"/>
    <w:rsid w:val="00B9351A"/>
    <w:rsid w:val="00B93839"/>
    <w:rsid w:val="00B93FD2"/>
    <w:rsid w:val="00B942AC"/>
    <w:rsid w:val="00B95110"/>
    <w:rsid w:val="00B95876"/>
    <w:rsid w:val="00B95D0F"/>
    <w:rsid w:val="00B96172"/>
    <w:rsid w:val="00B9621C"/>
    <w:rsid w:val="00B9632D"/>
    <w:rsid w:val="00B9667A"/>
    <w:rsid w:val="00B97227"/>
    <w:rsid w:val="00B976B5"/>
    <w:rsid w:val="00B979B5"/>
    <w:rsid w:val="00B97F38"/>
    <w:rsid w:val="00BA057E"/>
    <w:rsid w:val="00BA099B"/>
    <w:rsid w:val="00BA0C6C"/>
    <w:rsid w:val="00BA1530"/>
    <w:rsid w:val="00BA173D"/>
    <w:rsid w:val="00BA1944"/>
    <w:rsid w:val="00BA1B27"/>
    <w:rsid w:val="00BA1E27"/>
    <w:rsid w:val="00BA2285"/>
    <w:rsid w:val="00BA288F"/>
    <w:rsid w:val="00BA28CC"/>
    <w:rsid w:val="00BA2FDE"/>
    <w:rsid w:val="00BA376D"/>
    <w:rsid w:val="00BA39C4"/>
    <w:rsid w:val="00BA5399"/>
    <w:rsid w:val="00BA5F4E"/>
    <w:rsid w:val="00BA5FDD"/>
    <w:rsid w:val="00BA6673"/>
    <w:rsid w:val="00BA6AD2"/>
    <w:rsid w:val="00BA6B11"/>
    <w:rsid w:val="00BA6D69"/>
    <w:rsid w:val="00BA6F24"/>
    <w:rsid w:val="00BA707E"/>
    <w:rsid w:val="00BA74D8"/>
    <w:rsid w:val="00BA7B75"/>
    <w:rsid w:val="00BA7B94"/>
    <w:rsid w:val="00BA7E6D"/>
    <w:rsid w:val="00BB059C"/>
    <w:rsid w:val="00BB07AE"/>
    <w:rsid w:val="00BB0DAE"/>
    <w:rsid w:val="00BB0DBD"/>
    <w:rsid w:val="00BB0FA6"/>
    <w:rsid w:val="00BB1069"/>
    <w:rsid w:val="00BB106E"/>
    <w:rsid w:val="00BB11E9"/>
    <w:rsid w:val="00BB14D2"/>
    <w:rsid w:val="00BB1BC3"/>
    <w:rsid w:val="00BB27DB"/>
    <w:rsid w:val="00BB2AD2"/>
    <w:rsid w:val="00BB3D38"/>
    <w:rsid w:val="00BB3D3C"/>
    <w:rsid w:val="00BB45A9"/>
    <w:rsid w:val="00BB4A49"/>
    <w:rsid w:val="00BB4F85"/>
    <w:rsid w:val="00BB5024"/>
    <w:rsid w:val="00BB55DF"/>
    <w:rsid w:val="00BB5AD6"/>
    <w:rsid w:val="00BB5FA3"/>
    <w:rsid w:val="00BB69B8"/>
    <w:rsid w:val="00BB6BEE"/>
    <w:rsid w:val="00BB6DC9"/>
    <w:rsid w:val="00BB6EB8"/>
    <w:rsid w:val="00BB76BF"/>
    <w:rsid w:val="00BC02C9"/>
    <w:rsid w:val="00BC0416"/>
    <w:rsid w:val="00BC11F6"/>
    <w:rsid w:val="00BC1E67"/>
    <w:rsid w:val="00BC2554"/>
    <w:rsid w:val="00BC2583"/>
    <w:rsid w:val="00BC2620"/>
    <w:rsid w:val="00BC280E"/>
    <w:rsid w:val="00BC2D54"/>
    <w:rsid w:val="00BC3134"/>
    <w:rsid w:val="00BC376A"/>
    <w:rsid w:val="00BC392D"/>
    <w:rsid w:val="00BC4CB2"/>
    <w:rsid w:val="00BC5FC4"/>
    <w:rsid w:val="00BC6426"/>
    <w:rsid w:val="00BC65A3"/>
    <w:rsid w:val="00BC6902"/>
    <w:rsid w:val="00BC6B51"/>
    <w:rsid w:val="00BC7265"/>
    <w:rsid w:val="00BC7453"/>
    <w:rsid w:val="00BC7C00"/>
    <w:rsid w:val="00BD01E6"/>
    <w:rsid w:val="00BD0223"/>
    <w:rsid w:val="00BD0265"/>
    <w:rsid w:val="00BD0457"/>
    <w:rsid w:val="00BD0864"/>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A93"/>
    <w:rsid w:val="00BD4A9D"/>
    <w:rsid w:val="00BD4E44"/>
    <w:rsid w:val="00BD6A65"/>
    <w:rsid w:val="00BD6C15"/>
    <w:rsid w:val="00BD6F34"/>
    <w:rsid w:val="00BD712F"/>
    <w:rsid w:val="00BD756E"/>
    <w:rsid w:val="00BD76D4"/>
    <w:rsid w:val="00BD775F"/>
    <w:rsid w:val="00BD7A60"/>
    <w:rsid w:val="00BD7F16"/>
    <w:rsid w:val="00BE040E"/>
    <w:rsid w:val="00BE0851"/>
    <w:rsid w:val="00BE16B2"/>
    <w:rsid w:val="00BE1C49"/>
    <w:rsid w:val="00BE1D60"/>
    <w:rsid w:val="00BE1D66"/>
    <w:rsid w:val="00BE1F9B"/>
    <w:rsid w:val="00BE2024"/>
    <w:rsid w:val="00BE2100"/>
    <w:rsid w:val="00BE2721"/>
    <w:rsid w:val="00BE3398"/>
    <w:rsid w:val="00BE3676"/>
    <w:rsid w:val="00BE4005"/>
    <w:rsid w:val="00BE44BE"/>
    <w:rsid w:val="00BE4E66"/>
    <w:rsid w:val="00BE52A7"/>
    <w:rsid w:val="00BE564B"/>
    <w:rsid w:val="00BE58FC"/>
    <w:rsid w:val="00BE5A27"/>
    <w:rsid w:val="00BE5C73"/>
    <w:rsid w:val="00BE6021"/>
    <w:rsid w:val="00BE6677"/>
    <w:rsid w:val="00BE6D00"/>
    <w:rsid w:val="00BE7049"/>
    <w:rsid w:val="00BE708F"/>
    <w:rsid w:val="00BE748D"/>
    <w:rsid w:val="00BE74A3"/>
    <w:rsid w:val="00BE7723"/>
    <w:rsid w:val="00BE7A79"/>
    <w:rsid w:val="00BF10F5"/>
    <w:rsid w:val="00BF1593"/>
    <w:rsid w:val="00BF16D5"/>
    <w:rsid w:val="00BF196E"/>
    <w:rsid w:val="00BF2045"/>
    <w:rsid w:val="00BF3625"/>
    <w:rsid w:val="00BF3781"/>
    <w:rsid w:val="00BF3966"/>
    <w:rsid w:val="00BF3A53"/>
    <w:rsid w:val="00BF3B6B"/>
    <w:rsid w:val="00BF41E2"/>
    <w:rsid w:val="00BF466D"/>
    <w:rsid w:val="00BF51EA"/>
    <w:rsid w:val="00BF5443"/>
    <w:rsid w:val="00BF5729"/>
    <w:rsid w:val="00BF5936"/>
    <w:rsid w:val="00BF62D3"/>
    <w:rsid w:val="00BF662F"/>
    <w:rsid w:val="00BF7316"/>
    <w:rsid w:val="00BF7CC7"/>
    <w:rsid w:val="00BF7DD9"/>
    <w:rsid w:val="00C0025C"/>
    <w:rsid w:val="00C0099A"/>
    <w:rsid w:val="00C00B59"/>
    <w:rsid w:val="00C00BB2"/>
    <w:rsid w:val="00C00CBC"/>
    <w:rsid w:val="00C012E6"/>
    <w:rsid w:val="00C02276"/>
    <w:rsid w:val="00C024A9"/>
    <w:rsid w:val="00C02536"/>
    <w:rsid w:val="00C02C91"/>
    <w:rsid w:val="00C032BF"/>
    <w:rsid w:val="00C03941"/>
    <w:rsid w:val="00C0398A"/>
    <w:rsid w:val="00C03A0A"/>
    <w:rsid w:val="00C03B14"/>
    <w:rsid w:val="00C04181"/>
    <w:rsid w:val="00C0419A"/>
    <w:rsid w:val="00C04331"/>
    <w:rsid w:val="00C04363"/>
    <w:rsid w:val="00C04B0A"/>
    <w:rsid w:val="00C04E9D"/>
    <w:rsid w:val="00C05184"/>
    <w:rsid w:val="00C06F91"/>
    <w:rsid w:val="00C07085"/>
    <w:rsid w:val="00C07293"/>
    <w:rsid w:val="00C07ACA"/>
    <w:rsid w:val="00C07C2B"/>
    <w:rsid w:val="00C1022A"/>
    <w:rsid w:val="00C10F9E"/>
    <w:rsid w:val="00C1149B"/>
    <w:rsid w:val="00C12A73"/>
    <w:rsid w:val="00C13515"/>
    <w:rsid w:val="00C13707"/>
    <w:rsid w:val="00C13E1A"/>
    <w:rsid w:val="00C14078"/>
    <w:rsid w:val="00C14213"/>
    <w:rsid w:val="00C14CAF"/>
    <w:rsid w:val="00C1518C"/>
    <w:rsid w:val="00C156DF"/>
    <w:rsid w:val="00C157CD"/>
    <w:rsid w:val="00C15913"/>
    <w:rsid w:val="00C15AEF"/>
    <w:rsid w:val="00C16110"/>
    <w:rsid w:val="00C1636B"/>
    <w:rsid w:val="00C1715B"/>
    <w:rsid w:val="00C17244"/>
    <w:rsid w:val="00C173DC"/>
    <w:rsid w:val="00C17491"/>
    <w:rsid w:val="00C17775"/>
    <w:rsid w:val="00C20200"/>
    <w:rsid w:val="00C2042B"/>
    <w:rsid w:val="00C205BF"/>
    <w:rsid w:val="00C20631"/>
    <w:rsid w:val="00C20868"/>
    <w:rsid w:val="00C22592"/>
    <w:rsid w:val="00C2259C"/>
    <w:rsid w:val="00C22672"/>
    <w:rsid w:val="00C227C7"/>
    <w:rsid w:val="00C22C28"/>
    <w:rsid w:val="00C22CC4"/>
    <w:rsid w:val="00C22CC7"/>
    <w:rsid w:val="00C22E7A"/>
    <w:rsid w:val="00C23B2D"/>
    <w:rsid w:val="00C23ED2"/>
    <w:rsid w:val="00C2406A"/>
    <w:rsid w:val="00C2409D"/>
    <w:rsid w:val="00C248F3"/>
    <w:rsid w:val="00C24A17"/>
    <w:rsid w:val="00C24AE4"/>
    <w:rsid w:val="00C24DBE"/>
    <w:rsid w:val="00C25290"/>
    <w:rsid w:val="00C25683"/>
    <w:rsid w:val="00C25FA5"/>
    <w:rsid w:val="00C26351"/>
    <w:rsid w:val="00C26FED"/>
    <w:rsid w:val="00C27662"/>
    <w:rsid w:val="00C27DB0"/>
    <w:rsid w:val="00C27DEF"/>
    <w:rsid w:val="00C27E86"/>
    <w:rsid w:val="00C304B9"/>
    <w:rsid w:val="00C30D70"/>
    <w:rsid w:val="00C30F29"/>
    <w:rsid w:val="00C311D2"/>
    <w:rsid w:val="00C3169F"/>
    <w:rsid w:val="00C31729"/>
    <w:rsid w:val="00C31A7B"/>
    <w:rsid w:val="00C31DA6"/>
    <w:rsid w:val="00C320D1"/>
    <w:rsid w:val="00C32154"/>
    <w:rsid w:val="00C331F6"/>
    <w:rsid w:val="00C3320C"/>
    <w:rsid w:val="00C33489"/>
    <w:rsid w:val="00C33A80"/>
    <w:rsid w:val="00C346C5"/>
    <w:rsid w:val="00C34BD6"/>
    <w:rsid w:val="00C34BF2"/>
    <w:rsid w:val="00C34E44"/>
    <w:rsid w:val="00C35849"/>
    <w:rsid w:val="00C35BF5"/>
    <w:rsid w:val="00C35C17"/>
    <w:rsid w:val="00C35D84"/>
    <w:rsid w:val="00C36431"/>
    <w:rsid w:val="00C3669A"/>
    <w:rsid w:val="00C36700"/>
    <w:rsid w:val="00C36718"/>
    <w:rsid w:val="00C3675D"/>
    <w:rsid w:val="00C36DB2"/>
    <w:rsid w:val="00C370BE"/>
    <w:rsid w:val="00C370E6"/>
    <w:rsid w:val="00C3726E"/>
    <w:rsid w:val="00C373E3"/>
    <w:rsid w:val="00C3755D"/>
    <w:rsid w:val="00C37918"/>
    <w:rsid w:val="00C3796D"/>
    <w:rsid w:val="00C4018A"/>
    <w:rsid w:val="00C40557"/>
    <w:rsid w:val="00C41216"/>
    <w:rsid w:val="00C41F11"/>
    <w:rsid w:val="00C420F6"/>
    <w:rsid w:val="00C422BA"/>
    <w:rsid w:val="00C423D5"/>
    <w:rsid w:val="00C4277C"/>
    <w:rsid w:val="00C42992"/>
    <w:rsid w:val="00C42B66"/>
    <w:rsid w:val="00C430C7"/>
    <w:rsid w:val="00C431F9"/>
    <w:rsid w:val="00C4338C"/>
    <w:rsid w:val="00C4366D"/>
    <w:rsid w:val="00C4395A"/>
    <w:rsid w:val="00C43C1A"/>
    <w:rsid w:val="00C43EE2"/>
    <w:rsid w:val="00C441F1"/>
    <w:rsid w:val="00C445D2"/>
    <w:rsid w:val="00C44DA0"/>
    <w:rsid w:val="00C44DA1"/>
    <w:rsid w:val="00C44EEA"/>
    <w:rsid w:val="00C454D3"/>
    <w:rsid w:val="00C45602"/>
    <w:rsid w:val="00C45F7B"/>
    <w:rsid w:val="00C45F9A"/>
    <w:rsid w:val="00C47283"/>
    <w:rsid w:val="00C4733D"/>
    <w:rsid w:val="00C474EF"/>
    <w:rsid w:val="00C47586"/>
    <w:rsid w:val="00C47D8D"/>
    <w:rsid w:val="00C50227"/>
    <w:rsid w:val="00C50296"/>
    <w:rsid w:val="00C50631"/>
    <w:rsid w:val="00C5090E"/>
    <w:rsid w:val="00C50B51"/>
    <w:rsid w:val="00C50B99"/>
    <w:rsid w:val="00C50DB6"/>
    <w:rsid w:val="00C514DD"/>
    <w:rsid w:val="00C5196B"/>
    <w:rsid w:val="00C522AE"/>
    <w:rsid w:val="00C52625"/>
    <w:rsid w:val="00C52B8B"/>
    <w:rsid w:val="00C52C8E"/>
    <w:rsid w:val="00C52EE1"/>
    <w:rsid w:val="00C536AD"/>
    <w:rsid w:val="00C53A72"/>
    <w:rsid w:val="00C53B42"/>
    <w:rsid w:val="00C53FE2"/>
    <w:rsid w:val="00C54248"/>
    <w:rsid w:val="00C5430D"/>
    <w:rsid w:val="00C54440"/>
    <w:rsid w:val="00C544EB"/>
    <w:rsid w:val="00C54510"/>
    <w:rsid w:val="00C54573"/>
    <w:rsid w:val="00C54A11"/>
    <w:rsid w:val="00C54BB2"/>
    <w:rsid w:val="00C54FCA"/>
    <w:rsid w:val="00C55A10"/>
    <w:rsid w:val="00C562E5"/>
    <w:rsid w:val="00C5641A"/>
    <w:rsid w:val="00C56BDE"/>
    <w:rsid w:val="00C56F84"/>
    <w:rsid w:val="00C57040"/>
    <w:rsid w:val="00C5705A"/>
    <w:rsid w:val="00C570F8"/>
    <w:rsid w:val="00C571FE"/>
    <w:rsid w:val="00C5757B"/>
    <w:rsid w:val="00C60682"/>
    <w:rsid w:val="00C60B25"/>
    <w:rsid w:val="00C61620"/>
    <w:rsid w:val="00C6163A"/>
    <w:rsid w:val="00C61C61"/>
    <w:rsid w:val="00C61CDC"/>
    <w:rsid w:val="00C62849"/>
    <w:rsid w:val="00C62B54"/>
    <w:rsid w:val="00C63188"/>
    <w:rsid w:val="00C637A9"/>
    <w:rsid w:val="00C63BFF"/>
    <w:rsid w:val="00C63E05"/>
    <w:rsid w:val="00C64362"/>
    <w:rsid w:val="00C64633"/>
    <w:rsid w:val="00C646EF"/>
    <w:rsid w:val="00C647A9"/>
    <w:rsid w:val="00C652D4"/>
    <w:rsid w:val="00C65416"/>
    <w:rsid w:val="00C65450"/>
    <w:rsid w:val="00C65952"/>
    <w:rsid w:val="00C659A2"/>
    <w:rsid w:val="00C65FAA"/>
    <w:rsid w:val="00C660F5"/>
    <w:rsid w:val="00C664A3"/>
    <w:rsid w:val="00C66B1D"/>
    <w:rsid w:val="00C66F48"/>
    <w:rsid w:val="00C66F7C"/>
    <w:rsid w:val="00C67DE6"/>
    <w:rsid w:val="00C70400"/>
    <w:rsid w:val="00C707C2"/>
    <w:rsid w:val="00C70992"/>
    <w:rsid w:val="00C70A90"/>
    <w:rsid w:val="00C70DD2"/>
    <w:rsid w:val="00C70E7B"/>
    <w:rsid w:val="00C70FB7"/>
    <w:rsid w:val="00C712FD"/>
    <w:rsid w:val="00C7158C"/>
    <w:rsid w:val="00C71A83"/>
    <w:rsid w:val="00C71C93"/>
    <w:rsid w:val="00C71ECC"/>
    <w:rsid w:val="00C7257C"/>
    <w:rsid w:val="00C72624"/>
    <w:rsid w:val="00C72B02"/>
    <w:rsid w:val="00C72F1B"/>
    <w:rsid w:val="00C73541"/>
    <w:rsid w:val="00C73808"/>
    <w:rsid w:val="00C7384F"/>
    <w:rsid w:val="00C73984"/>
    <w:rsid w:val="00C74044"/>
    <w:rsid w:val="00C74314"/>
    <w:rsid w:val="00C747F6"/>
    <w:rsid w:val="00C74DAC"/>
    <w:rsid w:val="00C75F99"/>
    <w:rsid w:val="00C76712"/>
    <w:rsid w:val="00C76DEC"/>
    <w:rsid w:val="00C76F0B"/>
    <w:rsid w:val="00C772BA"/>
    <w:rsid w:val="00C77324"/>
    <w:rsid w:val="00C77A13"/>
    <w:rsid w:val="00C80BC1"/>
    <w:rsid w:val="00C80C93"/>
    <w:rsid w:val="00C80F1A"/>
    <w:rsid w:val="00C813BD"/>
    <w:rsid w:val="00C818E7"/>
    <w:rsid w:val="00C81F7E"/>
    <w:rsid w:val="00C823FA"/>
    <w:rsid w:val="00C828FC"/>
    <w:rsid w:val="00C82AA2"/>
    <w:rsid w:val="00C82AD3"/>
    <w:rsid w:val="00C83494"/>
    <w:rsid w:val="00C83498"/>
    <w:rsid w:val="00C846DA"/>
    <w:rsid w:val="00C84919"/>
    <w:rsid w:val="00C853E8"/>
    <w:rsid w:val="00C85452"/>
    <w:rsid w:val="00C860D0"/>
    <w:rsid w:val="00C8701E"/>
    <w:rsid w:val="00C873BC"/>
    <w:rsid w:val="00C87725"/>
    <w:rsid w:val="00C87E68"/>
    <w:rsid w:val="00C87F8A"/>
    <w:rsid w:val="00C9046A"/>
    <w:rsid w:val="00C9048F"/>
    <w:rsid w:val="00C90693"/>
    <w:rsid w:val="00C909DB"/>
    <w:rsid w:val="00C90F2E"/>
    <w:rsid w:val="00C910DB"/>
    <w:rsid w:val="00C91166"/>
    <w:rsid w:val="00C913C1"/>
    <w:rsid w:val="00C917EE"/>
    <w:rsid w:val="00C9192D"/>
    <w:rsid w:val="00C91A45"/>
    <w:rsid w:val="00C92174"/>
    <w:rsid w:val="00C93859"/>
    <w:rsid w:val="00C93B71"/>
    <w:rsid w:val="00C942FA"/>
    <w:rsid w:val="00C94BBF"/>
    <w:rsid w:val="00C94EC9"/>
    <w:rsid w:val="00C956DB"/>
    <w:rsid w:val="00C95C27"/>
    <w:rsid w:val="00C95DF8"/>
    <w:rsid w:val="00C95E32"/>
    <w:rsid w:val="00C9617A"/>
    <w:rsid w:val="00C96244"/>
    <w:rsid w:val="00C9678B"/>
    <w:rsid w:val="00C9680B"/>
    <w:rsid w:val="00C96981"/>
    <w:rsid w:val="00C96FF7"/>
    <w:rsid w:val="00C977E8"/>
    <w:rsid w:val="00C97F61"/>
    <w:rsid w:val="00CA0B2C"/>
    <w:rsid w:val="00CA0F20"/>
    <w:rsid w:val="00CA179F"/>
    <w:rsid w:val="00CA17BD"/>
    <w:rsid w:val="00CA1A2A"/>
    <w:rsid w:val="00CA1D02"/>
    <w:rsid w:val="00CA1DC5"/>
    <w:rsid w:val="00CA22C4"/>
    <w:rsid w:val="00CA2753"/>
    <w:rsid w:val="00CA2BE7"/>
    <w:rsid w:val="00CA2D3F"/>
    <w:rsid w:val="00CA2F18"/>
    <w:rsid w:val="00CA34CE"/>
    <w:rsid w:val="00CA34ED"/>
    <w:rsid w:val="00CA3F79"/>
    <w:rsid w:val="00CA413E"/>
    <w:rsid w:val="00CA4187"/>
    <w:rsid w:val="00CA41AB"/>
    <w:rsid w:val="00CA45AD"/>
    <w:rsid w:val="00CA46B8"/>
    <w:rsid w:val="00CA48B0"/>
    <w:rsid w:val="00CA4B97"/>
    <w:rsid w:val="00CA4D46"/>
    <w:rsid w:val="00CA4EF0"/>
    <w:rsid w:val="00CA56AC"/>
    <w:rsid w:val="00CA5E8D"/>
    <w:rsid w:val="00CA6765"/>
    <w:rsid w:val="00CA680E"/>
    <w:rsid w:val="00CA68C9"/>
    <w:rsid w:val="00CA69AE"/>
    <w:rsid w:val="00CA6B7A"/>
    <w:rsid w:val="00CA71A3"/>
    <w:rsid w:val="00CA75AB"/>
    <w:rsid w:val="00CA78F9"/>
    <w:rsid w:val="00CA7C01"/>
    <w:rsid w:val="00CA7CA8"/>
    <w:rsid w:val="00CA7EB4"/>
    <w:rsid w:val="00CB019A"/>
    <w:rsid w:val="00CB0395"/>
    <w:rsid w:val="00CB0ED7"/>
    <w:rsid w:val="00CB15CA"/>
    <w:rsid w:val="00CB19A5"/>
    <w:rsid w:val="00CB1C7E"/>
    <w:rsid w:val="00CB2E15"/>
    <w:rsid w:val="00CB2E79"/>
    <w:rsid w:val="00CB2FA2"/>
    <w:rsid w:val="00CB3013"/>
    <w:rsid w:val="00CB312F"/>
    <w:rsid w:val="00CB39AF"/>
    <w:rsid w:val="00CB3AA1"/>
    <w:rsid w:val="00CB3CB9"/>
    <w:rsid w:val="00CB4730"/>
    <w:rsid w:val="00CB49E4"/>
    <w:rsid w:val="00CB4A79"/>
    <w:rsid w:val="00CB54D4"/>
    <w:rsid w:val="00CB57A1"/>
    <w:rsid w:val="00CB57D8"/>
    <w:rsid w:val="00CB59ED"/>
    <w:rsid w:val="00CB5A40"/>
    <w:rsid w:val="00CB5EAF"/>
    <w:rsid w:val="00CB5FC6"/>
    <w:rsid w:val="00CB6ED8"/>
    <w:rsid w:val="00CB7771"/>
    <w:rsid w:val="00CB7A7A"/>
    <w:rsid w:val="00CB7FEE"/>
    <w:rsid w:val="00CC0687"/>
    <w:rsid w:val="00CC0B06"/>
    <w:rsid w:val="00CC181C"/>
    <w:rsid w:val="00CC1AAA"/>
    <w:rsid w:val="00CC1E51"/>
    <w:rsid w:val="00CC1F5F"/>
    <w:rsid w:val="00CC20C0"/>
    <w:rsid w:val="00CC2882"/>
    <w:rsid w:val="00CC2F61"/>
    <w:rsid w:val="00CC3186"/>
    <w:rsid w:val="00CC341C"/>
    <w:rsid w:val="00CC4022"/>
    <w:rsid w:val="00CC404A"/>
    <w:rsid w:val="00CC4216"/>
    <w:rsid w:val="00CC449A"/>
    <w:rsid w:val="00CC4BE9"/>
    <w:rsid w:val="00CC4D42"/>
    <w:rsid w:val="00CC51BE"/>
    <w:rsid w:val="00CC52AC"/>
    <w:rsid w:val="00CC564F"/>
    <w:rsid w:val="00CC5B57"/>
    <w:rsid w:val="00CC5BFC"/>
    <w:rsid w:val="00CC5F6E"/>
    <w:rsid w:val="00CC7420"/>
    <w:rsid w:val="00CC75BE"/>
    <w:rsid w:val="00CC75D4"/>
    <w:rsid w:val="00CC79D5"/>
    <w:rsid w:val="00CC7D7B"/>
    <w:rsid w:val="00CC7D8F"/>
    <w:rsid w:val="00CD031C"/>
    <w:rsid w:val="00CD03D6"/>
    <w:rsid w:val="00CD070B"/>
    <w:rsid w:val="00CD157C"/>
    <w:rsid w:val="00CD1BF5"/>
    <w:rsid w:val="00CD1C94"/>
    <w:rsid w:val="00CD22D3"/>
    <w:rsid w:val="00CD2A1F"/>
    <w:rsid w:val="00CD2F95"/>
    <w:rsid w:val="00CD3064"/>
    <w:rsid w:val="00CD3441"/>
    <w:rsid w:val="00CD35CC"/>
    <w:rsid w:val="00CD390B"/>
    <w:rsid w:val="00CD394B"/>
    <w:rsid w:val="00CD4152"/>
    <w:rsid w:val="00CD43A3"/>
    <w:rsid w:val="00CD4483"/>
    <w:rsid w:val="00CD46ED"/>
    <w:rsid w:val="00CD477E"/>
    <w:rsid w:val="00CD4B7F"/>
    <w:rsid w:val="00CD4C41"/>
    <w:rsid w:val="00CD5348"/>
    <w:rsid w:val="00CD5355"/>
    <w:rsid w:val="00CD5CE1"/>
    <w:rsid w:val="00CD5D72"/>
    <w:rsid w:val="00CD60FA"/>
    <w:rsid w:val="00CD61A5"/>
    <w:rsid w:val="00CD628F"/>
    <w:rsid w:val="00CD62FE"/>
    <w:rsid w:val="00CD766B"/>
    <w:rsid w:val="00CD7D58"/>
    <w:rsid w:val="00CD7EB6"/>
    <w:rsid w:val="00CD7FBB"/>
    <w:rsid w:val="00CE0350"/>
    <w:rsid w:val="00CE04DE"/>
    <w:rsid w:val="00CE09A2"/>
    <w:rsid w:val="00CE0E84"/>
    <w:rsid w:val="00CE10B1"/>
    <w:rsid w:val="00CE14D6"/>
    <w:rsid w:val="00CE153D"/>
    <w:rsid w:val="00CE1D7B"/>
    <w:rsid w:val="00CE2118"/>
    <w:rsid w:val="00CE243F"/>
    <w:rsid w:val="00CE2551"/>
    <w:rsid w:val="00CE25FD"/>
    <w:rsid w:val="00CE3175"/>
    <w:rsid w:val="00CE3293"/>
    <w:rsid w:val="00CE3C6D"/>
    <w:rsid w:val="00CE3C82"/>
    <w:rsid w:val="00CE43B1"/>
    <w:rsid w:val="00CE45DB"/>
    <w:rsid w:val="00CE4964"/>
    <w:rsid w:val="00CE4BCF"/>
    <w:rsid w:val="00CE537D"/>
    <w:rsid w:val="00CE5414"/>
    <w:rsid w:val="00CE55AA"/>
    <w:rsid w:val="00CE5E44"/>
    <w:rsid w:val="00CE6540"/>
    <w:rsid w:val="00CE6D9E"/>
    <w:rsid w:val="00CE6DB4"/>
    <w:rsid w:val="00CE70AB"/>
    <w:rsid w:val="00CE7426"/>
    <w:rsid w:val="00CE794B"/>
    <w:rsid w:val="00CE7C39"/>
    <w:rsid w:val="00CF05EA"/>
    <w:rsid w:val="00CF088B"/>
    <w:rsid w:val="00CF0FB9"/>
    <w:rsid w:val="00CF21A8"/>
    <w:rsid w:val="00CF248F"/>
    <w:rsid w:val="00CF2AB7"/>
    <w:rsid w:val="00CF3394"/>
    <w:rsid w:val="00CF3522"/>
    <w:rsid w:val="00CF370F"/>
    <w:rsid w:val="00CF3F37"/>
    <w:rsid w:val="00CF4A46"/>
    <w:rsid w:val="00CF4BD8"/>
    <w:rsid w:val="00CF581A"/>
    <w:rsid w:val="00CF6248"/>
    <w:rsid w:val="00CF63D1"/>
    <w:rsid w:val="00CF74C0"/>
    <w:rsid w:val="00CF7897"/>
    <w:rsid w:val="00CF7997"/>
    <w:rsid w:val="00CF7BFA"/>
    <w:rsid w:val="00D009E0"/>
    <w:rsid w:val="00D00DD6"/>
    <w:rsid w:val="00D01230"/>
    <w:rsid w:val="00D013D9"/>
    <w:rsid w:val="00D017A2"/>
    <w:rsid w:val="00D019BF"/>
    <w:rsid w:val="00D01CAD"/>
    <w:rsid w:val="00D01E38"/>
    <w:rsid w:val="00D022BA"/>
    <w:rsid w:val="00D026AB"/>
    <w:rsid w:val="00D0283B"/>
    <w:rsid w:val="00D02ABB"/>
    <w:rsid w:val="00D03A98"/>
    <w:rsid w:val="00D03BB9"/>
    <w:rsid w:val="00D03D4D"/>
    <w:rsid w:val="00D03E69"/>
    <w:rsid w:val="00D03F6C"/>
    <w:rsid w:val="00D0415C"/>
    <w:rsid w:val="00D04983"/>
    <w:rsid w:val="00D05778"/>
    <w:rsid w:val="00D06937"/>
    <w:rsid w:val="00D070FF"/>
    <w:rsid w:val="00D075A4"/>
    <w:rsid w:val="00D07D94"/>
    <w:rsid w:val="00D10407"/>
    <w:rsid w:val="00D1058E"/>
    <w:rsid w:val="00D10AE5"/>
    <w:rsid w:val="00D11433"/>
    <w:rsid w:val="00D11542"/>
    <w:rsid w:val="00D11573"/>
    <w:rsid w:val="00D11EC5"/>
    <w:rsid w:val="00D12059"/>
    <w:rsid w:val="00D122E6"/>
    <w:rsid w:val="00D1239D"/>
    <w:rsid w:val="00D125DE"/>
    <w:rsid w:val="00D12DF5"/>
    <w:rsid w:val="00D13777"/>
    <w:rsid w:val="00D13BB6"/>
    <w:rsid w:val="00D13C2D"/>
    <w:rsid w:val="00D140A1"/>
    <w:rsid w:val="00D1459C"/>
    <w:rsid w:val="00D14E96"/>
    <w:rsid w:val="00D151F0"/>
    <w:rsid w:val="00D156B6"/>
    <w:rsid w:val="00D15F8E"/>
    <w:rsid w:val="00D1690E"/>
    <w:rsid w:val="00D172D8"/>
    <w:rsid w:val="00D173A5"/>
    <w:rsid w:val="00D173FA"/>
    <w:rsid w:val="00D178E9"/>
    <w:rsid w:val="00D17AB7"/>
    <w:rsid w:val="00D17B3F"/>
    <w:rsid w:val="00D17E74"/>
    <w:rsid w:val="00D17F1D"/>
    <w:rsid w:val="00D219D5"/>
    <w:rsid w:val="00D2203E"/>
    <w:rsid w:val="00D2231C"/>
    <w:rsid w:val="00D2254A"/>
    <w:rsid w:val="00D22704"/>
    <w:rsid w:val="00D230FC"/>
    <w:rsid w:val="00D23513"/>
    <w:rsid w:val="00D237C9"/>
    <w:rsid w:val="00D23C31"/>
    <w:rsid w:val="00D242CF"/>
    <w:rsid w:val="00D24573"/>
    <w:rsid w:val="00D245E2"/>
    <w:rsid w:val="00D24A53"/>
    <w:rsid w:val="00D24C69"/>
    <w:rsid w:val="00D25047"/>
    <w:rsid w:val="00D251CF"/>
    <w:rsid w:val="00D252B8"/>
    <w:rsid w:val="00D26621"/>
    <w:rsid w:val="00D267D6"/>
    <w:rsid w:val="00D26BEC"/>
    <w:rsid w:val="00D2729A"/>
    <w:rsid w:val="00D27506"/>
    <w:rsid w:val="00D27E6C"/>
    <w:rsid w:val="00D306E6"/>
    <w:rsid w:val="00D30F5A"/>
    <w:rsid w:val="00D3198D"/>
    <w:rsid w:val="00D31FC6"/>
    <w:rsid w:val="00D32EAB"/>
    <w:rsid w:val="00D3357B"/>
    <w:rsid w:val="00D34338"/>
    <w:rsid w:val="00D34688"/>
    <w:rsid w:val="00D35601"/>
    <w:rsid w:val="00D35F3B"/>
    <w:rsid w:val="00D36027"/>
    <w:rsid w:val="00D36337"/>
    <w:rsid w:val="00D363AA"/>
    <w:rsid w:val="00D36522"/>
    <w:rsid w:val="00D366B7"/>
    <w:rsid w:val="00D367F5"/>
    <w:rsid w:val="00D36C23"/>
    <w:rsid w:val="00D36FB2"/>
    <w:rsid w:val="00D37072"/>
    <w:rsid w:val="00D375C7"/>
    <w:rsid w:val="00D3769E"/>
    <w:rsid w:val="00D40081"/>
    <w:rsid w:val="00D407D8"/>
    <w:rsid w:val="00D40E3B"/>
    <w:rsid w:val="00D40EAF"/>
    <w:rsid w:val="00D41034"/>
    <w:rsid w:val="00D411A8"/>
    <w:rsid w:val="00D413DA"/>
    <w:rsid w:val="00D418A3"/>
    <w:rsid w:val="00D41B99"/>
    <w:rsid w:val="00D42249"/>
    <w:rsid w:val="00D4244A"/>
    <w:rsid w:val="00D42487"/>
    <w:rsid w:val="00D4341B"/>
    <w:rsid w:val="00D43539"/>
    <w:rsid w:val="00D43FBC"/>
    <w:rsid w:val="00D4432C"/>
    <w:rsid w:val="00D44522"/>
    <w:rsid w:val="00D44CC7"/>
    <w:rsid w:val="00D45865"/>
    <w:rsid w:val="00D45867"/>
    <w:rsid w:val="00D458A5"/>
    <w:rsid w:val="00D4595F"/>
    <w:rsid w:val="00D45CE3"/>
    <w:rsid w:val="00D46157"/>
    <w:rsid w:val="00D4646A"/>
    <w:rsid w:val="00D466A8"/>
    <w:rsid w:val="00D46A18"/>
    <w:rsid w:val="00D46BEF"/>
    <w:rsid w:val="00D47187"/>
    <w:rsid w:val="00D4751A"/>
    <w:rsid w:val="00D477E0"/>
    <w:rsid w:val="00D47805"/>
    <w:rsid w:val="00D47A56"/>
    <w:rsid w:val="00D47DDB"/>
    <w:rsid w:val="00D47FF2"/>
    <w:rsid w:val="00D50011"/>
    <w:rsid w:val="00D500F2"/>
    <w:rsid w:val="00D5017E"/>
    <w:rsid w:val="00D501F5"/>
    <w:rsid w:val="00D50728"/>
    <w:rsid w:val="00D508E4"/>
    <w:rsid w:val="00D50B2C"/>
    <w:rsid w:val="00D50EB3"/>
    <w:rsid w:val="00D519D2"/>
    <w:rsid w:val="00D52284"/>
    <w:rsid w:val="00D528B5"/>
    <w:rsid w:val="00D52C6F"/>
    <w:rsid w:val="00D5322C"/>
    <w:rsid w:val="00D533A1"/>
    <w:rsid w:val="00D533BF"/>
    <w:rsid w:val="00D53841"/>
    <w:rsid w:val="00D53C05"/>
    <w:rsid w:val="00D544C2"/>
    <w:rsid w:val="00D546B8"/>
    <w:rsid w:val="00D55294"/>
    <w:rsid w:val="00D567E0"/>
    <w:rsid w:val="00D56ACF"/>
    <w:rsid w:val="00D56BDE"/>
    <w:rsid w:val="00D57152"/>
    <w:rsid w:val="00D571A7"/>
    <w:rsid w:val="00D57692"/>
    <w:rsid w:val="00D576D7"/>
    <w:rsid w:val="00D57AF1"/>
    <w:rsid w:val="00D57CBB"/>
    <w:rsid w:val="00D60236"/>
    <w:rsid w:val="00D6063B"/>
    <w:rsid w:val="00D60B43"/>
    <w:rsid w:val="00D60C45"/>
    <w:rsid w:val="00D613F0"/>
    <w:rsid w:val="00D614C7"/>
    <w:rsid w:val="00D61A0C"/>
    <w:rsid w:val="00D61E9C"/>
    <w:rsid w:val="00D61F3D"/>
    <w:rsid w:val="00D61F93"/>
    <w:rsid w:val="00D623A8"/>
    <w:rsid w:val="00D62472"/>
    <w:rsid w:val="00D62545"/>
    <w:rsid w:val="00D62EEF"/>
    <w:rsid w:val="00D6312F"/>
    <w:rsid w:val="00D633BB"/>
    <w:rsid w:val="00D63A3E"/>
    <w:rsid w:val="00D63D69"/>
    <w:rsid w:val="00D640F2"/>
    <w:rsid w:val="00D64236"/>
    <w:rsid w:val="00D642AD"/>
    <w:rsid w:val="00D64A40"/>
    <w:rsid w:val="00D64BD4"/>
    <w:rsid w:val="00D64E02"/>
    <w:rsid w:val="00D654E8"/>
    <w:rsid w:val="00D654FB"/>
    <w:rsid w:val="00D65619"/>
    <w:rsid w:val="00D66229"/>
    <w:rsid w:val="00D667D9"/>
    <w:rsid w:val="00D66C42"/>
    <w:rsid w:val="00D6715C"/>
    <w:rsid w:val="00D671FA"/>
    <w:rsid w:val="00D67216"/>
    <w:rsid w:val="00D67780"/>
    <w:rsid w:val="00D701C2"/>
    <w:rsid w:val="00D7055C"/>
    <w:rsid w:val="00D709B0"/>
    <w:rsid w:val="00D71468"/>
    <w:rsid w:val="00D7160C"/>
    <w:rsid w:val="00D71741"/>
    <w:rsid w:val="00D71A0A"/>
    <w:rsid w:val="00D71A70"/>
    <w:rsid w:val="00D71C1F"/>
    <w:rsid w:val="00D71CE6"/>
    <w:rsid w:val="00D71F03"/>
    <w:rsid w:val="00D72304"/>
    <w:rsid w:val="00D7249D"/>
    <w:rsid w:val="00D727B3"/>
    <w:rsid w:val="00D73210"/>
    <w:rsid w:val="00D73AD4"/>
    <w:rsid w:val="00D73C8C"/>
    <w:rsid w:val="00D744AF"/>
    <w:rsid w:val="00D74862"/>
    <w:rsid w:val="00D75172"/>
    <w:rsid w:val="00D7555D"/>
    <w:rsid w:val="00D756D2"/>
    <w:rsid w:val="00D75879"/>
    <w:rsid w:val="00D75908"/>
    <w:rsid w:val="00D75CD0"/>
    <w:rsid w:val="00D75ECA"/>
    <w:rsid w:val="00D760B5"/>
    <w:rsid w:val="00D764EB"/>
    <w:rsid w:val="00D766A9"/>
    <w:rsid w:val="00D7731C"/>
    <w:rsid w:val="00D7733A"/>
    <w:rsid w:val="00D775CD"/>
    <w:rsid w:val="00D778F2"/>
    <w:rsid w:val="00D8005C"/>
    <w:rsid w:val="00D80539"/>
    <w:rsid w:val="00D808EE"/>
    <w:rsid w:val="00D80A72"/>
    <w:rsid w:val="00D80AF5"/>
    <w:rsid w:val="00D81003"/>
    <w:rsid w:val="00D81129"/>
    <w:rsid w:val="00D818D0"/>
    <w:rsid w:val="00D81A7D"/>
    <w:rsid w:val="00D8202C"/>
    <w:rsid w:val="00D82223"/>
    <w:rsid w:val="00D822E5"/>
    <w:rsid w:val="00D82F39"/>
    <w:rsid w:val="00D8300D"/>
    <w:rsid w:val="00D8378B"/>
    <w:rsid w:val="00D840BF"/>
    <w:rsid w:val="00D846D9"/>
    <w:rsid w:val="00D8480B"/>
    <w:rsid w:val="00D84B62"/>
    <w:rsid w:val="00D84CF1"/>
    <w:rsid w:val="00D84F1E"/>
    <w:rsid w:val="00D859E0"/>
    <w:rsid w:val="00D85CF7"/>
    <w:rsid w:val="00D863F7"/>
    <w:rsid w:val="00D87225"/>
    <w:rsid w:val="00D87307"/>
    <w:rsid w:val="00D87322"/>
    <w:rsid w:val="00D8792C"/>
    <w:rsid w:val="00D87974"/>
    <w:rsid w:val="00D87B4D"/>
    <w:rsid w:val="00D87C8F"/>
    <w:rsid w:val="00D87F7F"/>
    <w:rsid w:val="00D90235"/>
    <w:rsid w:val="00D90662"/>
    <w:rsid w:val="00D90712"/>
    <w:rsid w:val="00D9076C"/>
    <w:rsid w:val="00D90F3C"/>
    <w:rsid w:val="00D91043"/>
    <w:rsid w:val="00D911ED"/>
    <w:rsid w:val="00D91651"/>
    <w:rsid w:val="00D91686"/>
    <w:rsid w:val="00D9181C"/>
    <w:rsid w:val="00D91841"/>
    <w:rsid w:val="00D918BC"/>
    <w:rsid w:val="00D9191D"/>
    <w:rsid w:val="00D91A49"/>
    <w:rsid w:val="00D91D95"/>
    <w:rsid w:val="00D91E5A"/>
    <w:rsid w:val="00D92400"/>
    <w:rsid w:val="00D92454"/>
    <w:rsid w:val="00D9270B"/>
    <w:rsid w:val="00D927AB"/>
    <w:rsid w:val="00D93CB6"/>
    <w:rsid w:val="00D94506"/>
    <w:rsid w:val="00D947E8"/>
    <w:rsid w:val="00D94C19"/>
    <w:rsid w:val="00D94FA6"/>
    <w:rsid w:val="00D950AF"/>
    <w:rsid w:val="00D95DD1"/>
    <w:rsid w:val="00D96A20"/>
    <w:rsid w:val="00D96D76"/>
    <w:rsid w:val="00D97020"/>
    <w:rsid w:val="00D9744D"/>
    <w:rsid w:val="00DA10C4"/>
    <w:rsid w:val="00DA123A"/>
    <w:rsid w:val="00DA2813"/>
    <w:rsid w:val="00DA2C32"/>
    <w:rsid w:val="00DA2DF2"/>
    <w:rsid w:val="00DA31ED"/>
    <w:rsid w:val="00DA36B3"/>
    <w:rsid w:val="00DA467B"/>
    <w:rsid w:val="00DA4DDB"/>
    <w:rsid w:val="00DA53B9"/>
    <w:rsid w:val="00DA64C9"/>
    <w:rsid w:val="00DA6B67"/>
    <w:rsid w:val="00DA7371"/>
    <w:rsid w:val="00DA74CE"/>
    <w:rsid w:val="00DA7705"/>
    <w:rsid w:val="00DA7878"/>
    <w:rsid w:val="00DA7D78"/>
    <w:rsid w:val="00DA7F35"/>
    <w:rsid w:val="00DB005E"/>
    <w:rsid w:val="00DB0592"/>
    <w:rsid w:val="00DB0B44"/>
    <w:rsid w:val="00DB17F3"/>
    <w:rsid w:val="00DB1D21"/>
    <w:rsid w:val="00DB1FA4"/>
    <w:rsid w:val="00DB2A05"/>
    <w:rsid w:val="00DB2C57"/>
    <w:rsid w:val="00DB2DF8"/>
    <w:rsid w:val="00DB3023"/>
    <w:rsid w:val="00DB3562"/>
    <w:rsid w:val="00DB3613"/>
    <w:rsid w:val="00DB3DB1"/>
    <w:rsid w:val="00DB3E6A"/>
    <w:rsid w:val="00DB3FDB"/>
    <w:rsid w:val="00DB4274"/>
    <w:rsid w:val="00DB4D86"/>
    <w:rsid w:val="00DB514B"/>
    <w:rsid w:val="00DB5712"/>
    <w:rsid w:val="00DB5C0E"/>
    <w:rsid w:val="00DB5E0E"/>
    <w:rsid w:val="00DB6379"/>
    <w:rsid w:val="00DB64AA"/>
    <w:rsid w:val="00DB657F"/>
    <w:rsid w:val="00DB65C2"/>
    <w:rsid w:val="00DB66CE"/>
    <w:rsid w:val="00DB6952"/>
    <w:rsid w:val="00DB70EE"/>
    <w:rsid w:val="00DB7503"/>
    <w:rsid w:val="00DB75A4"/>
    <w:rsid w:val="00DB7827"/>
    <w:rsid w:val="00DB7BF9"/>
    <w:rsid w:val="00DC00C7"/>
    <w:rsid w:val="00DC023B"/>
    <w:rsid w:val="00DC0554"/>
    <w:rsid w:val="00DC07EC"/>
    <w:rsid w:val="00DC07F1"/>
    <w:rsid w:val="00DC0AEF"/>
    <w:rsid w:val="00DC128B"/>
    <w:rsid w:val="00DC1828"/>
    <w:rsid w:val="00DC1A6F"/>
    <w:rsid w:val="00DC2DC5"/>
    <w:rsid w:val="00DC2E98"/>
    <w:rsid w:val="00DC30EA"/>
    <w:rsid w:val="00DC33EC"/>
    <w:rsid w:val="00DC3F9B"/>
    <w:rsid w:val="00DC4D22"/>
    <w:rsid w:val="00DC5B2D"/>
    <w:rsid w:val="00DC6491"/>
    <w:rsid w:val="00DC6E16"/>
    <w:rsid w:val="00DC7045"/>
    <w:rsid w:val="00DC70CD"/>
    <w:rsid w:val="00DC7601"/>
    <w:rsid w:val="00DC7E6F"/>
    <w:rsid w:val="00DD00EA"/>
    <w:rsid w:val="00DD1635"/>
    <w:rsid w:val="00DD1BD3"/>
    <w:rsid w:val="00DD1EFE"/>
    <w:rsid w:val="00DD20DE"/>
    <w:rsid w:val="00DD2E4E"/>
    <w:rsid w:val="00DD36AA"/>
    <w:rsid w:val="00DD3B6A"/>
    <w:rsid w:val="00DD405B"/>
    <w:rsid w:val="00DD45BB"/>
    <w:rsid w:val="00DD4974"/>
    <w:rsid w:val="00DD4991"/>
    <w:rsid w:val="00DD553E"/>
    <w:rsid w:val="00DD564B"/>
    <w:rsid w:val="00DD638A"/>
    <w:rsid w:val="00DD64A2"/>
    <w:rsid w:val="00DD64CB"/>
    <w:rsid w:val="00DD6531"/>
    <w:rsid w:val="00DD671F"/>
    <w:rsid w:val="00DD6801"/>
    <w:rsid w:val="00DD6925"/>
    <w:rsid w:val="00DD6E0E"/>
    <w:rsid w:val="00DD6F13"/>
    <w:rsid w:val="00DD7BF9"/>
    <w:rsid w:val="00DD7C13"/>
    <w:rsid w:val="00DD7C7A"/>
    <w:rsid w:val="00DE037E"/>
    <w:rsid w:val="00DE0759"/>
    <w:rsid w:val="00DE0DFB"/>
    <w:rsid w:val="00DE1550"/>
    <w:rsid w:val="00DE176E"/>
    <w:rsid w:val="00DE1EC9"/>
    <w:rsid w:val="00DE23F2"/>
    <w:rsid w:val="00DE24B0"/>
    <w:rsid w:val="00DE28B1"/>
    <w:rsid w:val="00DE38AA"/>
    <w:rsid w:val="00DE4CB8"/>
    <w:rsid w:val="00DE5A1E"/>
    <w:rsid w:val="00DE5EEE"/>
    <w:rsid w:val="00DE6721"/>
    <w:rsid w:val="00DE6912"/>
    <w:rsid w:val="00DE6F95"/>
    <w:rsid w:val="00DE7140"/>
    <w:rsid w:val="00DE7355"/>
    <w:rsid w:val="00DE77E7"/>
    <w:rsid w:val="00DE7E8B"/>
    <w:rsid w:val="00DF0365"/>
    <w:rsid w:val="00DF04A6"/>
    <w:rsid w:val="00DF0745"/>
    <w:rsid w:val="00DF0790"/>
    <w:rsid w:val="00DF0DF8"/>
    <w:rsid w:val="00DF1011"/>
    <w:rsid w:val="00DF15B6"/>
    <w:rsid w:val="00DF15EC"/>
    <w:rsid w:val="00DF1806"/>
    <w:rsid w:val="00DF1C2D"/>
    <w:rsid w:val="00DF1F17"/>
    <w:rsid w:val="00DF1F85"/>
    <w:rsid w:val="00DF20CE"/>
    <w:rsid w:val="00DF20EA"/>
    <w:rsid w:val="00DF2425"/>
    <w:rsid w:val="00DF2974"/>
    <w:rsid w:val="00DF297F"/>
    <w:rsid w:val="00DF3422"/>
    <w:rsid w:val="00DF3E3B"/>
    <w:rsid w:val="00DF45FF"/>
    <w:rsid w:val="00DF4AC7"/>
    <w:rsid w:val="00DF4CEB"/>
    <w:rsid w:val="00DF52F8"/>
    <w:rsid w:val="00DF73CF"/>
    <w:rsid w:val="00DF79A3"/>
    <w:rsid w:val="00DF7C8C"/>
    <w:rsid w:val="00E00282"/>
    <w:rsid w:val="00E0043E"/>
    <w:rsid w:val="00E00A75"/>
    <w:rsid w:val="00E00C22"/>
    <w:rsid w:val="00E0156F"/>
    <w:rsid w:val="00E019C8"/>
    <w:rsid w:val="00E01C97"/>
    <w:rsid w:val="00E01CF0"/>
    <w:rsid w:val="00E027C2"/>
    <w:rsid w:val="00E02F4E"/>
    <w:rsid w:val="00E031F0"/>
    <w:rsid w:val="00E0320F"/>
    <w:rsid w:val="00E04064"/>
    <w:rsid w:val="00E045EF"/>
    <w:rsid w:val="00E04E2B"/>
    <w:rsid w:val="00E0514D"/>
    <w:rsid w:val="00E052C4"/>
    <w:rsid w:val="00E05CBA"/>
    <w:rsid w:val="00E06166"/>
    <w:rsid w:val="00E0621A"/>
    <w:rsid w:val="00E06561"/>
    <w:rsid w:val="00E06583"/>
    <w:rsid w:val="00E06C17"/>
    <w:rsid w:val="00E07228"/>
    <w:rsid w:val="00E0766D"/>
    <w:rsid w:val="00E10090"/>
    <w:rsid w:val="00E102DD"/>
    <w:rsid w:val="00E10331"/>
    <w:rsid w:val="00E10935"/>
    <w:rsid w:val="00E10B43"/>
    <w:rsid w:val="00E10C1D"/>
    <w:rsid w:val="00E10D76"/>
    <w:rsid w:val="00E11A6C"/>
    <w:rsid w:val="00E11AE0"/>
    <w:rsid w:val="00E12585"/>
    <w:rsid w:val="00E12613"/>
    <w:rsid w:val="00E126E5"/>
    <w:rsid w:val="00E13C3D"/>
    <w:rsid w:val="00E13CC6"/>
    <w:rsid w:val="00E1421F"/>
    <w:rsid w:val="00E1436D"/>
    <w:rsid w:val="00E14415"/>
    <w:rsid w:val="00E1449F"/>
    <w:rsid w:val="00E14A2C"/>
    <w:rsid w:val="00E14C3C"/>
    <w:rsid w:val="00E15157"/>
    <w:rsid w:val="00E15484"/>
    <w:rsid w:val="00E15680"/>
    <w:rsid w:val="00E15BCB"/>
    <w:rsid w:val="00E1644C"/>
    <w:rsid w:val="00E16730"/>
    <w:rsid w:val="00E16852"/>
    <w:rsid w:val="00E168FA"/>
    <w:rsid w:val="00E16DB7"/>
    <w:rsid w:val="00E177F1"/>
    <w:rsid w:val="00E17D33"/>
    <w:rsid w:val="00E202FC"/>
    <w:rsid w:val="00E203ED"/>
    <w:rsid w:val="00E20CD7"/>
    <w:rsid w:val="00E20D09"/>
    <w:rsid w:val="00E2106E"/>
    <w:rsid w:val="00E21495"/>
    <w:rsid w:val="00E21AD7"/>
    <w:rsid w:val="00E22183"/>
    <w:rsid w:val="00E22D0F"/>
    <w:rsid w:val="00E23557"/>
    <w:rsid w:val="00E23D4C"/>
    <w:rsid w:val="00E23E7D"/>
    <w:rsid w:val="00E24B81"/>
    <w:rsid w:val="00E24C2A"/>
    <w:rsid w:val="00E24F41"/>
    <w:rsid w:val="00E24FFE"/>
    <w:rsid w:val="00E251C3"/>
    <w:rsid w:val="00E252E5"/>
    <w:rsid w:val="00E25EB1"/>
    <w:rsid w:val="00E2604C"/>
    <w:rsid w:val="00E260B0"/>
    <w:rsid w:val="00E26382"/>
    <w:rsid w:val="00E264C0"/>
    <w:rsid w:val="00E264F9"/>
    <w:rsid w:val="00E267AA"/>
    <w:rsid w:val="00E26870"/>
    <w:rsid w:val="00E273E5"/>
    <w:rsid w:val="00E278E8"/>
    <w:rsid w:val="00E27FB8"/>
    <w:rsid w:val="00E30064"/>
    <w:rsid w:val="00E301E4"/>
    <w:rsid w:val="00E3078A"/>
    <w:rsid w:val="00E31099"/>
    <w:rsid w:val="00E31801"/>
    <w:rsid w:val="00E319E0"/>
    <w:rsid w:val="00E32209"/>
    <w:rsid w:val="00E3275C"/>
    <w:rsid w:val="00E327B1"/>
    <w:rsid w:val="00E327B9"/>
    <w:rsid w:val="00E32A5A"/>
    <w:rsid w:val="00E32A5E"/>
    <w:rsid w:val="00E32E66"/>
    <w:rsid w:val="00E3307A"/>
    <w:rsid w:val="00E331E4"/>
    <w:rsid w:val="00E3328F"/>
    <w:rsid w:val="00E336AB"/>
    <w:rsid w:val="00E33C15"/>
    <w:rsid w:val="00E3413D"/>
    <w:rsid w:val="00E34633"/>
    <w:rsid w:val="00E3470A"/>
    <w:rsid w:val="00E34C64"/>
    <w:rsid w:val="00E34CED"/>
    <w:rsid w:val="00E35CBE"/>
    <w:rsid w:val="00E35DC5"/>
    <w:rsid w:val="00E36239"/>
    <w:rsid w:val="00E36C10"/>
    <w:rsid w:val="00E36EB8"/>
    <w:rsid w:val="00E374E2"/>
    <w:rsid w:val="00E37695"/>
    <w:rsid w:val="00E37830"/>
    <w:rsid w:val="00E378D8"/>
    <w:rsid w:val="00E37F55"/>
    <w:rsid w:val="00E40453"/>
    <w:rsid w:val="00E4059C"/>
    <w:rsid w:val="00E405F0"/>
    <w:rsid w:val="00E40680"/>
    <w:rsid w:val="00E40C1A"/>
    <w:rsid w:val="00E40DE8"/>
    <w:rsid w:val="00E41014"/>
    <w:rsid w:val="00E41601"/>
    <w:rsid w:val="00E421F2"/>
    <w:rsid w:val="00E428CB"/>
    <w:rsid w:val="00E4423D"/>
    <w:rsid w:val="00E44378"/>
    <w:rsid w:val="00E449C3"/>
    <w:rsid w:val="00E45020"/>
    <w:rsid w:val="00E450D8"/>
    <w:rsid w:val="00E4528A"/>
    <w:rsid w:val="00E45835"/>
    <w:rsid w:val="00E4591D"/>
    <w:rsid w:val="00E45C08"/>
    <w:rsid w:val="00E464DF"/>
    <w:rsid w:val="00E46502"/>
    <w:rsid w:val="00E46F6A"/>
    <w:rsid w:val="00E471E6"/>
    <w:rsid w:val="00E473AE"/>
    <w:rsid w:val="00E476E0"/>
    <w:rsid w:val="00E47DDE"/>
    <w:rsid w:val="00E50124"/>
    <w:rsid w:val="00E5134D"/>
    <w:rsid w:val="00E519D8"/>
    <w:rsid w:val="00E51DD3"/>
    <w:rsid w:val="00E5209E"/>
    <w:rsid w:val="00E5241D"/>
    <w:rsid w:val="00E5271E"/>
    <w:rsid w:val="00E52BC4"/>
    <w:rsid w:val="00E53315"/>
    <w:rsid w:val="00E5334A"/>
    <w:rsid w:val="00E53532"/>
    <w:rsid w:val="00E536C6"/>
    <w:rsid w:val="00E53B8E"/>
    <w:rsid w:val="00E53BBA"/>
    <w:rsid w:val="00E542AA"/>
    <w:rsid w:val="00E543EE"/>
    <w:rsid w:val="00E548D1"/>
    <w:rsid w:val="00E54D9C"/>
    <w:rsid w:val="00E54DFF"/>
    <w:rsid w:val="00E54E59"/>
    <w:rsid w:val="00E55B02"/>
    <w:rsid w:val="00E55EA3"/>
    <w:rsid w:val="00E55FAC"/>
    <w:rsid w:val="00E56130"/>
    <w:rsid w:val="00E563F0"/>
    <w:rsid w:val="00E56574"/>
    <w:rsid w:val="00E565B4"/>
    <w:rsid w:val="00E56D19"/>
    <w:rsid w:val="00E57012"/>
    <w:rsid w:val="00E5737A"/>
    <w:rsid w:val="00E57481"/>
    <w:rsid w:val="00E57704"/>
    <w:rsid w:val="00E5776E"/>
    <w:rsid w:val="00E57954"/>
    <w:rsid w:val="00E57AA2"/>
    <w:rsid w:val="00E57C07"/>
    <w:rsid w:val="00E57D82"/>
    <w:rsid w:val="00E57EE7"/>
    <w:rsid w:val="00E604CA"/>
    <w:rsid w:val="00E60D04"/>
    <w:rsid w:val="00E612CC"/>
    <w:rsid w:val="00E617FF"/>
    <w:rsid w:val="00E62268"/>
    <w:rsid w:val="00E6294C"/>
    <w:rsid w:val="00E62B0B"/>
    <w:rsid w:val="00E63504"/>
    <w:rsid w:val="00E635B9"/>
    <w:rsid w:val="00E638BA"/>
    <w:rsid w:val="00E6426E"/>
    <w:rsid w:val="00E64509"/>
    <w:rsid w:val="00E646E7"/>
    <w:rsid w:val="00E649FC"/>
    <w:rsid w:val="00E64AAF"/>
    <w:rsid w:val="00E64B6D"/>
    <w:rsid w:val="00E64EDF"/>
    <w:rsid w:val="00E65903"/>
    <w:rsid w:val="00E65958"/>
    <w:rsid w:val="00E65DDD"/>
    <w:rsid w:val="00E65EFB"/>
    <w:rsid w:val="00E6668F"/>
    <w:rsid w:val="00E666DD"/>
    <w:rsid w:val="00E66856"/>
    <w:rsid w:val="00E66B4A"/>
    <w:rsid w:val="00E670C5"/>
    <w:rsid w:val="00E671F0"/>
    <w:rsid w:val="00E67B43"/>
    <w:rsid w:val="00E70402"/>
    <w:rsid w:val="00E707EA"/>
    <w:rsid w:val="00E7123B"/>
    <w:rsid w:val="00E712EA"/>
    <w:rsid w:val="00E71813"/>
    <w:rsid w:val="00E722A5"/>
    <w:rsid w:val="00E72478"/>
    <w:rsid w:val="00E726BE"/>
    <w:rsid w:val="00E7292C"/>
    <w:rsid w:val="00E72DBA"/>
    <w:rsid w:val="00E73482"/>
    <w:rsid w:val="00E73537"/>
    <w:rsid w:val="00E740DA"/>
    <w:rsid w:val="00E7455D"/>
    <w:rsid w:val="00E745C0"/>
    <w:rsid w:val="00E747EA"/>
    <w:rsid w:val="00E747EE"/>
    <w:rsid w:val="00E74802"/>
    <w:rsid w:val="00E74B06"/>
    <w:rsid w:val="00E74D9F"/>
    <w:rsid w:val="00E74FA2"/>
    <w:rsid w:val="00E74FCB"/>
    <w:rsid w:val="00E75AAC"/>
    <w:rsid w:val="00E75D1F"/>
    <w:rsid w:val="00E76345"/>
    <w:rsid w:val="00E76625"/>
    <w:rsid w:val="00E76C41"/>
    <w:rsid w:val="00E76F7A"/>
    <w:rsid w:val="00E775FB"/>
    <w:rsid w:val="00E77687"/>
    <w:rsid w:val="00E776F4"/>
    <w:rsid w:val="00E77DAA"/>
    <w:rsid w:val="00E80094"/>
    <w:rsid w:val="00E804A3"/>
    <w:rsid w:val="00E80681"/>
    <w:rsid w:val="00E8086C"/>
    <w:rsid w:val="00E80B98"/>
    <w:rsid w:val="00E813F4"/>
    <w:rsid w:val="00E819A8"/>
    <w:rsid w:val="00E819BE"/>
    <w:rsid w:val="00E81A7F"/>
    <w:rsid w:val="00E826D1"/>
    <w:rsid w:val="00E82815"/>
    <w:rsid w:val="00E828CB"/>
    <w:rsid w:val="00E83A5E"/>
    <w:rsid w:val="00E83AFD"/>
    <w:rsid w:val="00E844C3"/>
    <w:rsid w:val="00E845F8"/>
    <w:rsid w:val="00E846DB"/>
    <w:rsid w:val="00E85157"/>
    <w:rsid w:val="00E8521F"/>
    <w:rsid w:val="00E863AA"/>
    <w:rsid w:val="00E86555"/>
    <w:rsid w:val="00E86608"/>
    <w:rsid w:val="00E8695C"/>
    <w:rsid w:val="00E86FEA"/>
    <w:rsid w:val="00E87559"/>
    <w:rsid w:val="00E87A01"/>
    <w:rsid w:val="00E87DDD"/>
    <w:rsid w:val="00E9006C"/>
    <w:rsid w:val="00E9023B"/>
    <w:rsid w:val="00E9047A"/>
    <w:rsid w:val="00E90609"/>
    <w:rsid w:val="00E90B5E"/>
    <w:rsid w:val="00E90C89"/>
    <w:rsid w:val="00E913B3"/>
    <w:rsid w:val="00E918B7"/>
    <w:rsid w:val="00E92565"/>
    <w:rsid w:val="00E925EA"/>
    <w:rsid w:val="00E9260C"/>
    <w:rsid w:val="00E9266C"/>
    <w:rsid w:val="00E932D1"/>
    <w:rsid w:val="00E93C7E"/>
    <w:rsid w:val="00E93EB9"/>
    <w:rsid w:val="00E94084"/>
    <w:rsid w:val="00E94113"/>
    <w:rsid w:val="00E94DAA"/>
    <w:rsid w:val="00E9526E"/>
    <w:rsid w:val="00E96468"/>
    <w:rsid w:val="00E96AEB"/>
    <w:rsid w:val="00E96F68"/>
    <w:rsid w:val="00E970D7"/>
    <w:rsid w:val="00E972EE"/>
    <w:rsid w:val="00E97779"/>
    <w:rsid w:val="00E978CC"/>
    <w:rsid w:val="00E97B84"/>
    <w:rsid w:val="00E97F38"/>
    <w:rsid w:val="00EA0289"/>
    <w:rsid w:val="00EA08EC"/>
    <w:rsid w:val="00EA0FCE"/>
    <w:rsid w:val="00EA18A8"/>
    <w:rsid w:val="00EA1FE5"/>
    <w:rsid w:val="00EA2142"/>
    <w:rsid w:val="00EA2D29"/>
    <w:rsid w:val="00EA3749"/>
    <w:rsid w:val="00EA3CF5"/>
    <w:rsid w:val="00EA3D21"/>
    <w:rsid w:val="00EA48C9"/>
    <w:rsid w:val="00EA4BB6"/>
    <w:rsid w:val="00EA538B"/>
    <w:rsid w:val="00EA59B0"/>
    <w:rsid w:val="00EA6094"/>
    <w:rsid w:val="00EA6224"/>
    <w:rsid w:val="00EA69A5"/>
    <w:rsid w:val="00EA6D93"/>
    <w:rsid w:val="00EA70F7"/>
    <w:rsid w:val="00EA7446"/>
    <w:rsid w:val="00EB004D"/>
    <w:rsid w:val="00EB0146"/>
    <w:rsid w:val="00EB02C1"/>
    <w:rsid w:val="00EB0322"/>
    <w:rsid w:val="00EB05F5"/>
    <w:rsid w:val="00EB0ACA"/>
    <w:rsid w:val="00EB126D"/>
    <w:rsid w:val="00EB153B"/>
    <w:rsid w:val="00EB159C"/>
    <w:rsid w:val="00EB17F3"/>
    <w:rsid w:val="00EB1BE8"/>
    <w:rsid w:val="00EB292B"/>
    <w:rsid w:val="00EB2D5C"/>
    <w:rsid w:val="00EB3802"/>
    <w:rsid w:val="00EB3EAF"/>
    <w:rsid w:val="00EB46FA"/>
    <w:rsid w:val="00EB48F6"/>
    <w:rsid w:val="00EB4BEB"/>
    <w:rsid w:val="00EB4D75"/>
    <w:rsid w:val="00EB5287"/>
    <w:rsid w:val="00EB6405"/>
    <w:rsid w:val="00EB6587"/>
    <w:rsid w:val="00EB66AC"/>
    <w:rsid w:val="00EB69B4"/>
    <w:rsid w:val="00EB6A0D"/>
    <w:rsid w:val="00EB7059"/>
    <w:rsid w:val="00EB75D2"/>
    <w:rsid w:val="00EB7932"/>
    <w:rsid w:val="00EB7E38"/>
    <w:rsid w:val="00EC0214"/>
    <w:rsid w:val="00EC05BA"/>
    <w:rsid w:val="00EC0B35"/>
    <w:rsid w:val="00EC0BAA"/>
    <w:rsid w:val="00EC0D64"/>
    <w:rsid w:val="00EC104C"/>
    <w:rsid w:val="00EC178C"/>
    <w:rsid w:val="00EC17E3"/>
    <w:rsid w:val="00EC1A16"/>
    <w:rsid w:val="00EC1D75"/>
    <w:rsid w:val="00EC20DA"/>
    <w:rsid w:val="00EC2127"/>
    <w:rsid w:val="00EC238B"/>
    <w:rsid w:val="00EC3117"/>
    <w:rsid w:val="00EC3329"/>
    <w:rsid w:val="00EC3C44"/>
    <w:rsid w:val="00EC478C"/>
    <w:rsid w:val="00EC517B"/>
    <w:rsid w:val="00EC5B0D"/>
    <w:rsid w:val="00EC5BB4"/>
    <w:rsid w:val="00EC6364"/>
    <w:rsid w:val="00EC7114"/>
    <w:rsid w:val="00EC7D15"/>
    <w:rsid w:val="00EC7DAA"/>
    <w:rsid w:val="00EC7DB0"/>
    <w:rsid w:val="00EC7EDB"/>
    <w:rsid w:val="00ED024A"/>
    <w:rsid w:val="00ED12B0"/>
    <w:rsid w:val="00ED1D36"/>
    <w:rsid w:val="00ED1F83"/>
    <w:rsid w:val="00ED213F"/>
    <w:rsid w:val="00ED2540"/>
    <w:rsid w:val="00ED2B9A"/>
    <w:rsid w:val="00ED2DB8"/>
    <w:rsid w:val="00ED379B"/>
    <w:rsid w:val="00ED3A92"/>
    <w:rsid w:val="00ED4060"/>
    <w:rsid w:val="00ED45E3"/>
    <w:rsid w:val="00ED4783"/>
    <w:rsid w:val="00ED49B3"/>
    <w:rsid w:val="00ED51DE"/>
    <w:rsid w:val="00ED52CD"/>
    <w:rsid w:val="00ED539C"/>
    <w:rsid w:val="00ED53CB"/>
    <w:rsid w:val="00ED5447"/>
    <w:rsid w:val="00ED54B4"/>
    <w:rsid w:val="00ED5993"/>
    <w:rsid w:val="00ED5A24"/>
    <w:rsid w:val="00ED6222"/>
    <w:rsid w:val="00ED689C"/>
    <w:rsid w:val="00ED6D5F"/>
    <w:rsid w:val="00ED6F3C"/>
    <w:rsid w:val="00ED74B3"/>
    <w:rsid w:val="00ED74C3"/>
    <w:rsid w:val="00ED79B4"/>
    <w:rsid w:val="00ED7E44"/>
    <w:rsid w:val="00EE0456"/>
    <w:rsid w:val="00EE08CA"/>
    <w:rsid w:val="00EE0A57"/>
    <w:rsid w:val="00EE0C9C"/>
    <w:rsid w:val="00EE1B4A"/>
    <w:rsid w:val="00EE1C17"/>
    <w:rsid w:val="00EE1D56"/>
    <w:rsid w:val="00EE1F84"/>
    <w:rsid w:val="00EE20B1"/>
    <w:rsid w:val="00EE235A"/>
    <w:rsid w:val="00EE294E"/>
    <w:rsid w:val="00EE35B8"/>
    <w:rsid w:val="00EE3632"/>
    <w:rsid w:val="00EE3EC0"/>
    <w:rsid w:val="00EE427C"/>
    <w:rsid w:val="00EE4392"/>
    <w:rsid w:val="00EE43C1"/>
    <w:rsid w:val="00EE4B3F"/>
    <w:rsid w:val="00EE4DCC"/>
    <w:rsid w:val="00EE5425"/>
    <w:rsid w:val="00EE559E"/>
    <w:rsid w:val="00EE5BB3"/>
    <w:rsid w:val="00EE620B"/>
    <w:rsid w:val="00EE6D82"/>
    <w:rsid w:val="00EE715D"/>
    <w:rsid w:val="00EE7273"/>
    <w:rsid w:val="00EE74FC"/>
    <w:rsid w:val="00EE7916"/>
    <w:rsid w:val="00EE793A"/>
    <w:rsid w:val="00EE7A69"/>
    <w:rsid w:val="00EE7C99"/>
    <w:rsid w:val="00EF0A64"/>
    <w:rsid w:val="00EF132F"/>
    <w:rsid w:val="00EF1392"/>
    <w:rsid w:val="00EF150A"/>
    <w:rsid w:val="00EF18AD"/>
    <w:rsid w:val="00EF19D9"/>
    <w:rsid w:val="00EF2467"/>
    <w:rsid w:val="00EF4844"/>
    <w:rsid w:val="00EF4853"/>
    <w:rsid w:val="00EF4A5A"/>
    <w:rsid w:val="00EF4E5E"/>
    <w:rsid w:val="00EF5112"/>
    <w:rsid w:val="00EF5132"/>
    <w:rsid w:val="00EF5667"/>
    <w:rsid w:val="00EF5D5A"/>
    <w:rsid w:val="00EF5D5C"/>
    <w:rsid w:val="00EF63BB"/>
    <w:rsid w:val="00EF6662"/>
    <w:rsid w:val="00EF6786"/>
    <w:rsid w:val="00EF6D04"/>
    <w:rsid w:val="00EF6D93"/>
    <w:rsid w:val="00EF6EEB"/>
    <w:rsid w:val="00EF760F"/>
    <w:rsid w:val="00EF7671"/>
    <w:rsid w:val="00EF77F0"/>
    <w:rsid w:val="00EF7E34"/>
    <w:rsid w:val="00F00002"/>
    <w:rsid w:val="00F001EC"/>
    <w:rsid w:val="00F003C1"/>
    <w:rsid w:val="00F00918"/>
    <w:rsid w:val="00F009C1"/>
    <w:rsid w:val="00F00EA8"/>
    <w:rsid w:val="00F01186"/>
    <w:rsid w:val="00F011DB"/>
    <w:rsid w:val="00F01A4D"/>
    <w:rsid w:val="00F01EB1"/>
    <w:rsid w:val="00F021AC"/>
    <w:rsid w:val="00F0223F"/>
    <w:rsid w:val="00F029BC"/>
    <w:rsid w:val="00F02BBD"/>
    <w:rsid w:val="00F02C66"/>
    <w:rsid w:val="00F02F44"/>
    <w:rsid w:val="00F0307D"/>
    <w:rsid w:val="00F031F5"/>
    <w:rsid w:val="00F036A3"/>
    <w:rsid w:val="00F0373C"/>
    <w:rsid w:val="00F03B42"/>
    <w:rsid w:val="00F04921"/>
    <w:rsid w:val="00F04E78"/>
    <w:rsid w:val="00F04FEF"/>
    <w:rsid w:val="00F05361"/>
    <w:rsid w:val="00F05D9F"/>
    <w:rsid w:val="00F0636F"/>
    <w:rsid w:val="00F06854"/>
    <w:rsid w:val="00F07604"/>
    <w:rsid w:val="00F07613"/>
    <w:rsid w:val="00F0767F"/>
    <w:rsid w:val="00F0785A"/>
    <w:rsid w:val="00F078EC"/>
    <w:rsid w:val="00F07B9B"/>
    <w:rsid w:val="00F07C18"/>
    <w:rsid w:val="00F11356"/>
    <w:rsid w:val="00F116D0"/>
    <w:rsid w:val="00F11778"/>
    <w:rsid w:val="00F121D1"/>
    <w:rsid w:val="00F12629"/>
    <w:rsid w:val="00F12B69"/>
    <w:rsid w:val="00F1308B"/>
    <w:rsid w:val="00F134C6"/>
    <w:rsid w:val="00F1354C"/>
    <w:rsid w:val="00F143DE"/>
    <w:rsid w:val="00F1440B"/>
    <w:rsid w:val="00F14777"/>
    <w:rsid w:val="00F147E6"/>
    <w:rsid w:val="00F14FD5"/>
    <w:rsid w:val="00F152D3"/>
    <w:rsid w:val="00F15440"/>
    <w:rsid w:val="00F15E67"/>
    <w:rsid w:val="00F15EFD"/>
    <w:rsid w:val="00F15EFE"/>
    <w:rsid w:val="00F164DE"/>
    <w:rsid w:val="00F16634"/>
    <w:rsid w:val="00F16853"/>
    <w:rsid w:val="00F171F9"/>
    <w:rsid w:val="00F1730F"/>
    <w:rsid w:val="00F178D2"/>
    <w:rsid w:val="00F17A79"/>
    <w:rsid w:val="00F17C66"/>
    <w:rsid w:val="00F202DD"/>
    <w:rsid w:val="00F209F8"/>
    <w:rsid w:val="00F20C34"/>
    <w:rsid w:val="00F2147E"/>
    <w:rsid w:val="00F21609"/>
    <w:rsid w:val="00F21A45"/>
    <w:rsid w:val="00F21B53"/>
    <w:rsid w:val="00F21EB0"/>
    <w:rsid w:val="00F2201B"/>
    <w:rsid w:val="00F22343"/>
    <w:rsid w:val="00F22404"/>
    <w:rsid w:val="00F226B6"/>
    <w:rsid w:val="00F22D6E"/>
    <w:rsid w:val="00F236D5"/>
    <w:rsid w:val="00F238EF"/>
    <w:rsid w:val="00F23EBE"/>
    <w:rsid w:val="00F248C7"/>
    <w:rsid w:val="00F24B8E"/>
    <w:rsid w:val="00F24D6A"/>
    <w:rsid w:val="00F24FFD"/>
    <w:rsid w:val="00F2574A"/>
    <w:rsid w:val="00F25763"/>
    <w:rsid w:val="00F2594A"/>
    <w:rsid w:val="00F25CA3"/>
    <w:rsid w:val="00F25F64"/>
    <w:rsid w:val="00F25FC7"/>
    <w:rsid w:val="00F2630A"/>
    <w:rsid w:val="00F263AD"/>
    <w:rsid w:val="00F264B8"/>
    <w:rsid w:val="00F26A5A"/>
    <w:rsid w:val="00F26D06"/>
    <w:rsid w:val="00F26D38"/>
    <w:rsid w:val="00F26E72"/>
    <w:rsid w:val="00F27536"/>
    <w:rsid w:val="00F27B76"/>
    <w:rsid w:val="00F3040E"/>
    <w:rsid w:val="00F304A8"/>
    <w:rsid w:val="00F309CA"/>
    <w:rsid w:val="00F30B91"/>
    <w:rsid w:val="00F30F5D"/>
    <w:rsid w:val="00F31206"/>
    <w:rsid w:val="00F31532"/>
    <w:rsid w:val="00F3173A"/>
    <w:rsid w:val="00F31861"/>
    <w:rsid w:val="00F32088"/>
    <w:rsid w:val="00F32913"/>
    <w:rsid w:val="00F32A66"/>
    <w:rsid w:val="00F3324D"/>
    <w:rsid w:val="00F34210"/>
    <w:rsid w:val="00F34F66"/>
    <w:rsid w:val="00F350C6"/>
    <w:rsid w:val="00F351F7"/>
    <w:rsid w:val="00F3525E"/>
    <w:rsid w:val="00F35885"/>
    <w:rsid w:val="00F36019"/>
    <w:rsid w:val="00F36605"/>
    <w:rsid w:val="00F366FB"/>
    <w:rsid w:val="00F36C9F"/>
    <w:rsid w:val="00F375F4"/>
    <w:rsid w:val="00F378A6"/>
    <w:rsid w:val="00F3796D"/>
    <w:rsid w:val="00F40202"/>
    <w:rsid w:val="00F40BE9"/>
    <w:rsid w:val="00F40ED3"/>
    <w:rsid w:val="00F411C1"/>
    <w:rsid w:val="00F4123C"/>
    <w:rsid w:val="00F4131E"/>
    <w:rsid w:val="00F4135A"/>
    <w:rsid w:val="00F42164"/>
    <w:rsid w:val="00F42AC0"/>
    <w:rsid w:val="00F43A56"/>
    <w:rsid w:val="00F43DD0"/>
    <w:rsid w:val="00F44203"/>
    <w:rsid w:val="00F445FF"/>
    <w:rsid w:val="00F4463B"/>
    <w:rsid w:val="00F44AF1"/>
    <w:rsid w:val="00F451D4"/>
    <w:rsid w:val="00F4541A"/>
    <w:rsid w:val="00F45AE2"/>
    <w:rsid w:val="00F45BD4"/>
    <w:rsid w:val="00F45EDF"/>
    <w:rsid w:val="00F46184"/>
    <w:rsid w:val="00F4625D"/>
    <w:rsid w:val="00F4638F"/>
    <w:rsid w:val="00F466B3"/>
    <w:rsid w:val="00F467AF"/>
    <w:rsid w:val="00F468E9"/>
    <w:rsid w:val="00F470D0"/>
    <w:rsid w:val="00F473D8"/>
    <w:rsid w:val="00F47643"/>
    <w:rsid w:val="00F47788"/>
    <w:rsid w:val="00F47849"/>
    <w:rsid w:val="00F478EB"/>
    <w:rsid w:val="00F47DD5"/>
    <w:rsid w:val="00F50BA3"/>
    <w:rsid w:val="00F51106"/>
    <w:rsid w:val="00F514E3"/>
    <w:rsid w:val="00F51A14"/>
    <w:rsid w:val="00F521AA"/>
    <w:rsid w:val="00F52501"/>
    <w:rsid w:val="00F52838"/>
    <w:rsid w:val="00F531C9"/>
    <w:rsid w:val="00F53B78"/>
    <w:rsid w:val="00F53BB4"/>
    <w:rsid w:val="00F54251"/>
    <w:rsid w:val="00F5455E"/>
    <w:rsid w:val="00F547A4"/>
    <w:rsid w:val="00F54897"/>
    <w:rsid w:val="00F548B6"/>
    <w:rsid w:val="00F54D38"/>
    <w:rsid w:val="00F55082"/>
    <w:rsid w:val="00F553BF"/>
    <w:rsid w:val="00F558E6"/>
    <w:rsid w:val="00F55EAA"/>
    <w:rsid w:val="00F5629A"/>
    <w:rsid w:val="00F562A2"/>
    <w:rsid w:val="00F56A10"/>
    <w:rsid w:val="00F57054"/>
    <w:rsid w:val="00F571DB"/>
    <w:rsid w:val="00F572FE"/>
    <w:rsid w:val="00F5769E"/>
    <w:rsid w:val="00F5774F"/>
    <w:rsid w:val="00F579D5"/>
    <w:rsid w:val="00F57E50"/>
    <w:rsid w:val="00F57F20"/>
    <w:rsid w:val="00F60617"/>
    <w:rsid w:val="00F60639"/>
    <w:rsid w:val="00F60C47"/>
    <w:rsid w:val="00F60F0A"/>
    <w:rsid w:val="00F6140D"/>
    <w:rsid w:val="00F61C2B"/>
    <w:rsid w:val="00F62348"/>
    <w:rsid w:val="00F625E6"/>
    <w:rsid w:val="00F62660"/>
    <w:rsid w:val="00F6281D"/>
    <w:rsid w:val="00F62D25"/>
    <w:rsid w:val="00F62FEE"/>
    <w:rsid w:val="00F630ED"/>
    <w:rsid w:val="00F6367D"/>
    <w:rsid w:val="00F6436A"/>
    <w:rsid w:val="00F6480B"/>
    <w:rsid w:val="00F64A00"/>
    <w:rsid w:val="00F64B26"/>
    <w:rsid w:val="00F64BC9"/>
    <w:rsid w:val="00F651FB"/>
    <w:rsid w:val="00F655F5"/>
    <w:rsid w:val="00F65886"/>
    <w:rsid w:val="00F65A67"/>
    <w:rsid w:val="00F65BDC"/>
    <w:rsid w:val="00F66042"/>
    <w:rsid w:val="00F663E4"/>
    <w:rsid w:val="00F66822"/>
    <w:rsid w:val="00F66A6E"/>
    <w:rsid w:val="00F66D44"/>
    <w:rsid w:val="00F67329"/>
    <w:rsid w:val="00F674DA"/>
    <w:rsid w:val="00F67D3F"/>
    <w:rsid w:val="00F67EE8"/>
    <w:rsid w:val="00F7002C"/>
    <w:rsid w:val="00F700D8"/>
    <w:rsid w:val="00F708F1"/>
    <w:rsid w:val="00F70FDD"/>
    <w:rsid w:val="00F71320"/>
    <w:rsid w:val="00F715E5"/>
    <w:rsid w:val="00F722BE"/>
    <w:rsid w:val="00F72844"/>
    <w:rsid w:val="00F729DC"/>
    <w:rsid w:val="00F729F1"/>
    <w:rsid w:val="00F72B73"/>
    <w:rsid w:val="00F731D7"/>
    <w:rsid w:val="00F73702"/>
    <w:rsid w:val="00F73BCF"/>
    <w:rsid w:val="00F74166"/>
    <w:rsid w:val="00F752A2"/>
    <w:rsid w:val="00F75776"/>
    <w:rsid w:val="00F75AC3"/>
    <w:rsid w:val="00F75ADB"/>
    <w:rsid w:val="00F75EF5"/>
    <w:rsid w:val="00F7602D"/>
    <w:rsid w:val="00F76363"/>
    <w:rsid w:val="00F7685D"/>
    <w:rsid w:val="00F76C6C"/>
    <w:rsid w:val="00F76D4A"/>
    <w:rsid w:val="00F77119"/>
    <w:rsid w:val="00F77328"/>
    <w:rsid w:val="00F77E63"/>
    <w:rsid w:val="00F8037E"/>
    <w:rsid w:val="00F803B7"/>
    <w:rsid w:val="00F806C9"/>
    <w:rsid w:val="00F807F7"/>
    <w:rsid w:val="00F8099F"/>
    <w:rsid w:val="00F816F6"/>
    <w:rsid w:val="00F82D8A"/>
    <w:rsid w:val="00F8324B"/>
    <w:rsid w:val="00F838A8"/>
    <w:rsid w:val="00F83A8A"/>
    <w:rsid w:val="00F84A5A"/>
    <w:rsid w:val="00F85A9D"/>
    <w:rsid w:val="00F85B83"/>
    <w:rsid w:val="00F860D8"/>
    <w:rsid w:val="00F86914"/>
    <w:rsid w:val="00F86B73"/>
    <w:rsid w:val="00F870BF"/>
    <w:rsid w:val="00F8754B"/>
    <w:rsid w:val="00F9012C"/>
    <w:rsid w:val="00F90377"/>
    <w:rsid w:val="00F90ADE"/>
    <w:rsid w:val="00F9176D"/>
    <w:rsid w:val="00F91D3B"/>
    <w:rsid w:val="00F91D8E"/>
    <w:rsid w:val="00F91FB6"/>
    <w:rsid w:val="00F923B9"/>
    <w:rsid w:val="00F927E3"/>
    <w:rsid w:val="00F92F2C"/>
    <w:rsid w:val="00F934BB"/>
    <w:rsid w:val="00F939B6"/>
    <w:rsid w:val="00F93EC8"/>
    <w:rsid w:val="00F9440D"/>
    <w:rsid w:val="00F94A68"/>
    <w:rsid w:val="00F94BC6"/>
    <w:rsid w:val="00F94BC8"/>
    <w:rsid w:val="00F94C99"/>
    <w:rsid w:val="00F96019"/>
    <w:rsid w:val="00F9640C"/>
    <w:rsid w:val="00F9667A"/>
    <w:rsid w:val="00F9727D"/>
    <w:rsid w:val="00F97B70"/>
    <w:rsid w:val="00F97BCC"/>
    <w:rsid w:val="00FA057A"/>
    <w:rsid w:val="00FA0665"/>
    <w:rsid w:val="00FA0A8E"/>
    <w:rsid w:val="00FA189A"/>
    <w:rsid w:val="00FA1A50"/>
    <w:rsid w:val="00FA1D9A"/>
    <w:rsid w:val="00FA1F76"/>
    <w:rsid w:val="00FA26F8"/>
    <w:rsid w:val="00FA276F"/>
    <w:rsid w:val="00FA3509"/>
    <w:rsid w:val="00FA357D"/>
    <w:rsid w:val="00FA3AE6"/>
    <w:rsid w:val="00FA3E60"/>
    <w:rsid w:val="00FA3EC1"/>
    <w:rsid w:val="00FA40E6"/>
    <w:rsid w:val="00FA4628"/>
    <w:rsid w:val="00FA49E0"/>
    <w:rsid w:val="00FA5819"/>
    <w:rsid w:val="00FA5C9E"/>
    <w:rsid w:val="00FA5D5F"/>
    <w:rsid w:val="00FA66C6"/>
    <w:rsid w:val="00FA6F3D"/>
    <w:rsid w:val="00FA77FB"/>
    <w:rsid w:val="00FA7D36"/>
    <w:rsid w:val="00FB016A"/>
    <w:rsid w:val="00FB055C"/>
    <w:rsid w:val="00FB0D77"/>
    <w:rsid w:val="00FB0D91"/>
    <w:rsid w:val="00FB0E86"/>
    <w:rsid w:val="00FB0F89"/>
    <w:rsid w:val="00FB172B"/>
    <w:rsid w:val="00FB274B"/>
    <w:rsid w:val="00FB39F2"/>
    <w:rsid w:val="00FB3FE2"/>
    <w:rsid w:val="00FB3FEE"/>
    <w:rsid w:val="00FB4372"/>
    <w:rsid w:val="00FB568A"/>
    <w:rsid w:val="00FB5967"/>
    <w:rsid w:val="00FB5AFD"/>
    <w:rsid w:val="00FB5B5B"/>
    <w:rsid w:val="00FB5D5B"/>
    <w:rsid w:val="00FB6CE2"/>
    <w:rsid w:val="00FB77CF"/>
    <w:rsid w:val="00FB7A8F"/>
    <w:rsid w:val="00FB7ACB"/>
    <w:rsid w:val="00FB7F03"/>
    <w:rsid w:val="00FC01EC"/>
    <w:rsid w:val="00FC051A"/>
    <w:rsid w:val="00FC0E47"/>
    <w:rsid w:val="00FC1402"/>
    <w:rsid w:val="00FC15F6"/>
    <w:rsid w:val="00FC194F"/>
    <w:rsid w:val="00FC1B18"/>
    <w:rsid w:val="00FC2295"/>
    <w:rsid w:val="00FC29D5"/>
    <w:rsid w:val="00FC2AF3"/>
    <w:rsid w:val="00FC2DCC"/>
    <w:rsid w:val="00FC35FA"/>
    <w:rsid w:val="00FC370E"/>
    <w:rsid w:val="00FC3D15"/>
    <w:rsid w:val="00FC3D4C"/>
    <w:rsid w:val="00FC40E0"/>
    <w:rsid w:val="00FC4846"/>
    <w:rsid w:val="00FC5486"/>
    <w:rsid w:val="00FC58D3"/>
    <w:rsid w:val="00FC6222"/>
    <w:rsid w:val="00FC6EC0"/>
    <w:rsid w:val="00FC7770"/>
    <w:rsid w:val="00FC77C7"/>
    <w:rsid w:val="00FC7F65"/>
    <w:rsid w:val="00FD0D3F"/>
    <w:rsid w:val="00FD0F5C"/>
    <w:rsid w:val="00FD1298"/>
    <w:rsid w:val="00FD1CCA"/>
    <w:rsid w:val="00FD277B"/>
    <w:rsid w:val="00FD2CBA"/>
    <w:rsid w:val="00FD362E"/>
    <w:rsid w:val="00FD3816"/>
    <w:rsid w:val="00FD3AEE"/>
    <w:rsid w:val="00FD4281"/>
    <w:rsid w:val="00FD510F"/>
    <w:rsid w:val="00FD56F6"/>
    <w:rsid w:val="00FD5DF2"/>
    <w:rsid w:val="00FD5E28"/>
    <w:rsid w:val="00FD5E9E"/>
    <w:rsid w:val="00FD675A"/>
    <w:rsid w:val="00FD6EA3"/>
    <w:rsid w:val="00FD7514"/>
    <w:rsid w:val="00FD77A4"/>
    <w:rsid w:val="00FE03DA"/>
    <w:rsid w:val="00FE0897"/>
    <w:rsid w:val="00FE0940"/>
    <w:rsid w:val="00FE0989"/>
    <w:rsid w:val="00FE0E36"/>
    <w:rsid w:val="00FE102E"/>
    <w:rsid w:val="00FE1A57"/>
    <w:rsid w:val="00FE1FB4"/>
    <w:rsid w:val="00FE23B0"/>
    <w:rsid w:val="00FE24A9"/>
    <w:rsid w:val="00FE28C4"/>
    <w:rsid w:val="00FE34DC"/>
    <w:rsid w:val="00FE354B"/>
    <w:rsid w:val="00FE371A"/>
    <w:rsid w:val="00FE37E9"/>
    <w:rsid w:val="00FE3D93"/>
    <w:rsid w:val="00FE4329"/>
    <w:rsid w:val="00FE44CB"/>
    <w:rsid w:val="00FE45BD"/>
    <w:rsid w:val="00FE4D06"/>
    <w:rsid w:val="00FE574B"/>
    <w:rsid w:val="00FE6632"/>
    <w:rsid w:val="00FE66ED"/>
    <w:rsid w:val="00FE68E7"/>
    <w:rsid w:val="00FE6C64"/>
    <w:rsid w:val="00FE6F3D"/>
    <w:rsid w:val="00FE76FA"/>
    <w:rsid w:val="00FE77D3"/>
    <w:rsid w:val="00FF02F7"/>
    <w:rsid w:val="00FF062D"/>
    <w:rsid w:val="00FF0D5B"/>
    <w:rsid w:val="00FF1329"/>
    <w:rsid w:val="00FF1643"/>
    <w:rsid w:val="00FF1B15"/>
    <w:rsid w:val="00FF1CE1"/>
    <w:rsid w:val="00FF1E0B"/>
    <w:rsid w:val="00FF2021"/>
    <w:rsid w:val="00FF24A7"/>
    <w:rsid w:val="00FF2948"/>
    <w:rsid w:val="00FF2A25"/>
    <w:rsid w:val="00FF2A98"/>
    <w:rsid w:val="00FF2C48"/>
    <w:rsid w:val="00FF2F44"/>
    <w:rsid w:val="00FF314A"/>
    <w:rsid w:val="00FF34CD"/>
    <w:rsid w:val="00FF352D"/>
    <w:rsid w:val="00FF360F"/>
    <w:rsid w:val="00FF3965"/>
    <w:rsid w:val="00FF396F"/>
    <w:rsid w:val="00FF3AA1"/>
    <w:rsid w:val="00FF4397"/>
    <w:rsid w:val="00FF463E"/>
    <w:rsid w:val="00FF4BAF"/>
    <w:rsid w:val="00FF4ED3"/>
    <w:rsid w:val="00FF50D5"/>
    <w:rsid w:val="00FF537D"/>
    <w:rsid w:val="00FF64E9"/>
    <w:rsid w:val="00FF6E50"/>
    <w:rsid w:val="00FF6E89"/>
    <w:rsid w:val="00FF7965"/>
    <w:rsid w:val="00FF799E"/>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507DDAB"/>
  <w15:docId w15:val="{958419AC-E1D3-4081-855A-93506C9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semiHidden/>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qFormat/>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Header Char2,Header Char1 Char1,Header Char Char1"/>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uiPriority w:val="99"/>
    <w:semiHidden/>
    <w:rsid w:val="00A252C3"/>
    <w:rPr>
      <w:sz w:val="16"/>
      <w:szCs w:val="16"/>
    </w:rPr>
  </w:style>
  <w:style w:type="paragraph" w:styleId="CommentText">
    <w:name w:val="annotation text"/>
    <w:basedOn w:val="Normal"/>
    <w:link w:val="CommentTextChar"/>
    <w:uiPriority w:val="99"/>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link w:val="FootnoteText"/>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uiPriority w:val="99"/>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0327938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669023205">
      <w:bodyDiv w:val="1"/>
      <w:marLeft w:val="0"/>
      <w:marRight w:val="0"/>
      <w:marTop w:val="0"/>
      <w:marBottom w:val="0"/>
      <w:divBdr>
        <w:top w:val="none" w:sz="0" w:space="0" w:color="auto"/>
        <w:left w:val="none" w:sz="0" w:space="0" w:color="auto"/>
        <w:bottom w:val="none" w:sz="0" w:space="0" w:color="auto"/>
        <w:right w:val="none" w:sz="0" w:space="0" w:color="auto"/>
      </w:divBdr>
    </w:div>
    <w:div w:id="721250821">
      <w:bodyDiv w:val="1"/>
      <w:marLeft w:val="0"/>
      <w:marRight w:val="0"/>
      <w:marTop w:val="0"/>
      <w:marBottom w:val="0"/>
      <w:divBdr>
        <w:top w:val="none" w:sz="0" w:space="0" w:color="auto"/>
        <w:left w:val="none" w:sz="0" w:space="0" w:color="auto"/>
        <w:bottom w:val="none" w:sz="0" w:space="0" w:color="auto"/>
        <w:right w:val="none" w:sz="0" w:space="0" w:color="auto"/>
      </w:divBdr>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151099104">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52327598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8E0B-25F1-4F81-A3E1-F2E37E7C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17198</Words>
  <Characters>90522</Characters>
  <Application>Microsoft Office Word</Application>
  <DocSecurity>0</DocSecurity>
  <Lines>754</Lines>
  <Paragraphs>215</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107505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КБПА ВД</cp:lastModifiedBy>
  <cp:revision>16</cp:revision>
  <cp:lastPrinted>2024-05-09T09:39:00Z</cp:lastPrinted>
  <dcterms:created xsi:type="dcterms:W3CDTF">2024-05-13T14:55:00Z</dcterms:created>
  <dcterms:modified xsi:type="dcterms:W3CDTF">2024-05-13T15:16:00Z</dcterms:modified>
</cp:coreProperties>
</file>